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00" w:hanging="492"/>
        <w:spacing w:after="0" w:line="180" w:lineRule="auto"/>
        <w:tabs>
          <w:tab w:leader="none" w:pos="500" w:val="left"/>
        </w:tabs>
        <w:numPr>
          <w:ilvl w:val="0"/>
          <w:numId w:val="1"/>
        </w:numPr>
        <w:rPr>
          <w:rFonts w:ascii="MS PGothic" w:cs="MS PGothic" w:eastAsia="MS PGothic" w:hAnsi="MS PGothic"/>
          <w:sz w:val="30"/>
          <w:szCs w:val="30"/>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-113030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Personalis,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27-5411038</w:t>
            </w:r>
          </w:p>
        </w:tc>
      </w:tr>
      <w:tr>
        <w:trPr>
          <w:trHeight w:val="135"/>
        </w:trPr>
        <w:tc>
          <w:tcPr>
            <w:tcW w:w="426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89"/>
              </w:rPr>
              <w:t>Identification No.)</w:t>
            </w:r>
          </w:p>
        </w:tc>
      </w:tr>
      <w:tr>
        <w:trPr>
          <w:trHeight w:val="308"/>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4"/>
              </w:rPr>
              <w:t>1330 O’Brien Drive</w:t>
            </w:r>
          </w:p>
        </w:tc>
        <w:tc>
          <w:tcPr>
            <w:tcW w:w="2980" w:type="dxa"/>
            <w:vAlign w:val="bottom"/>
          </w:tcPr>
          <w:p>
            <w:pPr>
              <w:spacing w:after="0"/>
              <w:rPr>
                <w:sz w:val="24"/>
                <w:szCs w:val="24"/>
                <w:color w:val="auto"/>
              </w:rPr>
            </w:pPr>
          </w:p>
        </w:tc>
      </w:tr>
      <w:tr>
        <w:trPr>
          <w:trHeight w:val="21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3"/>
              </w:rPr>
              <w:t>Menlo Park, California 94025</w:t>
            </w:r>
          </w:p>
        </w:tc>
        <w:tc>
          <w:tcPr>
            <w:tcW w:w="2980" w:type="dxa"/>
            <w:vAlign w:val="bottom"/>
          </w:tcPr>
          <w:p>
            <w:pPr>
              <w:jc w:val="right"/>
              <w:ind w:right="186"/>
              <w:spacing w:after="0"/>
              <w:rPr>
                <w:sz w:val="20"/>
                <w:szCs w:val="20"/>
                <w:color w:val="auto"/>
              </w:rPr>
            </w:pPr>
            <w:r>
              <w:rPr>
                <w:rFonts w:ascii="Arial" w:cs="Arial" w:eastAsia="Arial" w:hAnsi="Arial"/>
                <w:sz w:val="18"/>
                <w:szCs w:val="18"/>
                <w:b w:val="1"/>
                <w:bCs w:val="1"/>
                <w:color w:val="auto"/>
              </w:rPr>
              <w:t>94025</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6"/>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Trading</w:t>
            </w:r>
          </w:p>
        </w:tc>
        <w:tc>
          <w:tcPr>
            <w:tcW w:w="4380" w:type="dxa"/>
            <w:vAlign w:val="bottom"/>
          </w:tcPr>
          <w:p>
            <w:pPr>
              <w:spacing w:after="0"/>
              <w:rPr>
                <w:sz w:val="24"/>
                <w:szCs w:val="24"/>
                <w:color w:val="auto"/>
              </w:rPr>
            </w:pPr>
          </w:p>
        </w:tc>
      </w:tr>
      <w:tr>
        <w:trPr>
          <w:trHeight w:val="213"/>
        </w:trPr>
        <w:tc>
          <w:tcPr>
            <w:tcW w:w="4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PSNL</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08"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6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4, 2020, the registrant had 31,710,477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18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404"/>
        </w:trPr>
        <w:tc>
          <w:tcPr>
            <w:tcW w:w="8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30"/>
        </w:trPr>
        <w:tc>
          <w:tcPr>
            <w:tcW w:w="840" w:type="dxa"/>
            <w:vAlign w:val="bottom"/>
          </w:tcPr>
          <w:p>
            <w:pPr>
              <w:spacing w:after="0"/>
              <w:rPr>
                <w:sz w:val="20"/>
                <w:szCs w:val="20"/>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Condensed Consolidated Statements of Redeemable Convertible Preferred Stock and Stockholders’ Equity (Deficit)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45"/>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8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Defaults Upon Senior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70">
              <w:r>
                <w:rPr>
                  <w:rFonts w:ascii="Arial" w:cs="Arial" w:eastAsia="Arial" w:hAnsi="Arial"/>
                  <w:sz w:val="18"/>
                  <w:szCs w:val="18"/>
                  <w:u w:val="single" w:color="auto"/>
                  <w:color w:val="0000EE"/>
                  <w:w w:val="95"/>
                </w:rPr>
                <w:t>Signatures</w:t>
              </w:r>
            </w:hyperlink>
          </w:p>
        </w:tc>
        <w:tc>
          <w:tcPr>
            <w:tcW w:w="9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48"/>
        </w:trPr>
        <w:tc>
          <w:tcPr>
            <w:tcW w:w="840" w:type="dxa"/>
            <w:vAlign w:val="bottom"/>
          </w:tcPr>
          <w:p>
            <w:pPr>
              <w:spacing w:after="0"/>
              <w:rPr>
                <w:sz w:val="24"/>
                <w:szCs w:val="24"/>
                <w:color w:val="auto"/>
              </w:rPr>
            </w:pPr>
          </w:p>
        </w:tc>
        <w:tc>
          <w:tcPr>
            <w:tcW w:w="9180" w:type="dxa"/>
            <w:vAlign w:val="bottom"/>
          </w:tcPr>
          <w:p>
            <w:pPr>
              <w:ind w:left="474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9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54"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relationship with the U.S. Department of Veterans Affairs’ Million Veteran Program;</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approval of personalized cancer therapies by the Food and Drug Administration may drive benefits to our business; and</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JOBS Act.</w:t>
      </w:r>
    </w:p>
    <w:p>
      <w:pPr>
        <w:spacing w:after="0" w:line="17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46,694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55,046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73,339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73,243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3,300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Inventory and other deferred costs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6,438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4,606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3,437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3,383</w:t>
            </w: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135,416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139,578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13,402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14,106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1,845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1,762</w:t>
            </w: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151,878</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157,291</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7,337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7,375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6,648</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34,408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35,977</w:t>
            </w: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52,120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49,962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639</w:t>
            </w: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52,676</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50,601</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Preferred stock, $0.0001 par value — 10,000,000 shares authorized; none issued</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500"/>
              <w:spacing w:after="0"/>
              <w:rPr>
                <w:sz w:val="20"/>
                <w:szCs w:val="20"/>
                <w:color w:val="auto"/>
              </w:rPr>
            </w:pPr>
            <w:r>
              <w:rPr>
                <w:rFonts w:ascii="Arial" w:cs="Arial" w:eastAsia="Arial" w:hAnsi="Arial"/>
                <w:sz w:val="18"/>
                <w:szCs w:val="18"/>
                <w:color w:val="auto"/>
                <w:w w:val="92"/>
              </w:rPr>
              <w:t>Common stock, $0.0001 par value — 200,000,000 shares authorized; 31,530,443 and 31,243,029</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shares issued and outstanding at March 31, 2020 and December 31, 2019, respectively</w:t>
            </w:r>
          </w:p>
        </w:tc>
        <w:tc>
          <w:tcPr>
            <w:tcW w:w="2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248,854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247,282</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(149,728)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(140,589)</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99,202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106,690</w:t>
            </w: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151,878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157,291</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19,161</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15,122</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6,390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7,274</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28,786</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19,506</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31,345,029</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3,091,342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10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unrealized gain on available-for-sale debt securities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(DEFICIT)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694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8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89"/>
              </w:rPr>
              <w:t>Redeemable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6"/>
              </w:rPr>
              <w:t>Convertible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Arial" w:cs="Arial" w:eastAsia="Arial" w:hAnsi="Arial"/>
                <w:sz w:val="18"/>
                <w:szCs w:val="18"/>
                <w:color w:val="auto"/>
              </w:rPr>
              <w:t>Balance—December 31, 2018</w:t>
            </w:r>
          </w:p>
        </w:tc>
        <w:tc>
          <w:tcPr>
            <w:tcW w:w="11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16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18,474,742</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89,404</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Proceeds from exercise of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Balance—March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18,474,742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89,404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6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Proceeds from exercise of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Restricted stock units released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8"/>
                <w:szCs w:val="18"/>
                <w:color w:val="auto"/>
              </w:rPr>
              <w:t>Unrealized gain on available-for-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500"/>
              <w:spacing w:after="0"/>
              <w:rPr>
                <w:sz w:val="20"/>
                <w:szCs w:val="20"/>
                <w:color w:val="auto"/>
              </w:rPr>
            </w:pPr>
            <w:r>
              <w:rPr>
                <w:rFonts w:ascii="Arial" w:cs="Arial" w:eastAsia="Arial" w:hAnsi="Arial"/>
                <w:sz w:val="18"/>
                <w:szCs w:val="18"/>
                <w:color w:val="auto"/>
              </w:rPr>
              <w:t>sale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Balance—March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Stockholders'</w:t>
            </w:r>
          </w:p>
        </w:tc>
      </w:tr>
      <w:tr>
        <w:trPr>
          <w:trHeight w:val="171"/>
        </w:trPr>
        <w:tc>
          <w:tcPr>
            <w:tcW w:w="14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11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2"/>
          </w:tcPr>
          <w:p>
            <w:pPr>
              <w:jc w:val="center"/>
              <w:ind w:right="141"/>
              <w:spacing w:after="0" w:line="155" w:lineRule="exact"/>
              <w:rPr>
                <w:sz w:val="20"/>
                <w:szCs w:val="20"/>
                <w:color w:val="auto"/>
              </w:rPr>
            </w:pPr>
            <w:r>
              <w:rPr>
                <w:rFonts w:ascii="Arial" w:cs="Arial" w:eastAsia="Arial" w:hAnsi="Arial"/>
                <w:sz w:val="14"/>
                <w:szCs w:val="14"/>
                <w:b w:val="1"/>
                <w:bCs w:val="1"/>
                <w:color w:val="auto"/>
                <w:w w:val="95"/>
              </w:rPr>
              <w:t>(Deficit)</w:t>
            </w:r>
          </w:p>
        </w:tc>
      </w:tr>
      <w:tr>
        <w:trPr>
          <w:trHeight w:val="224"/>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3,085,307</w:t>
            </w: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(115,505)</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(106,388)</w:t>
            </w:r>
          </w:p>
        </w:tc>
        <w:tc>
          <w:tcPr>
            <w:tcW w:w="60" w:type="dxa"/>
            <w:vAlign w:val="bottom"/>
          </w:tcPr>
          <w:p>
            <w:pPr>
              <w:spacing w:after="0"/>
              <w:rPr>
                <w:sz w:val="19"/>
                <w:szCs w:val="19"/>
                <w:color w:val="auto"/>
              </w:rPr>
            </w:pPr>
          </w:p>
        </w:tc>
      </w:tr>
      <w:tr>
        <w:trPr>
          <w:trHeight w:val="445"/>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4"/>
                <w:szCs w:val="24"/>
                <w:color w:val="auto"/>
              </w:rPr>
            </w:pPr>
          </w:p>
        </w:tc>
      </w:tr>
      <w:tr>
        <w:trPr>
          <w:trHeight w:val="445"/>
        </w:trPr>
        <w:tc>
          <w:tcPr>
            <w:tcW w:w="920" w:type="dxa"/>
            <w:vAlign w:val="bottom"/>
          </w:tcPr>
          <w:p>
            <w:pPr>
              <w:jc w:val="right"/>
              <w:spacing w:after="0"/>
              <w:rPr>
                <w:sz w:val="20"/>
                <w:szCs w:val="20"/>
                <w:color w:val="auto"/>
              </w:rPr>
            </w:pPr>
            <w:r>
              <w:rPr>
                <w:rFonts w:ascii="Arial" w:cs="Arial" w:eastAsia="Arial" w:hAnsi="Arial"/>
                <w:sz w:val="18"/>
                <w:szCs w:val="18"/>
                <w:color w:val="auto"/>
              </w:rPr>
              <w:t>81,009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4"/>
                <w:szCs w:val="24"/>
                <w:color w:val="auto"/>
              </w:rPr>
            </w:pPr>
          </w:p>
        </w:tc>
      </w:tr>
      <w:tr>
        <w:trPr>
          <w:trHeight w:val="230"/>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0"/>
                <w:szCs w:val="20"/>
                <w:color w:val="auto"/>
              </w:rPr>
            </w:pPr>
          </w:p>
        </w:tc>
      </w:tr>
      <w:tr>
        <w:trPr>
          <w:trHeight w:val="445"/>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(5,685)</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(5,685)</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3,166,316</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(121,190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(110,523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920" w:type="dxa"/>
            <w:vAlign w:val="bottom"/>
          </w:tcPr>
          <w:p>
            <w:pPr>
              <w:jc w:val="right"/>
              <w:spacing w:after="0"/>
              <w:rPr>
                <w:sz w:val="20"/>
                <w:szCs w:val="20"/>
                <w:color w:val="auto"/>
              </w:rPr>
            </w:pPr>
            <w:r>
              <w:rPr>
                <w:rFonts w:ascii="Arial" w:cs="Arial" w:eastAsia="Arial" w:hAnsi="Arial"/>
                <w:sz w:val="18"/>
                <w:szCs w:val="18"/>
                <w:color w:val="auto"/>
                <w:w w:val="99"/>
              </w:rPr>
              <w:t>31,243,029</w:t>
            </w:r>
          </w:p>
        </w:tc>
        <w:tc>
          <w:tcPr>
            <w:tcW w:w="200" w:type="dxa"/>
            <w:vAlign w:val="bottom"/>
          </w:tcPr>
          <w:p>
            <w:pPr>
              <w:spacing w:after="0"/>
              <w:rPr>
                <w:sz w:val="24"/>
                <w:szCs w:val="24"/>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247,282</w:t>
            </w:r>
          </w:p>
        </w:tc>
        <w:tc>
          <w:tcPr>
            <w:tcW w:w="1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(140,589)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106,690</w:t>
            </w:r>
          </w:p>
        </w:tc>
        <w:tc>
          <w:tcPr>
            <w:tcW w:w="60" w:type="dxa"/>
            <w:vAlign w:val="bottom"/>
          </w:tcPr>
          <w:p>
            <w:pPr>
              <w:spacing w:after="0"/>
              <w:rPr>
                <w:sz w:val="24"/>
                <w:szCs w:val="24"/>
                <w:color w:val="auto"/>
              </w:rPr>
            </w:pPr>
          </w:p>
        </w:tc>
      </w:tr>
      <w:tr>
        <w:trPr>
          <w:trHeight w:val="445"/>
        </w:trPr>
        <w:tc>
          <w:tcPr>
            <w:tcW w:w="920" w:type="dxa"/>
            <w:vAlign w:val="bottom"/>
          </w:tcPr>
          <w:p>
            <w:pPr>
              <w:jc w:val="right"/>
              <w:spacing w:after="0"/>
              <w:rPr>
                <w:sz w:val="20"/>
                <w:szCs w:val="20"/>
                <w:color w:val="auto"/>
              </w:rPr>
            </w:pPr>
            <w:r>
              <w:rPr>
                <w:rFonts w:ascii="Arial" w:cs="Arial" w:eastAsia="Arial" w:hAnsi="Arial"/>
                <w:sz w:val="18"/>
                <w:szCs w:val="18"/>
                <w:color w:val="auto"/>
              </w:rPr>
              <w:t>277,415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4"/>
                <w:szCs w:val="24"/>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9,999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1,249</w:t>
            </w:r>
          </w:p>
        </w:tc>
        <w:tc>
          <w:tcPr>
            <w:tcW w:w="60" w:type="dxa"/>
            <w:vAlign w:val="bottom"/>
          </w:tcPr>
          <w:p>
            <w:pPr>
              <w:spacing w:after="0"/>
              <w:rPr>
                <w:sz w:val="20"/>
                <w:szCs w:val="20"/>
                <w:color w:val="auto"/>
              </w:rPr>
            </w:pPr>
          </w:p>
        </w:tc>
      </w:tr>
      <w:tr>
        <w:trPr>
          <w:trHeight w:val="445"/>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45"/>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4"/>
                <w:szCs w:val="24"/>
                <w:color w:val="auto"/>
              </w:rPr>
            </w:pPr>
          </w:p>
        </w:tc>
      </w:tr>
      <w:tr>
        <w:trPr>
          <w:trHeight w:val="230"/>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(9,139)</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(9,139)</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31,530,443</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248,854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(149,728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99,202</w:t>
            </w:r>
          </w:p>
        </w:tc>
        <w:tc>
          <w:tcPr>
            <w:tcW w:w="6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60" w:space="280"/>
            <w:col w:w="5960"/>
          </w:cols>
          <w:pgMar w:left="320" w:top="121" w:right="379" w:bottom="1440"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(9,139)</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1,047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operating lease cost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214</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609</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Accretion of noncash interest and debt reduction</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1,346</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Inventory and other deferred costs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548</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and other current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1,587</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Contract liabilities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1,419</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66</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available-for-sale debt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(27,242)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available-for-sale debt securities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27,283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r>
      <w:tr>
        <w:trPr>
          <w:trHeight w:val="223"/>
        </w:trPr>
        <w:tc>
          <w:tcPr>
            <w:tcW w:w="77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costs related to initial public offering</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borrowing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Repayments under borrowing arrangements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353</w:t>
            </w:r>
          </w:p>
        </w:tc>
      </w:tr>
      <w:tr>
        <w:trPr>
          <w:trHeight w:val="223"/>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14,386</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flows and cash equivalents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13,493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55,046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19,744</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46,694</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33,237</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Company and Nature of Business</w:t>
      </w:r>
    </w:p>
    <w:p>
      <w:pPr>
        <w:spacing w:after="0" w:line="18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The Company operates and manages its business as one reportable operating segment, which is the sale of sequencing and data analysis services.</w:t>
      </w:r>
    </w:p>
    <w:p>
      <w:pPr>
        <w:spacing w:after="0" w:line="13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2019.</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subsidiary, Personalis (UK)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17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estimates include, but are not limited to, useful lives assigned to long-lived assets, the valuation of common and convertible redeemable preferred stock and related warrants and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On June 20, 2019, the Company completed an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 all of which were paid by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749"/>
        <w:spacing w:after="0" w:line="301" w:lineRule="auto"/>
        <w:rPr>
          <w:sz w:val="20"/>
          <w:szCs w:val="20"/>
          <w:color w:val="auto"/>
        </w:rPr>
      </w:pPr>
      <w:r>
        <w:rPr>
          <w:rFonts w:ascii="Arial" w:cs="Arial" w:eastAsia="Arial" w:hAnsi="Arial"/>
          <w:sz w:val="16"/>
          <w:szCs w:val="16"/>
          <w:color w:val="auto"/>
        </w:rPr>
        <w:t>A warrant to purchase 188,643 shares of our common stock was exercised prior to completion of the Company’s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 of which 62,096 are still outstanding as of March 31, 2020 (see Note 10).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46" w:lineRule="exact"/>
        <w:rPr>
          <w:sz w:val="20"/>
          <w:szCs w:val="20"/>
          <w:color w:val="auto"/>
        </w:rPr>
      </w:pPr>
    </w:p>
    <w:p>
      <w:pPr>
        <w:jc w:val="both"/>
        <w:ind w:firstLine="749"/>
        <w:spacing w:after="0" w:line="219" w:lineRule="exact"/>
        <w:rPr>
          <w:sz w:val="20"/>
          <w:szCs w:val="20"/>
          <w:color w:val="auto"/>
        </w:rPr>
      </w:pPr>
      <w:r>
        <w:rPr>
          <w:rFonts w:ascii="Arial" w:cs="Arial" w:eastAsia="Arial" w:hAnsi="Arial"/>
          <w:sz w:val="18"/>
          <w:szCs w:val="18"/>
          <w:color w:val="auto"/>
        </w:rPr>
        <w:t>The Company also invests in investment</w:t>
      </w:r>
      <w:r>
        <w:rPr>
          <w:rFonts w:ascii="MS PGothic" w:cs="MS PGothic" w:eastAsia="MS PGothic" w:hAnsi="MS PGothic"/>
          <w:sz w:val="18"/>
          <w:szCs w:val="18"/>
          <w:color w:val="auto"/>
        </w:rPr>
        <w:t>‑</w:t>
      </w:r>
      <w:r>
        <w:rPr>
          <w:rFonts w:ascii="Arial" w:cs="Arial" w:eastAsia="Arial" w:hAnsi="Arial"/>
          <w:sz w:val="18"/>
          <w:szCs w:val="18"/>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8"/>
          <w:szCs w:val="18"/>
          <w:color w:val="auto"/>
        </w:rPr>
        <w:t>‑</w:t>
      </w:r>
      <w:r>
        <w:rPr>
          <w:rFonts w:ascii="Arial" w:cs="Arial" w:eastAsia="Arial" w:hAnsi="Arial"/>
          <w:sz w:val="18"/>
          <w:szCs w:val="18"/>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0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March 31, 2020 and December 31, 2019. During the three months ended March 31, 2020 and 2019, the Company had no bad debt expense.</w:t>
      </w:r>
    </w:p>
    <w:p>
      <w:pPr>
        <w:spacing w:after="0" w:line="14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Significant customers are those that represent more than 10% of the Company’s total revenues or accounts receivable balance at each respective balance sheet date. For each significant customer, revenue as a percentage of total revenues and accounts receivable as a percentage of total accounts receivable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1"/>
              </w:rPr>
              <w:t>Revenues (unaudited)</w:t>
            </w:r>
          </w:p>
        </w:tc>
        <w:tc>
          <w:tcPr>
            <w:tcW w:w="140" w:type="dxa"/>
            <w:vAlign w:val="bottom"/>
          </w:tcPr>
          <w:p>
            <w:pPr>
              <w:spacing w:after="0"/>
              <w:rPr>
                <w:sz w:val="14"/>
                <w:szCs w:val="14"/>
                <w:color w:val="auto"/>
              </w:rPr>
            </w:pPr>
          </w:p>
        </w:tc>
        <w:tc>
          <w:tcPr>
            <w:tcW w:w="264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89"/>
              </w:rPr>
              <w:t>Accounts Receivable</w:t>
            </w:r>
          </w:p>
        </w:tc>
      </w:tr>
      <w:tr>
        <w:trPr>
          <w:trHeight w:val="133"/>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4"/>
          </w:tcPr>
          <w:p>
            <w:pPr>
              <w:jc w:val="center"/>
              <w:ind w:right="3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1"/>
                <w:szCs w:val="11"/>
                <w:color w:val="auto"/>
              </w:rPr>
            </w:pPr>
          </w:p>
        </w:tc>
        <w:tc>
          <w:tcPr>
            <w:tcW w:w="880" w:type="dxa"/>
            <w:vAlign w:val="bottom"/>
          </w:tcPr>
          <w:p>
            <w:pPr>
              <w:ind w:left="240"/>
              <w:spacing w:after="0" w:line="133" w:lineRule="exact"/>
              <w:rPr>
                <w:sz w:val="20"/>
                <w:szCs w:val="20"/>
                <w:color w:val="auto"/>
              </w:rPr>
            </w:pPr>
            <w:r>
              <w:rPr>
                <w:rFonts w:ascii="Arial" w:cs="Arial" w:eastAsia="Arial" w:hAnsi="Arial"/>
                <w:sz w:val="14"/>
                <w:szCs w:val="14"/>
                <w:b w:val="1"/>
                <w:bCs w:val="1"/>
                <w:color w:val="auto"/>
                <w:w w:val="95"/>
              </w:rPr>
              <w:t>March 31,</w:t>
            </w:r>
          </w:p>
        </w:tc>
        <w:tc>
          <w:tcPr>
            <w:tcW w:w="1760" w:type="dxa"/>
            <w:vAlign w:val="bottom"/>
          </w:tcPr>
          <w:p>
            <w:pPr>
              <w:ind w:left="66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3"/>
          </w:tcPr>
          <w:p>
            <w:pPr>
              <w:jc w:val="center"/>
              <w:ind w:right="85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89"/>
              </w:rPr>
              <w:t>2020</w:t>
            </w:r>
          </w:p>
        </w:tc>
        <w:tc>
          <w:tcPr>
            <w:tcW w:w="1760" w:type="dxa"/>
            <w:vAlign w:val="bottom"/>
          </w:tcPr>
          <w:p>
            <w:pPr>
              <w:jc w:val="center"/>
              <w:ind w:left="299"/>
              <w:spacing w:after="0"/>
              <w:rPr>
                <w:sz w:val="20"/>
                <w:szCs w:val="20"/>
                <w:color w:val="auto"/>
              </w:rPr>
            </w:pPr>
            <w:r>
              <w:rPr>
                <w:rFonts w:ascii="Arial" w:cs="Arial" w:eastAsia="Arial" w:hAnsi="Arial"/>
                <w:sz w:val="14"/>
                <w:szCs w:val="14"/>
                <w:b w:val="1"/>
                <w:bCs w:val="1"/>
                <w:color w:val="auto"/>
                <w:w w:val="96"/>
              </w:rPr>
              <w:t>2019</w:t>
            </w:r>
          </w:p>
        </w:tc>
      </w:tr>
      <w:tr>
        <w:trPr>
          <w:trHeight w:val="155"/>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jc w:val="center"/>
              <w:ind w:left="224"/>
              <w:spacing w:after="0" w:line="155" w:lineRule="exact"/>
              <w:rPr>
                <w:sz w:val="20"/>
                <w:szCs w:val="20"/>
                <w:color w:val="auto"/>
              </w:rPr>
            </w:pPr>
            <w:r>
              <w:rPr>
                <w:rFonts w:ascii="Arial" w:cs="Arial" w:eastAsia="Arial" w:hAnsi="Arial"/>
                <w:sz w:val="14"/>
                <w:szCs w:val="14"/>
                <w:b w:val="1"/>
                <w:bCs w:val="1"/>
                <w:color w:val="auto"/>
                <w:w w:val="89"/>
              </w:rPr>
              <w:t>2020</w:t>
            </w:r>
          </w:p>
        </w:tc>
        <w:tc>
          <w:tcPr>
            <w:tcW w:w="1800" w:type="dxa"/>
            <w:vAlign w:val="bottom"/>
            <w:tcBorders>
              <w:top w:val="single" w:sz="8" w:color="auto"/>
            </w:tcBorders>
            <w:gridSpan w:val="3"/>
          </w:tcPr>
          <w:p>
            <w:pPr>
              <w:jc w:val="center"/>
              <w:ind w:left="359"/>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ind w:right="919"/>
              <w:spacing w:after="0" w:line="155" w:lineRule="exact"/>
              <w:rPr>
                <w:sz w:val="20"/>
                <w:szCs w:val="20"/>
                <w:color w:val="auto"/>
              </w:rPr>
            </w:pPr>
            <w:r>
              <w:rPr>
                <w:rFonts w:ascii="Arial" w:cs="Arial" w:eastAsia="Arial" w:hAnsi="Arial"/>
                <w:sz w:val="14"/>
                <w:szCs w:val="14"/>
                <w:b w:val="1"/>
                <w:bCs w:val="1"/>
                <w:color w:val="auto"/>
                <w:w w:val="94"/>
              </w:rPr>
              <w:t>(unaudited)</w:t>
            </w: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center"/>
              <w:ind w:left="224"/>
              <w:spacing w:after="0"/>
              <w:rPr>
                <w:sz w:val="20"/>
                <w:szCs w:val="20"/>
                <w:color w:val="auto"/>
              </w:rPr>
            </w:pPr>
            <w:r>
              <w:rPr>
                <w:rFonts w:ascii="Arial" w:cs="Arial" w:eastAsia="Arial" w:hAnsi="Arial"/>
                <w:sz w:val="18"/>
                <w:szCs w:val="18"/>
                <w:color w:val="auto"/>
                <w:w w:val="88"/>
              </w:rPr>
              <w:t>77%</w:t>
            </w: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8"/>
              </w:rPr>
              <w:t>59%</w:t>
            </w:r>
          </w:p>
        </w:tc>
        <w:tc>
          <w:tcPr>
            <w:tcW w:w="1020" w:type="dxa"/>
            <w:vAlign w:val="bottom"/>
            <w:tcBorders>
              <w:top w:val="single" w:sz="8" w:color="CFF0FC"/>
            </w:tcBorders>
            <w:gridSpan w:val="2"/>
            <w:shd w:val="clear" w:color="auto" w:fill="CFF0FC"/>
          </w:tcPr>
          <w:p>
            <w:pPr>
              <w:jc w:val="center"/>
              <w:ind w:left="295"/>
              <w:spacing w:after="0"/>
              <w:rPr>
                <w:sz w:val="20"/>
                <w:szCs w:val="20"/>
                <w:color w:val="auto"/>
              </w:rPr>
            </w:pPr>
            <w:r>
              <w:rPr>
                <w:rFonts w:ascii="Arial" w:cs="Arial" w:eastAsia="Arial" w:hAnsi="Arial"/>
                <w:sz w:val="18"/>
                <w:szCs w:val="18"/>
                <w:color w:val="auto"/>
                <w:w w:val="88"/>
              </w:rPr>
              <w:t>36%</w:t>
            </w:r>
          </w:p>
        </w:tc>
        <w:tc>
          <w:tcPr>
            <w:tcW w:w="1760" w:type="dxa"/>
            <w:vAlign w:val="bottom"/>
            <w:tcBorders>
              <w:top w:val="single" w:sz="8" w:color="CFF0FC"/>
            </w:tcBorders>
            <w:shd w:val="clear" w:color="auto" w:fill="CFF0FC"/>
          </w:tcPr>
          <w:p>
            <w:pPr>
              <w:jc w:val="center"/>
              <w:ind w:left="299"/>
              <w:spacing w:after="0"/>
              <w:rPr>
                <w:sz w:val="20"/>
                <w:szCs w:val="20"/>
                <w:color w:val="auto"/>
              </w:rPr>
            </w:pPr>
            <w:r>
              <w:rPr>
                <w:rFonts w:ascii="Arial" w:cs="Arial" w:eastAsia="Arial" w:hAnsi="Arial"/>
                <w:sz w:val="18"/>
                <w:szCs w:val="18"/>
                <w:color w:val="auto"/>
                <w:w w:val="94"/>
              </w:rPr>
              <w:t>19%</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Pfizer Inc.</w:t>
            </w:r>
          </w:p>
        </w:tc>
        <w:tc>
          <w:tcPr>
            <w:tcW w:w="960" w:type="dxa"/>
            <w:vAlign w:val="bottom"/>
            <w:gridSpan w:val="2"/>
          </w:tcPr>
          <w:p>
            <w:pPr>
              <w:jc w:val="center"/>
              <w:ind w:left="35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center"/>
              <w:ind w:left="359"/>
              <w:spacing w:after="0"/>
              <w:rPr>
                <w:sz w:val="20"/>
                <w:szCs w:val="20"/>
                <w:color w:val="auto"/>
              </w:rPr>
            </w:pPr>
            <w:r>
              <w:rPr>
                <w:rFonts w:ascii="Arial" w:cs="Arial" w:eastAsia="Arial" w:hAnsi="Arial"/>
                <w:sz w:val="18"/>
                <w:szCs w:val="18"/>
                <w:color w:val="auto"/>
                <w:w w:val="88"/>
              </w:rPr>
              <w:t>17%</w:t>
            </w:r>
          </w:p>
        </w:tc>
        <w:tc>
          <w:tcPr>
            <w:tcW w:w="1020" w:type="dxa"/>
            <w:vAlign w:val="bottom"/>
            <w:gridSpan w:val="2"/>
          </w:tcPr>
          <w:p>
            <w:pPr>
              <w:jc w:val="center"/>
              <w:ind w:left="295"/>
              <w:spacing w:after="0"/>
              <w:rPr>
                <w:sz w:val="20"/>
                <w:szCs w:val="20"/>
                <w:color w:val="auto"/>
              </w:rPr>
            </w:pPr>
            <w:r>
              <w:rPr>
                <w:rFonts w:ascii="Arial" w:cs="Arial" w:eastAsia="Arial" w:hAnsi="Arial"/>
                <w:sz w:val="18"/>
                <w:szCs w:val="18"/>
                <w:color w:val="auto"/>
                <w:w w:val="88"/>
              </w:rPr>
              <w:t>12%</w:t>
            </w:r>
          </w:p>
        </w:tc>
        <w:tc>
          <w:tcPr>
            <w:tcW w:w="1760" w:type="dxa"/>
            <w:vAlign w:val="bottom"/>
          </w:tcPr>
          <w:p>
            <w:pPr>
              <w:jc w:val="center"/>
              <w:ind w:left="299"/>
              <w:spacing w:after="0"/>
              <w:rPr>
                <w:sz w:val="20"/>
                <w:szCs w:val="20"/>
                <w:color w:val="auto"/>
              </w:rPr>
            </w:pPr>
            <w:r>
              <w:rPr>
                <w:rFonts w:ascii="Arial" w:cs="Arial" w:eastAsia="Arial" w:hAnsi="Arial"/>
                <w:sz w:val="18"/>
                <w:szCs w:val="18"/>
                <w:color w:val="auto"/>
                <w:w w:val="94"/>
              </w:rPr>
              <w:t>23%</w:t>
            </w:r>
          </w:p>
        </w:tc>
      </w:tr>
      <w:tr>
        <w:trPr>
          <w:trHeight w:val="230"/>
        </w:trPr>
        <w:tc>
          <w:tcPr>
            <w:tcW w:w="5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Indivumed GmbH</w:t>
            </w:r>
          </w:p>
        </w:tc>
        <w:tc>
          <w:tcPr>
            <w:tcW w:w="960" w:type="dxa"/>
            <w:vAlign w:val="bottom"/>
            <w:gridSpan w:val="2"/>
            <w:shd w:val="clear" w:color="auto" w:fill="CFF0FC"/>
          </w:tcPr>
          <w:p>
            <w:pPr>
              <w:jc w:val="center"/>
              <w:ind w:left="35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FF0FC"/>
          </w:tcPr>
          <w:p>
            <w:pPr>
              <w:jc w:val="center"/>
              <w:ind w:left="35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center"/>
              <w:ind w:left="295"/>
              <w:spacing w:after="0"/>
              <w:rPr>
                <w:sz w:val="20"/>
                <w:szCs w:val="20"/>
                <w:color w:val="auto"/>
              </w:rPr>
            </w:pPr>
            <w:r>
              <w:rPr>
                <w:rFonts w:ascii="Arial" w:cs="Arial" w:eastAsia="Arial" w:hAnsi="Arial"/>
                <w:sz w:val="18"/>
                <w:szCs w:val="18"/>
                <w:color w:val="auto"/>
                <w:w w:val="88"/>
              </w:rPr>
              <w:t>22%</w:t>
            </w:r>
          </w:p>
        </w:tc>
        <w:tc>
          <w:tcPr>
            <w:tcW w:w="1760" w:type="dxa"/>
            <w:vAlign w:val="bottom"/>
            <w:shd w:val="clear" w:color="auto" w:fill="CFF0FC"/>
          </w:tcPr>
          <w:p>
            <w:pPr>
              <w:jc w:val="center"/>
              <w:ind w:left="299"/>
              <w:spacing w:after="0"/>
              <w:rPr>
                <w:sz w:val="20"/>
                <w:szCs w:val="20"/>
                <w:color w:val="auto"/>
              </w:rPr>
            </w:pPr>
            <w:r>
              <w:rPr>
                <w:rFonts w:ascii="Arial" w:cs="Arial" w:eastAsia="Arial" w:hAnsi="Arial"/>
                <w:sz w:val="18"/>
                <w:szCs w:val="18"/>
                <w:color w:val="auto"/>
                <w:w w:val="94"/>
              </w:rPr>
              <w:t>30%</w:t>
            </w:r>
          </w:p>
        </w:tc>
      </w:tr>
    </w:tbl>
    <w:p>
      <w:pPr>
        <w:spacing w:after="0" w:line="14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Less than 10% of revenues or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jc w:val="both"/>
        <w:ind w:firstLine="749"/>
        <w:spacing w:after="0" w:line="275" w:lineRule="auto"/>
        <w:rPr>
          <w:sz w:val="20"/>
          <w:szCs w:val="20"/>
          <w:color w:val="auto"/>
        </w:rPr>
      </w:pPr>
      <w:r>
        <w:rPr>
          <w:rFonts w:ascii="Arial" w:cs="Arial" w:eastAsia="Arial" w:hAnsi="Arial"/>
          <w:sz w:val="17"/>
          <w:szCs w:val="17"/>
          <w:color w:val="auto"/>
        </w:rPr>
        <w:t>The Company derives revenues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4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costs of revenues primarily consist of production materials, personnel costs (e.g., salaries, bonuses, benefit, and stock-based compensation), cost of expensed equipment, consumables and laboratory supplies, information technology (“IT”) and facility costs, and depreciation and service maintenance contracts on capitalized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For options granted to employees, non-employees, and directors, stock-based compensation is measured at grant date based on the fair value of the award. The Company determines the grant-date fair value of the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is deemed to be a compensatory plan and therefore is included in stock-based compensation expense.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Inputs used in Black-Scholes option-pricing models to measure fair value of options are summarized as follows:</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is calculated using the simplified method, which is available if there is insufficient historical data about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used an average historical stock price volatility of a peer group of publicly traded companies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implied yield currently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equivalent to the expected term of a stock award.</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Company has not paid and does not anticipate paying any dividends in the near future. Accordingly,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estimated the dividend yield to be zero.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Unrealized gains and losses are included in accumulated other comprehensive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5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three-level hierarchy for the inputs to valuation techniques used to measure fair value is briefly summarized as follows: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1 — Unadjusted quoted prices in active markets that are accessible to the reporting entity at the measurement date for identical assets and liabilities.</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43"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are corroborated by observable market data by correlation or other means.</w:t>
      </w:r>
    </w:p>
    <w:p>
      <w:pPr>
        <w:spacing w:after="0" w:line="185"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Other Deferred Costs</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Inventory, consisting of supplies used in the Company’s genomic analysis contracts, are valued at the lower of cost or net realizable value. Cost is determined using actual costs, on a first-in, first-out basis.</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March 31, 2020, the Company had no finance leases.</w:t>
      </w:r>
    </w:p>
    <w:p>
      <w:pPr>
        <w:spacing w:after="0" w:line="143"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and the noncurrent portion included in “Other long-term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right="20" w:firstLine="749"/>
        <w:spacing w:after="0" w:line="277" w:lineRule="auto"/>
        <w:rPr>
          <w:sz w:val="20"/>
          <w:szCs w:val="20"/>
          <w:color w:val="auto"/>
        </w:rPr>
      </w:pPr>
      <w:r>
        <w:rPr>
          <w:rFonts w:ascii="Arial" w:cs="Arial" w:eastAsia="Arial" w:hAnsi="Arial"/>
          <w:sz w:val="18"/>
          <w:szCs w:val="18"/>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155"/>
        </w:trPr>
        <w:tc>
          <w:tcPr>
            <w:tcW w:w="4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8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3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14,756</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8,343</w:t>
            </w: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3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4,405</w:t>
            </w: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5,732</w:t>
            </w:r>
          </w:p>
        </w:tc>
      </w:tr>
      <w:tr>
        <w:trPr>
          <w:trHeight w:val="223"/>
        </w:trPr>
        <w:tc>
          <w:tcPr>
            <w:tcW w:w="4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19,161</w:t>
            </w: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14,075</w:t>
            </w:r>
          </w:p>
        </w:tc>
      </w:tr>
      <w:tr>
        <w:trPr>
          <w:trHeight w:val="20"/>
        </w:trPr>
        <w:tc>
          <w:tcPr>
            <w:tcW w:w="4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Revenues from countries outside of the United States, based on the billing addresses of customers, represented approximately 9% and 2% of the Company’s revenues for the three months ended March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had no contract assets as of March 31, 2020 and December 31, 2019.</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condensed consolidated balance sheets.</w:t>
      </w:r>
    </w:p>
    <w:p>
      <w:pPr>
        <w:spacing w:after="0" w:line="13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balance of contract liabilities was $34.4 million and $36.0 million as of March 31, 2020 and December 31, 2019, respectively. Revenues recognized for the three months ended March 31, 2020 and 2019 that were included in the contract liability balance at the beginning of each reporting period were $10.7 million and $7.8 million, respectively.</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$54.0 million as of March 31, 2020, which we expect to recognize as revenues over the next 12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3,919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1,424</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deferred costs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2,519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3,182</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inventory and other deferred costs</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8"/>
              </w:rPr>
              <w:t>6,438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4,606</w:t>
            </w: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Depreciation and amortization expense for the three months ended March 31, 2020 and 2019 was $1.4 million and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Accumulated depreciation and amortization was $10.2 million and $9.1 million as of March 31, 2020 and December 31, 2019, respectively.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5,399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4,147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1,107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1,361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taxes</w:t>
            </w: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689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241</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accrued and other current liabilities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7,375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6,648</w:t>
            </w: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tables show the Company’s financial assets and liabilities measured at fair value on a recurring basis and the level of inputs used in such measurements as of March 31, 2020 and December 31, 2019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Fair Value Level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17,637</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46,705</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46,694</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17,636</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12,894</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38,603</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73,339</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As of December 31, 2019</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Fair Value Level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12,495</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500"/>
              <w:spacing w:after="0"/>
              <w:rPr>
                <w:sz w:val="20"/>
                <w:szCs w:val="20"/>
                <w:color w:val="auto"/>
              </w:rPr>
            </w:pPr>
            <w:r>
              <w:rPr>
                <w:rFonts w:ascii="Arial" w:cs="Arial" w:eastAsia="Arial" w:hAnsi="Arial"/>
                <w:sz w:val="18"/>
                <w:szCs w:val="18"/>
                <w:color w:val="auto"/>
              </w:rPr>
              <w:t>Total cash and cash equivalents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55,046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17,892</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32,794</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4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128,289</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There have been no realized gains or losses on sales of marketable securities for the periods presented. The Company began investing in marketable debt securities during the third quarter of 2019 and, therefore, no security has been in an unrealized loss position for 12 months or greater. The Company determined that it did have the ability and intent to hold all marketable securities that have been in a continuous loss position until maturity or recovery. As of March 31, 2020, the Company does not consider any of its marketable debt securities to be other-than-temporarily impaired.</w:t>
      </w:r>
    </w:p>
    <w:p>
      <w:pPr>
        <w:spacing w:after="0" w:line="117" w:lineRule="exact"/>
        <w:rPr>
          <w:sz w:val="20"/>
          <w:szCs w:val="20"/>
          <w:color w:val="auto"/>
        </w:rPr>
      </w:pPr>
    </w:p>
    <w:p>
      <w:pPr>
        <w:jc w:val="both"/>
        <w:ind w:right="40" w:firstLine="749"/>
        <w:spacing w:after="0" w:line="277" w:lineRule="auto"/>
        <w:rPr>
          <w:sz w:val="20"/>
          <w:szCs w:val="20"/>
          <w:color w:val="auto"/>
        </w:rPr>
      </w:pPr>
      <w:r>
        <w:rPr>
          <w:rFonts w:ascii="Arial" w:cs="Arial" w:eastAsia="Arial" w:hAnsi="Arial"/>
          <w:sz w:val="18"/>
          <w:szCs w:val="18"/>
          <w:color w:val="auto"/>
        </w:rPr>
        <w:t>The Company’s marketable debt securities at March 31, 2020 have maturities due in one year or less, except for debt securities with an aggregate cost basis and fair value of $13.2 million that have maturities ranging from 13 to 18 months.</w:t>
      </w:r>
    </w:p>
    <w:p>
      <w:pPr>
        <w:spacing w:after="0" w:line="143"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7"/>
          <w:szCs w:val="17"/>
          <w:color w:val="auto"/>
        </w:rPr>
        <w:t>The Black-Scholes option-pricing model was used to estimate the fair value of the redeemable convertible preferred stock warrants at the date of issuance and at each subsequent consolidated balance sheet date. The fair value of the redeemable convertible preferred stock warrants was also estimated at the time of conversion to common stock warrants (see Note 10). Under this option-pricing model, redeemable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3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6"/>
          <w:szCs w:val="16"/>
          <w:color w:val="auto"/>
        </w:rPr>
        <w:t>The fair value of each redeemable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6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48"/>
        </w:trPr>
        <w:tc>
          <w:tcPr>
            <w:tcW w:w="906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9060" w:type="dxa"/>
            <w:vAlign w:val="bottom"/>
            <w:tcBorders>
              <w:bottom w:val="single" w:sz="8" w:color="CFF0FC"/>
            </w:tcBorders>
          </w:tcPr>
          <w:p>
            <w:pPr>
              <w:spacing w:after="0"/>
              <w:rPr>
                <w:sz w:val="14"/>
                <w:szCs w:val="14"/>
                <w:color w:val="auto"/>
              </w:rPr>
            </w:pPr>
          </w:p>
        </w:tc>
        <w:tc>
          <w:tcPr>
            <w:tcW w:w="21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4"/>
                <w:szCs w:val="14"/>
                <w:b w:val="1"/>
                <w:bCs w:val="1"/>
                <w:color w:val="auto"/>
              </w:rPr>
              <w:t>2019</w:t>
            </w:r>
          </w:p>
        </w:tc>
      </w:tr>
      <w:tr>
        <w:trPr>
          <w:trHeight w:val="223"/>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- 7.00</w:t>
            </w: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56.89%</w:t>
            </w:r>
          </w:p>
        </w:tc>
        <w:tc>
          <w:tcPr>
            <w:tcW w:w="1160" w:type="dxa"/>
            <w:vAlign w:val="bottom"/>
          </w:tcPr>
          <w:p>
            <w:pPr>
              <w:ind w:left="20"/>
              <w:spacing w:after="0"/>
              <w:rPr>
                <w:sz w:val="20"/>
                <w:szCs w:val="20"/>
                <w:color w:val="auto"/>
              </w:rPr>
            </w:pPr>
            <w:r>
              <w:rPr>
                <w:rFonts w:ascii="Arial" w:cs="Arial" w:eastAsia="Arial" w:hAnsi="Arial"/>
                <w:sz w:val="18"/>
                <w:szCs w:val="18"/>
                <w:color w:val="auto"/>
              </w:rPr>
              <w:t>- 57.24%</w:t>
            </w: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- 2.31%</w:t>
            </w: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Dividend yield</w:t>
            </w: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r>
    </w:tbl>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sets forth a summary of the changes in the fair value of the Company’s Level 3 financial instruments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Warrant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5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w:t>
            </w:r>
          </w:p>
        </w:tc>
        <w:tc>
          <w:tcPr>
            <w:tcW w:w="53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March 31, 2019</w:t>
            </w:r>
          </w:p>
        </w:tc>
        <w:tc>
          <w:tcPr>
            <w:tcW w:w="5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340" w:type="dxa"/>
            <w:vAlign w:val="bottom"/>
            <w:vMerge w:val="restart"/>
          </w:tcPr>
          <w:p>
            <w:pPr>
              <w:jc w:val="right"/>
              <w:ind w:right="343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amounts outstanding under financing arrangements as of March 31, 2020 or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Loan</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June 2017, the Company entered into a $10.0 million revolving loan and security agreement (the “Revolving Loan”) with TriplePoint Capital LLC (“TriplePoint”). The Company borrowed $5.0 million under the Revolving Loan.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3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connection with the Revolving Loan, the Company issued to TriplePoint a warrant to purchase up to 62,096 shares of the Company’s Series C redeemable convertible preferred stock at an exercise price of $8.052 per share exercisable for seven years from June 28, 2017 (see Note 10).</w:t>
      </w:r>
    </w:p>
    <w:p>
      <w:pPr>
        <w:spacing w:after="0" w:line="9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0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three months ended March 31, 2019 was $0.2 million. On March 22, 2019, this Revolving Loan was repaid in full.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Capital Loan</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March 22, 2019, the Company entered into a growth capital loan (the “Growth Capital Loan”) with TriplePoint to provide for a $20.0 million growth capital loan facility and had drawn down the full $20.0 million available under the facility. The Company used $5.1 million of the Growth Capital Loan to repay, in its entirety, all amounts outstanding under the Revolving Loan. Borrowings under the Growth Capital Loan bore interest at a floating rate of prime rate plus 5.00% for borrowings up to $15.0 million and the prime rate plus 6.50% for borrowing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voluntarily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this growth capital loan facility.</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the Growth Capital Loan, the Company issued a warrant to purchase 65,502 shares of common stock to TriplePoint at an exercise price of $9.16 per share exercisable for seven years from March 22, 2019.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Upon issuance, the Growth Capital Loan had an effective interest rate of 15.23% per year. Interest expense for the three months ended March 31, 2019 was not material. On August 14, 2019 the Company paid off the Growth Capital Loan in its entirety.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February 2015, the Company entered into a noncancelable operating lease for approximately 31,280 square feet of space used for its current laboratory and office space. The lease expires on November 30, 2020 and includes an option to extend the term for a period of three years immediately following the expiration of the term with rent payments equal to then current fair market rental for the space.</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August 2019, the Company entered into a noncancelable operating lease for a co-located data center space. The lease expires on September 1, 2022 and includes an option to extend the term for a period of three years immediately following the expiration of the term with rent payments to be negotiated upon such a renewal.</w:t>
      </w:r>
    </w:p>
    <w:p>
      <w:pPr>
        <w:spacing w:after="0" w:line="15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Company determined the amounts of lease liability related to the laboratory and office space lease using a discount rate of 8.0%. With respect to the lease for co-located data center space, the Company determined the amounts of lease liability using a discount rate of 6.6%, and the Company recognized a $1.1 million operating lease right-of-use asset and lease liability on the lease commencement date in September 2019. Both discount rates represented the Company’s incremental borrowing rates. The Company determined that the optional renewal periods for both leases were not reasonably certain to be exercised as of the lease commencement dates. As a result, the optional renewal periods were not recognized as part of the right-of-use assets or lease liabilities.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Operating lease cost for the three months ended March 31, 2020 and 2019 was $0.3 million and $0.2 million, respectively. Cash paid for operating lease liabilities, included in cash flow from operating activities in the condensed consolidated statement of cash flows was $0.4 million and $0.3 million for the three months ended March 31, 2020 and 2019, respectively. As of March 31, 2020, the weighted average remaining lease term for the operating leases was 1.6 years and the weighted average incremental borrowing rate was 7.2%.</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at March 31, 2020 under noncancelable operating leases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 nine months)</w:t>
            </w: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current portion of operating lease liability</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In April 2020, the Company executed an amendment to the lease for its laboratory and office space with the lessor to provide for a seven-year extension (the “Lease Extension”). The lease term was extended from December 2020 through November 2027. Future minimum lease payments under the lease extension are $14.8 million and commence on December 1, 2020. The Lease Extension includes an option to extend the term for a period of three years immediately following the expiration of the term with rent payments equal to then current fair market rental for the space.</w:t>
      </w:r>
    </w:p>
    <w:p>
      <w:pPr>
        <w:spacing w:after="0" w:line="130"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In April 2020, the lease for co-located data center space was modified to increase the data center space available for the Company’s use by approximately 57% for the remainder of the lease term. Minimum lease payments increased $0.5 million for the remainder of the lease term.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2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5"/>
          </w:tcPr>
          <w:p>
            <w:pPr>
              <w:jc w:val="right"/>
              <w:ind w:right="856"/>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31,250,000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7,812,497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20,500</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20,261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19,288,150</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4,799,548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22,047</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24,700,000</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5,862,697</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47,206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redeemable convertible preferred stock</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75,238,150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18,474,742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89,784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89,404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Company’s June 2019 reverse stock split was effected on a holder-by-holder basis with no fractional shares issued, which resulted in 39 fewer shares of common stock issued as compared to the amounts shown in the above table.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 and 2019 Equity Incentive Plan</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 The exercise price of an ISO granted to a 10% stockholder was not less than 110% of the estimated fair value of the shares on the date of grant, as determined by the board of directors. Options granted to new hires generally vested over a four-year period, with 25% vesting at the end of one year and the remaining vesting monthly thereafter; options granted as merit awards generally vested monthly over a four-year period.</w:t>
      </w:r>
    </w:p>
    <w:p>
      <w:pPr>
        <w:spacing w:after="0" w:line="15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zero unvested shares subject to the Company’s repurchase rights as of March 31, 2020 and December 31, 2019.</w:t>
      </w:r>
    </w:p>
    <w:p>
      <w:pPr>
        <w:spacing w:after="0" w:line="11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Company’s Board adopted and the Company’s stockholders approved the Company’s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0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our common stock on the date of grant. Options under the 2019 Plan may be granted for periods of up to 10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6"/>
          <w:szCs w:val="16"/>
          <w:color w:val="auto"/>
        </w:rPr>
        <w:t>Shares of common stock available for issuance under the 2011 Plan and 2019 Plan at March 31, 2020 and December 31, 2019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Reserved for issuance upon exercise of options outstanding under the 2011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4,173,216</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4,474,057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Reserved for issuance upon exercise of options outstanding under the 2019 Plan</w:t>
            </w:r>
          </w:p>
        </w:tc>
        <w:tc>
          <w:tcPr>
            <w:tcW w:w="1540" w:type="dxa"/>
            <w:vAlign w:val="bottom"/>
          </w:tcPr>
          <w:p>
            <w:pPr>
              <w:jc w:val="right"/>
              <w:spacing w:after="0"/>
              <w:rPr>
                <w:sz w:val="20"/>
                <w:szCs w:val="20"/>
                <w:color w:val="auto"/>
              </w:rPr>
            </w:pPr>
            <w:r>
              <w:rPr>
                <w:rFonts w:ascii="Arial" w:cs="Arial" w:eastAsia="Arial" w:hAnsi="Arial"/>
                <w:sz w:val="18"/>
                <w:szCs w:val="18"/>
                <w:color w:val="auto"/>
              </w:rPr>
              <w:t>1,283,674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257,378</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Reserved for issuance upon settlement of RSUs under the 2019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407,101</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Reserved and available for issuance under the 2019 Plan</w:t>
            </w:r>
            <w:r>
              <w:rPr>
                <w:rFonts w:ascii="Arial" w:cs="Arial" w:eastAsia="Arial" w:hAnsi="Arial"/>
                <w:sz w:val="15"/>
                <w:szCs w:val="15"/>
                <w:color w:val="auto"/>
              </w:rPr>
              <w:t>(1)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2,654,524</w:t>
            </w:r>
          </w:p>
        </w:tc>
        <w:tc>
          <w:tcPr>
            <w:tcW w:w="3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2,392,343</w:t>
            </w:r>
          </w:p>
        </w:tc>
        <w:tc>
          <w:tcPr>
            <w:tcW w:w="120" w:type="dxa"/>
            <w:vAlign w:val="bottom"/>
            <w:tcBorders>
              <w:bottom w:val="single" w:sz="8" w:color="CFF0FC"/>
            </w:tcBorders>
          </w:tcPr>
          <w:p>
            <w:pPr>
              <w:spacing w:after="0"/>
              <w:rPr>
                <w:sz w:val="19"/>
                <w:szCs w:val="19"/>
                <w:color w:val="auto"/>
              </w:rPr>
            </w:pPr>
          </w:p>
        </w:tc>
      </w:tr>
      <w:tr>
        <w:trPr>
          <w:trHeight w:val="243"/>
        </w:trPr>
        <w:tc>
          <w:tcPr>
            <w:tcW w:w="7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number of shares reserved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8,518,515</w:t>
            </w:r>
          </w:p>
        </w:tc>
        <w:tc>
          <w:tcPr>
            <w:tcW w:w="3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7,243,778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7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2"/>
          <w:szCs w:val="12"/>
          <w:color w:val="auto"/>
        </w:rPr>
      </w:pPr>
      <w:r>
        <w:rPr>
          <w:rFonts w:ascii="Arial" w:cs="Arial" w:eastAsia="Arial" w:hAnsi="Arial"/>
          <w:sz w:val="14"/>
          <w:szCs w:val="14"/>
          <w:color w:val="auto"/>
        </w:rPr>
        <w:t>Includes share increase added January 1, 2020 pursuant to the “evergreen” provision in the amount of 1,562,151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 (excluding performance-based stock options)</w:t>
      </w:r>
    </w:p>
    <w:p>
      <w:pPr>
        <w:spacing w:after="0" w:line="19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A summary of the Company’s stock option activity, excluding performance-based stock options, under the 2011 Plan and 2019 Plan for the three months ended March 31, 2020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Outstanding Options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4,731,435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616,796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(277,415)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Options cancelled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(34,926)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5,035,890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March 31, 2020</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2,785,380</w:t>
            </w:r>
          </w:p>
        </w:tc>
        <w:tc>
          <w:tcPr>
            <w:tcW w:w="1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aggregate intrinsic value of unexercised stock options is calculated as the difference between the closing price of the Company’s common stock of $8.07 on March 31, 2020 and the exercise prices of the underlying stock options. Out-of-the money stock options are excluded from the aggregate intrinsic value.</w:t>
      </w:r>
    </w:p>
    <w:p>
      <w:pPr>
        <w:spacing w:after="0" w:line="143"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weighted-average grant date fair value of options granted was $3.46 and $7.76 per share for the three months ended March 31, 2020 and 2019, respectively. As of March 31, 2020, the unrecognized stock-based compensation cost of unvested options was $10.5 million, which is expected to be recognized over a weighted-average period of 2.7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 (excluding performance-based stock options)</w:t>
      </w:r>
    </w:p>
    <w:p>
      <w:pPr>
        <w:spacing w:after="0" w:line="19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service-based stock options was estimated using the following weighted-average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r>
      <w:tr>
        <w:trPr>
          <w:trHeight w:val="156"/>
        </w:trPr>
        <w:tc>
          <w:tcPr>
            <w:tcW w:w="3660" w:type="dxa"/>
            <w:vAlign w:val="bottom"/>
            <w:tcBorders>
              <w:bottom w:val="single" w:sz="8" w:color="CFF0FC"/>
            </w:tcBorders>
          </w:tcPr>
          <w:p>
            <w:pPr>
              <w:spacing w:after="0"/>
              <w:rPr>
                <w:sz w:val="13"/>
                <w:szCs w:val="13"/>
                <w:color w:val="auto"/>
              </w:rPr>
            </w:pPr>
          </w:p>
        </w:tc>
        <w:tc>
          <w:tcPr>
            <w:tcW w:w="27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917"/>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2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7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5.77 - 6.08</w:t>
            </w:r>
          </w:p>
        </w:tc>
        <w:tc>
          <w:tcPr>
            <w:tcW w:w="220" w:type="dxa"/>
            <w:vAlign w:val="bottom"/>
            <w:shd w:val="clear" w:color="auto" w:fill="CFF0FC"/>
          </w:tcPr>
          <w:p>
            <w:pPr>
              <w:spacing w:after="0"/>
              <w:rPr>
                <w:sz w:val="19"/>
                <w:szCs w:val="19"/>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6.87</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Volatility</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61.74</w:t>
            </w:r>
          </w:p>
        </w:tc>
        <w:tc>
          <w:tcPr>
            <w:tcW w:w="1280" w:type="dxa"/>
            <w:vAlign w:val="bottom"/>
          </w:tcPr>
          <w:p>
            <w:pPr>
              <w:ind w:left="40"/>
              <w:spacing w:after="0"/>
              <w:rPr>
                <w:sz w:val="20"/>
                <w:szCs w:val="20"/>
                <w:color w:val="auto"/>
              </w:rPr>
            </w:pPr>
            <w:r>
              <w:rPr>
                <w:rFonts w:ascii="Arial" w:cs="Arial" w:eastAsia="Arial" w:hAnsi="Arial"/>
                <w:sz w:val="18"/>
                <w:szCs w:val="18"/>
                <w:color w:val="auto"/>
              </w:rPr>
              <w:t>- 64.13%</w:t>
            </w:r>
          </w:p>
        </w:tc>
        <w:tc>
          <w:tcPr>
            <w:tcW w:w="2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56.20%</w:t>
            </w:r>
          </w:p>
        </w:tc>
        <w:tc>
          <w:tcPr>
            <w:tcW w:w="2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- 1.66%</w:t>
            </w:r>
          </w:p>
        </w:tc>
        <w:tc>
          <w:tcPr>
            <w:tcW w:w="220" w:type="dxa"/>
            <w:vAlign w:val="bottom"/>
            <w:shd w:val="clear" w:color="auto" w:fill="CFF0FC"/>
          </w:tcPr>
          <w:p>
            <w:pPr>
              <w:spacing w:after="0"/>
              <w:rPr>
                <w:sz w:val="19"/>
                <w:szCs w:val="19"/>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2.49 - 2.52%</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Dividend yield</w:t>
            </w:r>
          </w:p>
        </w:tc>
        <w:tc>
          <w:tcPr>
            <w:tcW w:w="2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gridSpan w:val="2"/>
          </w:tcPr>
          <w:p>
            <w:pPr>
              <w:jc w:val="center"/>
              <w:ind w:right="1220"/>
              <w:spacing w:after="0"/>
              <w:rPr>
                <w:sz w:val="20"/>
                <w:szCs w:val="20"/>
                <w:color w:val="auto"/>
              </w:rPr>
            </w:pPr>
            <w:r>
              <w:rPr>
                <w:rFonts w:ascii="Arial" w:cs="Arial" w:eastAsia="Arial" w:hAnsi="Arial"/>
                <w:sz w:val="18"/>
                <w:szCs w:val="18"/>
                <w:color w:val="auto"/>
                <w:w w:val="92"/>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0" w:type="dxa"/>
            <w:vAlign w:val="bottom"/>
          </w:tcPr>
          <w:p>
            <w:pPr>
              <w:spacing w:after="0"/>
              <w:rPr>
                <w:sz w:val="20"/>
                <w:szCs w:val="20"/>
                <w:color w:val="auto"/>
              </w:rPr>
            </w:pPr>
          </w:p>
        </w:tc>
      </w:tr>
      <w:tr>
        <w:trPr>
          <w:trHeight w:val="647"/>
        </w:trPr>
        <w:tc>
          <w:tcPr>
            <w:tcW w:w="3660" w:type="dxa"/>
            <w:vAlign w:val="bottom"/>
          </w:tcPr>
          <w:p>
            <w:pPr>
              <w:spacing w:after="0"/>
              <w:rPr>
                <w:sz w:val="24"/>
                <w:szCs w:val="24"/>
                <w:color w:val="auto"/>
              </w:rPr>
            </w:pPr>
          </w:p>
        </w:tc>
        <w:tc>
          <w:tcPr>
            <w:tcW w:w="2780" w:type="dxa"/>
            <w:vAlign w:val="bottom"/>
          </w:tcPr>
          <w:p>
            <w:pPr>
              <w:jc w:val="right"/>
              <w:ind w:right="63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185" w:lineRule="exact"/>
        <w:rPr>
          <w:sz w:val="20"/>
          <w:szCs w:val="20"/>
          <w:color w:val="auto"/>
        </w:rPr>
      </w:pPr>
    </w:p>
    <w:p>
      <w:pPr>
        <w:jc w:val="both"/>
        <w:ind w:right="20" w:firstLine="749"/>
        <w:spacing w:after="0" w:line="296" w:lineRule="auto"/>
        <w:rPr>
          <w:sz w:val="20"/>
          <w:szCs w:val="20"/>
          <w:color w:val="auto"/>
        </w:rPr>
      </w:pPr>
      <w:r>
        <w:rPr>
          <w:rFonts w:ascii="Arial" w:cs="Arial" w:eastAsia="Arial" w:hAnsi="Arial"/>
          <w:sz w:val="16"/>
          <w:szCs w:val="16"/>
          <w:color w:val="auto"/>
        </w:rPr>
        <w:t>Pursuant to the 2019 Plan, the Company granted in March 2020 a performance-based stock option (“PSO”) to the Company’s Chief Executive Officer. The PSO awarded is subject to the Chief Executive Officer’s continued service to the Company through the date of vesting and if the performance metrics are not met within the contractual term, the PSO will be canceled. The shares subject to the PSO will vest in full if a market price condition is met. Upon a change in control, the vesting of the shares subject to the PSO will accelerate on a pro rata basis based on the price per share in such change in control transaction relative to the market price condition, with up to 100% of the shares eligible for such accelerated vesting.</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under the 2019 Plan for the three months ended March 31, 2020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Outstanding Performance-Based Options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421,000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421,000</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March 31, 2020</w:t>
            </w: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The aggregate intrinsic value of unexercised stock options is calculated as the difference between the closing price of the Company’s common stock of $8.07 on March 31, 2020 and the exercise price of the underlying stock options. As of March 31, 2020, the unrecognized stock-based compensation cost of unvested performance-based options was $1.4 million, which is expected to be recognized over a period of 4.5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Performance-Based Stock Options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assumptions used in calculating the estimated values of the PSO were based upon Monte Carlo Model Assumptions and estimates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Performance period (in years)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Derived service period (in years)</w:t>
            </w:r>
          </w:p>
        </w:tc>
        <w:tc>
          <w:tcPr>
            <w:tcW w:w="38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293"/>
              <w:spacing w:after="0"/>
              <w:rPr>
                <w:sz w:val="20"/>
                <w:szCs w:val="20"/>
                <w:color w:val="auto"/>
              </w:rPr>
            </w:pPr>
            <w:r>
              <w:rPr>
                <w:rFonts w:ascii="Arial" w:cs="Arial" w:eastAsia="Arial" w:hAnsi="Arial"/>
                <w:sz w:val="18"/>
                <w:szCs w:val="18"/>
                <w:color w:val="auto"/>
                <w:w w:val="91"/>
              </w:rPr>
              <w:t>63.60%</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9"/>
                <w:szCs w:val="19"/>
                <w:color w:val="auto"/>
              </w:rPr>
            </w:pPr>
          </w:p>
        </w:tc>
        <w:tc>
          <w:tcPr>
            <w:tcW w:w="1500" w:type="dxa"/>
            <w:vAlign w:val="bottom"/>
          </w:tcPr>
          <w:p>
            <w:pPr>
              <w:jc w:val="center"/>
              <w:ind w:right="313"/>
              <w:spacing w:after="0"/>
              <w:rPr>
                <w:sz w:val="20"/>
                <w:szCs w:val="20"/>
                <w:color w:val="auto"/>
              </w:rPr>
            </w:pPr>
            <w:r>
              <w:rPr>
                <w:rFonts w:ascii="Arial" w:cs="Arial" w:eastAsia="Arial" w:hAnsi="Arial"/>
                <w:sz w:val="18"/>
                <w:szCs w:val="18"/>
                <w:color w:val="auto"/>
                <w:w w:val="90"/>
              </w:rPr>
              <w:t>1.02%</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w w:val="92"/>
              </w:rPr>
              <w:t>–%</w:t>
            </w:r>
          </w:p>
        </w:tc>
      </w:tr>
      <w:tr>
        <w:trPr>
          <w:trHeight w:val="243"/>
        </w:trPr>
        <w:tc>
          <w:tcPr>
            <w:tcW w:w="9240" w:type="dxa"/>
            <w:vAlign w:val="bottom"/>
          </w:tcPr>
          <w:p>
            <w:pPr>
              <w:spacing w:after="0"/>
              <w:rPr>
                <w:sz w:val="20"/>
                <w:szCs w:val="20"/>
                <w:color w:val="auto"/>
              </w:rPr>
            </w:pPr>
            <w:r>
              <w:rPr>
                <w:rFonts w:ascii="Arial" w:cs="Arial" w:eastAsia="Arial" w:hAnsi="Arial"/>
                <w:sz w:val="18"/>
                <w:szCs w:val="18"/>
                <w:color w:val="auto"/>
              </w:rPr>
              <w:t>Estimated fair value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Activity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RSU activity under the 2019 Plan for the three months ended March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360" w:type="dxa"/>
            <w:vAlign w:val="bottom"/>
            <w:tcBorders>
              <w:bottom w:val="single" w:sz="8" w:color="auto"/>
            </w:tcBorders>
            <w:gridSpan w:val="7"/>
          </w:tcPr>
          <w:p>
            <w:pPr>
              <w:jc w:val="center"/>
              <w:ind w:left="1019"/>
              <w:spacing w:after="0"/>
              <w:rPr>
                <w:sz w:val="20"/>
                <w:szCs w:val="20"/>
                <w:color w:val="auto"/>
              </w:rPr>
            </w:pPr>
            <w:r>
              <w:rPr>
                <w:rFonts w:ascii="Arial" w:cs="Arial" w:eastAsia="Arial" w:hAnsi="Arial"/>
                <w:sz w:val="14"/>
                <w:szCs w:val="14"/>
                <w:b w:val="1"/>
                <w:bCs w:val="1"/>
                <w:color w:val="auto"/>
                <w:w w:val="91"/>
              </w:rPr>
              <w:t>Unvested Restricted Stock Units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2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22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RSUs 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297,100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RSUs vested</w:t>
            </w:r>
          </w:p>
        </w:tc>
        <w:tc>
          <w:tcPr>
            <w:tcW w:w="37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(9,999)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RSUs cancelled</w:t>
            </w:r>
          </w:p>
        </w:tc>
        <w:tc>
          <w:tcPr>
            <w:tcW w:w="2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2020</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4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20" w:type="dxa"/>
            <w:vAlign w:val="bottom"/>
            <w:vMerge w:val="restart"/>
          </w:tcPr>
          <w:p>
            <w:pPr>
              <w:jc w:val="right"/>
              <w:ind w:right="850"/>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1" w:name="page22"/>
    <w:bookmarkEnd w:id="21"/>
    <w:p>
      <w:pPr>
        <w:jc w:val="both"/>
        <w:ind w:firstLine="749"/>
        <w:spacing w:after="0" w:line="257" w:lineRule="auto"/>
        <w:rPr>
          <w:sz w:val="20"/>
          <w:szCs w:val="20"/>
          <w:color w:val="auto"/>
        </w:rPr>
      </w:pPr>
      <w:r>
        <w:rPr>
          <w:rFonts w:ascii="Arial" w:cs="Arial" w:eastAsia="Arial" w:hAnsi="Arial"/>
          <w:sz w:val="18"/>
          <w:szCs w:val="18"/>
          <w:color w:val="auto"/>
        </w:rPr>
        <w:t>The Company granted RSUs to employees to receive shares of the Company’s common stock. The RSUs awarded are subject to each individual’s continued service to the Company through each applicable vesting date. RSUs granted to new hires generally vest yearly over a four-year period. RSUs granted as merit awards generally vest quarterly over a three-year period. The Company accounted for the fair value of the RSUs using the closing market price of the Company’s common stock on the date of grant. The aggregate fair value of unvested RSUs is calculated using the closing price of the Company’s common stock of $8.07 on March 31, 2020.</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Amortization of stock-based compensation expense related to RSUs in the first three months of 2020 was $0.1 million. As of March 31, 2020, the unrecognized stock-based compensation cost of unvested RSUs was $2.4 million, which is expected to be recognized over a weighted-average period of 2.9 years.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us to the taxing authorities.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May 2019, the board of directors adopted the 2019 Employee Stock Purchase Plan (the “ESPP”), which was approved by the Company’s stockholders in June 2019. The number of shares available for issuance under the ESPP as of March 31, 2020 is 484,746, which includes shares added January 1, 2020 pursuant to the “evergreen” provision in the amount of 312,430 shares.</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Except for the initial offering period, the ESPP provides for separate six-month offering periods beginning on May 1 and November 1 of each year. The initial offering period ran from June 20, 2019 through October 31, 2019.</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During the three months ended March 31, 2020, no shares of common stock were purchased under the ESPP. The total compensation expense related to the ESPP for the three months ended March 31, 2020 was $0.1 million. The following assumptions were used to calculate the stock-based compensation for each stock purchase right granted under the ESPP: a weighted-average expected life of 0.5 years, expected volatility of 59.9%, a risk-free interest rate of 1.6%, and a zero dividend yield.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164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360</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609</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 Warrants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September 2014, in connection with a loan, the Company issued a warrant to purchase 22,489 shares of its Series B redeemable convertible preferred stock at an exercise price of $4.60 per share.</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62,096 shares of its Series C redeemable convertible preferred stock at an exercise price of $8.052, subject to certain adjustments, such as any stock splits, stock dividends, recapitalizations, reclassifications, combinations, or similar transactions. The remaining term of the Series C convertible preferred stock warrant is seven years from June 28, 2017.</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749"/>
        <w:spacing w:after="0" w:line="263"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4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Subsequent to the conversion to a common stock warrant and before the end of the Company’s second quarter ended June 30, 2019, the common stock warrant for 22,489 shares was exercised. As a result, the Company issued 19,069 shares of common stock as the contract allows a net share settlement. Separately, the common stock warrant issued in June 2017 for 62,096 shares was still outstanding as of March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Warrants</w:t>
      </w:r>
    </w:p>
    <w:p>
      <w:pPr>
        <w:spacing w:after="0" w:line="20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w:t>
      </w:r>
    </w:p>
    <w:p>
      <w:pPr>
        <w:spacing w:after="0" w:line="131"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In connection with the Growth Capital Loan agreement (see Note 6), the Company issued a warrant to purchase 65,502 shares of common stock to the lender at an exercise price of $9.16 per share exercisable for seven years from March 22, 2019. The Company recorded the issuance-date fair value of the warrant of $0.6 million in equity as the warrant met all criteria for equity classification. The warrant is still outstanding as of March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9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March 31, 2020, the Company was not involved in any material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18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Because the Company reported a net loss for the three months ended March 31, 2020 and 2019,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6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(9,139)</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31,345,029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3,091,504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shares subject to repurchase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r>
      <w:tr>
        <w:trPr>
          <w:trHeight w:val="209"/>
        </w:trPr>
        <w:tc>
          <w:tcPr>
            <w:tcW w:w="7720" w:type="dxa"/>
            <w:vAlign w:val="bottom"/>
          </w:tcPr>
          <w:p>
            <w:pPr>
              <w:ind w:left="260"/>
              <w:spacing w:after="0"/>
              <w:rPr>
                <w:sz w:val="20"/>
                <w:szCs w:val="20"/>
                <w:color w:val="auto"/>
              </w:rPr>
            </w:pPr>
            <w:r>
              <w:rPr>
                <w:rFonts w:ascii="Arial" w:cs="Arial" w:eastAsia="Arial" w:hAnsi="Arial"/>
                <w:sz w:val="18"/>
                <w:szCs w:val="18"/>
                <w:color w:val="auto"/>
                <w:w w:val="94"/>
              </w:rPr>
              <w:t>Weighted-average shares outstanding used in computing net loss per share attributable to common</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stockholders — basic and diluted</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31,345,029</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3,091,342</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3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18,474,742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Common stock warrants</w:t>
            </w:r>
          </w:p>
        </w:tc>
        <w:tc>
          <w:tcPr>
            <w:tcW w:w="4880" w:type="dxa"/>
            <w:vAlign w:val="bottom"/>
            <w:gridSpan w:val="2"/>
          </w:tcPr>
          <w:p>
            <w:pPr>
              <w:jc w:val="right"/>
              <w:ind w:right="55"/>
              <w:spacing w:after="0"/>
              <w:rPr>
                <w:sz w:val="20"/>
                <w:szCs w:val="20"/>
                <w:color w:val="auto"/>
              </w:rPr>
            </w:pPr>
            <w:r>
              <w:rPr>
                <w:rFonts w:ascii="Arial" w:cs="Arial" w:eastAsia="Arial" w:hAnsi="Arial"/>
                <w:sz w:val="18"/>
                <w:szCs w:val="18"/>
                <w:color w:val="auto"/>
              </w:rPr>
              <w:t>127,598</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254,145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 stock warrant</w:t>
            </w:r>
          </w:p>
        </w:tc>
        <w:tc>
          <w:tcPr>
            <w:tcW w:w="3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Series C preferred stock warrant</w:t>
            </w:r>
          </w:p>
        </w:tc>
        <w:tc>
          <w:tcPr>
            <w:tcW w:w="320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62,096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488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5,456,890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4,381,884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4880" w:type="dxa"/>
            <w:vAlign w:val="bottom"/>
            <w:gridSpan w:val="2"/>
          </w:tcPr>
          <w:p>
            <w:pPr>
              <w:jc w:val="right"/>
              <w:ind w:right="55"/>
              <w:spacing w:after="0"/>
              <w:rPr>
                <w:sz w:val="20"/>
                <w:szCs w:val="20"/>
                <w:color w:val="auto"/>
              </w:rPr>
            </w:pPr>
            <w:r>
              <w:rPr>
                <w:rFonts w:ascii="Arial" w:cs="Arial" w:eastAsia="Arial" w:hAnsi="Arial"/>
                <w:sz w:val="18"/>
                <w:szCs w:val="18"/>
                <w:color w:val="auto"/>
              </w:rPr>
              <w:t>407,101</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488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70,420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Unvested early exercised common stock options</w:t>
            </w:r>
          </w:p>
        </w:tc>
        <w:tc>
          <w:tcPr>
            <w:tcW w:w="3200" w:type="dxa"/>
            <w:vAlign w:val="bottom"/>
          </w:tcPr>
          <w:p>
            <w:pPr>
              <w:spacing w:after="0"/>
              <w:rPr>
                <w:sz w:val="21"/>
                <w:szCs w:val="21"/>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6,062,009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23,196,372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Arial" w:cs="Arial" w:eastAsia="Arial" w:hAnsi="Arial"/>
                <w:sz w:val="18"/>
                <w:szCs w:val="18"/>
                <w:color w:val="auto"/>
              </w:rPr>
              <w:t>24</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2019 filed with the Securities and Exchange Commission (the “SEC”) on March 25, 2020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w:t>
      </w:r>
    </w:p>
    <w:p>
      <w:pPr>
        <w:spacing w:after="0" w:line="15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are also developing a complementary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based on our NeXT Platform that we envision being used initially by both leading clinical cancer centers as well as biopharmaceutical companies.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generated revenues of $19.2 million and $14.1 million for the three months ended March 31, 2020 and 2019, respectively, a 36% increase in total revenues. In the three months ended March 31, 2020, 77% of our revenues were generated from the VA MVP as compared to 59% in the three months ended March 31, 2019. Non-VA MVP revenues decreased by 23% in the same periods. We also incurred net losses of $9.1 million and $5.7 million in the three months ended March 31, 2020 and 2019, respectively.</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of March 31, 2020, we had $120.0 million in cash and cash equivalents, and short-term investments. From inception through March 31, 2020, we have funded our operations primarily through cash from operations, redeemable convertible preferred stock issuances, debt issuances, and proceeds from our initial public offering (“IPO”). We expect that our existing cash and cash equivalents, and short-term investments will provide sufficient funds to sustain operations through at least the next 12 months. We have based these estimates on assumptions that may prove to be wrong, and we could exhaust our available capital resources sooner than we expect.</w:t>
      </w:r>
    </w:p>
    <w:p>
      <w:pPr>
        <w:spacing w:after="0" w:line="14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operations have been impacted by the ongoing COVID-19 pandemic. On March 16, 2020, the Health Officer of the County of San Mateo (the “Health Officer”), which is where our headquarters and laboratory operations are located, issued a shelter-in-place order (the “San Mateo Order”), which directed all businesses to cease non-essential operations at physical locations in the county. The San Mateo Order also directed all individuals living in the county to shelter at their place of residence with limited exceptions. The intent of the San Mateo Order is to slow the spread of COVID-19 to the maximum extent possible. The San Mateo Order became effective on March 17, 2020 and would continue to be in effect through April 7, 2020. On March 31, 2020, the Health Officer extended the effective date through May 3, 2020, or until it is extended, rescinded, superseded, or amended in writing by the Health Officer. On April 27, 2020, the Health Officer again extended the effective date of the San Mateo Order through May 31, 2020. Similar orders were issued and were extended in neighboring counties, including Santa Clara County, such that the substantial majority of our employees are subject to a shelter-in-place order. While the order allows for continued operation of so-called Essential Businesses, which includes certain critical healthcare operations and services, we have substantially closed our office space and limited access to our laboratory space, to protect our employees and to comply with the provisions described within the order, and we are prioritizing the fulfillment of customer orders to those related to time-sensitive healthcare projects, such as in-process clinical trials, and will fulfill other customer orders to the extent we have the ability to do so with limited laboratory staffing. The effect of the shelter-in-place order may negatively impact productivity and disrupt our business, and may disrupt the ability of our suppliers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8"/>
          <w:szCs w:val="18"/>
          <w:color w:val="auto"/>
        </w:rPr>
        <w:t>fulfill our purchase orders in a timely manner or at all. Several of our customers have been delayed in sending us samples, and the order may disrupt additional customers from sending purchase orders and samples to us as they implement their own precautionary measures.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Such disruptions in our operations, and our customers’ and suppliers’ operations, may adversely affect our financial condition and operating results.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Authorities in other states, where our customers, suppliers and partners may be located, are following suit and issuing orders with similar goals and restrictions.</w:t>
      </w:r>
    </w:p>
    <w:p>
      <w:pPr>
        <w:spacing w:after="0" w:line="16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scope and duration of such impact is highly uncertain. We are unable to predict or quantify the impact of any potential disruption to our supply chain, changes in consumer demand or any other actions that may become necessary as events unfold. In response to this uncertainty, the COVID-19 Advisory Committee of our board of directors was formed in March 2020 and is responsible for overseeing and advising on the unique risks to our business, operations, employees, facilities and financial condition related to the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derive our revenues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additional state-of-the-art products, advancing our operational infrastructure,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have one reportable segment from the sale of sequencing and data analysis services. Substantially all of our revenues to date have been derived from sales in the United States.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Costs of revenues consist of production material costs, personnel costs (salaries, bonuses, benefits, and stock-based compensation), costs of consumables, laboratory supplies, depreciation and service maintenance on capitalized equipment, and information technology (“IT”) and facility costs. We expect the costs of revenues to increase as our revenues grow, but the cost per unit of data delivered to decrease over time due to economies of scale we may gain as volume increases, automation initiatives, and other cost reductions.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Research and development expenses consist of costs incurred for the development of our products. These expenses consist primarily of payroll and personnel costs (salaries, bonuses, benefits, and stock-based compensation), costs of consumables, laboratory supplies, depreciation and service maintenance on capitalized equipment, and IT and facility costs. These expenses also include costs associated with our collaborations, which we expect to increase over time.</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expense our research and development expenses in the period in which they are incurred. We expect to increase our research and development expenses as we continue to develop new products.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Selling expenses consist of personnel costs, customer support expenses, direct marketing expenses, educational and promotional expenses, and market research. Our general and administrative expenses include costs for our executive,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finance, legal, and human resources functions. These expenses consist of personnel costs, audit and legal expenses, consulting costs, and IT and facility costs. We expense all selling, general, and administrative expenses as incurred.</w:t>
      </w:r>
    </w:p>
    <w:p>
      <w:pPr>
        <w:spacing w:after="0" w:line="14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will increase as we scale our operations.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Interest income consists primarily of interest earned on our cash and cash equivalents and short-term investments. Interest income increased significantly in the second half of 2019 and the first quarter of 2020 as a result of us investing proceeds from the IPO. We expect interest income to decline throughout the remainder of 2020 due to recent declines in yields on debt securities.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Previously, interest expense primarily consisted of cash and non-cash interest costs related to our term loan, convertible promissory notes, revolving loan and growth capital loan. After the payoff of our growth capital loan in August 2019, we no longer have any outstanding debt and have not incurred material interest expense from that point forward.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Income (Expense), Net</w:t>
      </w:r>
    </w:p>
    <w:p>
      <w:pPr>
        <w:spacing w:after="0" w:line="198"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Other income (expense), net consists primarily of foreign currency exchange gains and losses. In 2019, other income (expense), net also consisted of changes in fair value of convertible preferred stock warrant liability. Due to the conversion of convertible preferred stock warrants to common stock warrants upon our IPO, changes in fair value of such warrants are no longer recorded through income since our IPO. See Note 10 included elsewhere in this Quarterly Report on Form 10-Q for further discussion of this item. We expect our foreign currency gains and losses to continue to fluctuate in the future due to changes in foreign currency exchange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sets forth, for the periods presented, our unaudited condensed consolidated statements of operations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9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Costs and expenses</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6,390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9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9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29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3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vMerge w:val="continue"/>
          </w:tcPr>
          <w:p>
            <w:pPr>
              <w:spacing w:after="0"/>
              <w:rPr>
                <w:sz w:val="21"/>
                <w:szCs w:val="21"/>
                <w:color w:val="auto"/>
              </w:rPr>
            </w:pPr>
          </w:p>
        </w:tc>
        <w:tc>
          <w:tcPr>
            <w:tcW w:w="29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9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31,345,029</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3,091,342</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60" w:type="dxa"/>
            <w:vAlign w:val="bottom"/>
            <w:vMerge w:val="restart"/>
          </w:tcPr>
          <w:p>
            <w:pPr>
              <w:jc w:val="right"/>
              <w:ind w:right="1910"/>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revenues by customer type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3220" w:type="dxa"/>
            <w:vAlign w:val="bottom"/>
            <w:gridSpan w:val="9"/>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5"/>
          </w:tcPr>
          <w:p>
            <w:pPr>
              <w:jc w:val="right"/>
              <w:ind w:right="998"/>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14,756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4,405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19,161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14,075</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760"/>
              <w:spacing w:after="0"/>
              <w:rPr>
                <w:sz w:val="20"/>
                <w:szCs w:val="20"/>
                <w:color w:val="auto"/>
              </w:rPr>
            </w:pPr>
            <w:r>
              <w:rPr>
                <w:rFonts w:ascii="Arial" w:cs="Arial" w:eastAsia="Arial" w:hAnsi="Arial"/>
                <w:sz w:val="18"/>
                <w:szCs w:val="18"/>
                <w:color w:val="auto"/>
              </w:rPr>
              <w:t>The following table shows our concentration of revenues by customer:</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638"/>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left="698"/>
              <w:spacing w:after="0" w:line="155" w:lineRule="exact"/>
              <w:rPr>
                <w:sz w:val="20"/>
                <w:szCs w:val="20"/>
                <w:color w:val="auto"/>
              </w:rPr>
            </w:pPr>
            <w:r>
              <w:rPr>
                <w:rFonts w:ascii="Arial" w:cs="Arial" w:eastAsia="Arial" w:hAnsi="Arial"/>
                <w:sz w:val="14"/>
                <w:szCs w:val="14"/>
                <w:b w:val="1"/>
                <w:bCs w:val="1"/>
                <w:color w:val="auto"/>
                <w:w w:val="94"/>
              </w:rPr>
              <w:t>(unaudited)</w:t>
            </w: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638"/>
              <w:spacing w:after="0"/>
              <w:rPr>
                <w:sz w:val="20"/>
                <w:szCs w:val="20"/>
                <w:color w:val="auto"/>
              </w:rPr>
            </w:pPr>
            <w:r>
              <w:rPr>
                <w:rFonts w:ascii="Arial" w:cs="Arial" w:eastAsia="Arial" w:hAnsi="Arial"/>
                <w:sz w:val="18"/>
                <w:szCs w:val="18"/>
                <w:color w:val="auto"/>
                <w:w w:val="88"/>
              </w:rPr>
              <w:t>77%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88"/>
              </w:rPr>
              <w:t>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Pfizer Inc.</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6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center"/>
              <w:ind w:right="37"/>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VA MVP</w:t>
      </w:r>
    </w:p>
    <w:p>
      <w:pPr>
        <w:spacing w:after="0" w:line="19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increase in the first quarter of 2020 from the VA MVP was driven by an increase in the volume of samples we tested in the period, partially offset by lower average prices per sample.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All Other Customers</w:t>
      </w:r>
    </w:p>
    <w:p>
      <w:pPr>
        <w:spacing w:after="0" w:line="18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decrease in the first quarter of 2020 from all other customers was driven by a decrease in the volume of samples we tested in the period. This was due to the receipt of relatively large orders from pharmaceutical customers in early 2018 that were fulfilled beginning around the second quarter of 2018 through the second quarter of 2019, partially offset by increases in samples tested for new customers in the first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288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Percentage change</w:t>
            </w:r>
          </w:p>
        </w:tc>
      </w:tr>
      <w:tr>
        <w:trPr>
          <w:trHeight w:val="155"/>
        </w:trPr>
        <w:tc>
          <w:tcPr>
            <w:tcW w:w="66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80" w:type="dxa"/>
            <w:vAlign w:val="bottom"/>
          </w:tcPr>
          <w:p>
            <w:pPr>
              <w:spacing w:after="0"/>
              <w:rPr>
                <w:sz w:val="13"/>
                <w:szCs w:val="13"/>
                <w:color w:val="auto"/>
              </w:rPr>
            </w:pPr>
          </w:p>
        </w:tc>
      </w:tr>
      <w:tr>
        <w:trPr>
          <w:trHeight w:val="155"/>
        </w:trPr>
        <w:tc>
          <w:tcPr>
            <w:tcW w:w="6620" w:type="dxa"/>
            <w:vAlign w:val="bottom"/>
          </w:tcPr>
          <w:p>
            <w:pPr>
              <w:spacing w:after="0"/>
              <w:rPr>
                <w:sz w:val="13"/>
                <w:szCs w:val="13"/>
                <w:color w:val="auto"/>
              </w:rPr>
            </w:pPr>
          </w:p>
        </w:tc>
        <w:tc>
          <w:tcPr>
            <w:tcW w:w="2360" w:type="dxa"/>
            <w:vAlign w:val="bottom"/>
            <w:gridSpan w:val="4"/>
          </w:tcPr>
          <w:p>
            <w:pPr>
              <w:jc w:val="right"/>
              <w:ind w:right="56"/>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15,122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10,091</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6,390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5,245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800" w:type="dxa"/>
            <w:vAlign w:val="bottom"/>
            <w:tcBorders>
              <w:bottom w:val="single" w:sz="8" w:color="auto"/>
            </w:tcBorders>
          </w:tcPr>
          <w:p>
            <w:pPr>
              <w:jc w:val="right"/>
              <w:ind w:right="6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28,786</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19,506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6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increase in the first quarter of 2020 was primarily due to the increase in revenues discussed above. The cost components related to the increase in costs of revenues were a $3.0 million increase in production materials due primarily to higher volume and customer mix, a $0.9 million increase in depreciation and maintenance on capitalized equipment, IT, and facility costs, a $0.7 million increase in the cost of consumables and laboratory supplies, and a $0.4 million increase related to personnel-related costs including salaries, bonuses, benefits, and stock-based compensation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increase in the first quarter of 2020 of research and development expenses was primarily due to an increase of $1.1 million in personnel-related costs, including salaries, bonuses, benefits, and stock-based compensation expense, to support development activities for new product offerings and lab automation efforts.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7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increase in the first quarter of 2020 was due to a $2.0 million increase in personnel-related costs including salaries, bonuses, benefits, and stock-based compensation expense primarily related to increased headcount, and a $1.0 million increase in professional services primarily related to public company-related costs (including corporate insurance, audit fees, and legal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Percentage change</w:t>
            </w:r>
          </w:p>
        </w:tc>
      </w:tr>
      <w:tr>
        <w:trPr>
          <w:trHeight w:val="156"/>
        </w:trPr>
        <w:tc>
          <w:tcPr>
            <w:tcW w:w="65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220" w:type="dxa"/>
            <w:vAlign w:val="bottom"/>
          </w:tcPr>
          <w:p>
            <w:pPr>
              <w:spacing w:after="0"/>
              <w:rPr>
                <w:sz w:val="13"/>
                <w:szCs w:val="13"/>
                <w:color w:val="auto"/>
              </w:rPr>
            </w:pPr>
          </w:p>
        </w:tc>
      </w:tr>
      <w:tr>
        <w:trPr>
          <w:trHeight w:val="155"/>
        </w:trPr>
        <w:tc>
          <w:tcPr>
            <w:tcW w:w="6560" w:type="dxa"/>
            <w:vAlign w:val="bottom"/>
          </w:tcPr>
          <w:p>
            <w:pPr>
              <w:spacing w:after="0"/>
              <w:rPr>
                <w:sz w:val="13"/>
                <w:szCs w:val="13"/>
                <w:color w:val="auto"/>
              </w:rPr>
            </w:pPr>
          </w:p>
        </w:tc>
        <w:tc>
          <w:tcPr>
            <w:tcW w:w="2480" w:type="dxa"/>
            <w:vAlign w:val="bottom"/>
            <w:gridSpan w:val="4"/>
          </w:tcPr>
          <w:p>
            <w:pPr>
              <w:jc w:val="right"/>
              <w:ind w:right="187"/>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507%</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(252)</w:t>
            </w:r>
          </w:p>
        </w:tc>
        <w:tc>
          <w:tcPr>
            <w:tcW w:w="26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increase in the first quarter of 2020 was due to higher average cash and investment balances subsequent to our IPO in June 2019.</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first quarter of 2019 included cash and non-cash interest expense related primarily to the revolving loan, which was paid off in late March 2019 with proceeds from the growth capital loan. Since the repayment of the growth capital loan in August 2019, we have had no outstanding debt and therefore did not incur any significant interest expense in the first quarter of 2020.</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Other expense, net in 2019 was primarily comprised of a $0.1 million increase in the fair values of warrants for Series B and Series C redeemable convertible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tables present selected financial information and statistics as of and for the three months ended March 31,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4"/>
              </w:rPr>
              <w:t>As of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short-term investments</w:t>
            </w:r>
          </w:p>
        </w:tc>
        <w:tc>
          <w:tcPr>
            <w:tcW w:w="2820" w:type="dxa"/>
            <w:vAlign w:val="bottom"/>
            <w:gridSpan w:val="3"/>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89"/>
              </w:rPr>
              <w:t>120,033</w:t>
            </w:r>
          </w:p>
        </w:tc>
        <w:tc>
          <w:tcPr>
            <w:tcW w:w="10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33,237</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13,402</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34,408</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44,315</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Working capital</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83,296</w:t>
            </w:r>
          </w:p>
        </w:tc>
        <w:tc>
          <w:tcPr>
            <w:tcW w:w="10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(15,348)</w:t>
            </w:r>
          </w:p>
        </w:tc>
      </w:tr>
      <w:tr>
        <w:trPr>
          <w:trHeight w:val="445"/>
        </w:trPr>
        <w:tc>
          <w:tcPr>
            <w:tcW w:w="5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4"/>
              </w:rPr>
              <w:t>Three Months Ended March 31,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5840" w:type="dxa"/>
            <w:vAlign w:val="bottom"/>
          </w:tcPr>
          <w:p>
            <w:pPr>
              <w:spacing w:after="0"/>
              <w:rPr>
                <w:sz w:val="13"/>
                <w:szCs w:val="13"/>
                <w:color w:val="auto"/>
              </w:rPr>
            </w:pPr>
          </w:p>
        </w:tc>
        <w:tc>
          <w:tcPr>
            <w:tcW w:w="1900" w:type="dxa"/>
            <w:vAlign w:val="bottom"/>
            <w:gridSpan w:val="2"/>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2820" w:type="dxa"/>
            <w:vAlign w:val="bottom"/>
            <w:gridSpan w:val="3"/>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(8,643)</w:t>
            </w:r>
          </w:p>
        </w:tc>
        <w:tc>
          <w:tcPr>
            <w:tcW w:w="108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0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323</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From our inception through March 31, 2020, we have funded our operations primarily from $144.0 million in net proceeds from our IPO in June 2019 and $89.6 million from issuance of redeemable convertible preferred stock, as well as cash from operations and debt financing. On March 22, 2019, we received $20.0 million in gross cash proceeds from a growth capital loan. As of March 31, 2020, we had cash and cash equivalents in the amount of $46.7 million and short-term investments in the amount of $73.3 million.</w:t>
      </w:r>
    </w:p>
    <w:p>
      <w:pPr>
        <w:spacing w:after="0" w:line="146"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We have incurred net losses since our inception. We anticipate that our current cash and cash equivalents and marketable securities, together with cash provided by operating activities, are sufficient to fund our near-term capital and operating needs for at least the next 12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jc w:val="both"/>
        <w:ind w:firstLine="749"/>
        <w:spacing w:after="0" w:line="271" w:lineRule="auto"/>
        <w:rPr>
          <w:sz w:val="20"/>
          <w:szCs w:val="20"/>
          <w:color w:val="auto"/>
        </w:rPr>
      </w:pPr>
      <w:r>
        <w:rPr>
          <w:rFonts w:ascii="Arial" w:cs="Arial" w:eastAsia="Arial" w:hAnsi="Arial"/>
          <w:sz w:val="17"/>
          <w:szCs w:val="17"/>
          <w:color w:val="auto"/>
        </w:rPr>
        <w:t>We have based these future funding requirements on assumptions that may prove to be wrong, and we could utilize our available capital resources sooner than we expect. If our available cash balances, net proceeds from the offering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On March 22, 2019, we entered into a growth capital loan (the “Growth Capital Loan”) with TriplePoint Capital LLC (“TriplePoint”) to provide for a $20.0 million growth capital loan facility and drew down the full $20.0 million available under the facility. We used $5.1 million of the Growth Capital Loan to repay, in its entirety, all amounts outstanding under our $10.0 million revolving loan and security agreement with TriplePoint, under which we borrowed $5.0 million in June 2017. Borrowings under the Growth Capital Loan bore interest at a floating rate of prime, plus 5.00%, for borrowings up to $15.0 million and the prime rate plus 6.50% for borrowings greater than $15.0 million. Under the Growth Capital Loan, we were required to make monthly interest-only payments through April 1, 2020 and 36 equal monthly payments of principal, plus accrued interest, from April 1, 2020 through March 1, 2023, when all unpaid principal and interest was to become due and payable. The Growth Capital Loan allowed voluntary prepayment of all, but not part, of the outstanding principal at any time prior to the maturity date, subject to a prepayment fee of 1.00% of the outstanding balance if prepaid in months one through 12 of the loan term. In addition to the final payment, we paid an amount equal to 2.75% of each principal amount drawn under the Growth Capital Loan.</w:t>
      </w:r>
    </w:p>
    <w:p>
      <w:pPr>
        <w:spacing w:after="0" w:line="15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In connection with the Growth Capital Loan, we issued a warrant to purchase 65,502 shares of common stock to TriplePoint at an exercise price of $9.16 per share. The warrant is exercisable for seven years from March 22, 2019. We recorded the issuance-date fair value of the warrant of $0.6 million and fees paid to TriplePoint of $0.3 million as a debt discount, which was amortized over the term of the Growth Capital Loan using the effective interest method. Upon issuance, the Growth Capital Loan had an effective interest rate of 15.23% per year. On August 14, 2019, we paid off the Growth Capital Loan in its entirety. Interest expense for the three months ended March 31, 2019 was not material.</w:t>
      </w:r>
    </w:p>
    <w:p>
      <w:pPr>
        <w:spacing w:after="0" w:line="136"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97"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During the three months ended March 31, 2020, cash used by operating activities of $8.6 million was a result of $9.1 million of net loss and the net negative change in operating assets and liabilities of $2.4 million, partially offset by non-cash adjustments to net income of $2.9 million.</w:t>
      </w:r>
    </w:p>
    <w:p>
      <w:pPr>
        <w:spacing w:after="0" w:line="10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During the three months ended March 31, 2019, cash provided by operating activities of $0.1 million was a result of $5.7 million of net loss offset by the net positive change in operating assets and liabilities of $3.7 million and non-cash adjustments to net income of $2.1 million.</w:t>
      </w:r>
    </w:p>
    <w:p>
      <w:pPr>
        <w:spacing w:after="0" w:line="1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During the three months ended March 31, 2020, cash used by investing activities was insignificant. Cash provided by financing activities of $0.3 million during the same period consisted of proceeds from exercise of employee stock options.</w:t>
      </w:r>
    </w:p>
    <w:p>
      <w:pPr>
        <w:spacing w:after="0" w:line="143"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During the three months ended March 31, 2019, cash used by investing activities consisted entirely of $1.0 million used to acquire property and equipment. Cash provided by financing activities of $14.4 million during the same period consisted primarily of $19.5 million net proceeds from the issuance of a Growth Capital Loan, $0.4 million proceeds from exercise of employee stock options, partially offset by $5.0 million cash used to repay a revolving loan, and $0.5 million in payments of costs related to our IPO.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Property and Equipment</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Our capital expenditures were $0.1 million during the three months ended March 31, 2020, which was primarily related to the acquisition of property and equipment used for our sequencing and data analysis services. The relatively insignificant amount of purchases in the quarter was primarily related to uncertainty caused by the COVID-19 pandemic, which resulted in a temporary slowdown in new purchases of property and equipment. We expect to increase spending later in 2020 such that cumulative purchases of property and equipment during 2020 meet or exceed total purchases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We previously entered into various forms of convertible debt and revolving loans to finance our operations prior to our IPO. After our IPO, we paid off all remaining debt and now have zero outstanding debt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jc w:val="both"/>
        <w:ind w:firstLine="749"/>
        <w:spacing w:after="0" w:line="277" w:lineRule="auto"/>
        <w:rPr>
          <w:sz w:val="20"/>
          <w:szCs w:val="20"/>
          <w:color w:val="auto"/>
        </w:rPr>
      </w:pPr>
      <w:r>
        <w:rPr>
          <w:rFonts w:ascii="Arial" w:cs="Arial" w:eastAsia="Arial" w:hAnsi="Arial"/>
          <w:sz w:val="18"/>
          <w:szCs w:val="18"/>
          <w:color w:val="auto"/>
        </w:rPr>
        <w:t>Further information regarding our debt issuances can be found in Part I, Item 1 of this Quarterly Report on Form 10-Q in the Notes to Condensed Consolidated Financial Statements in Note 6 – Borrowings.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did not have any off-balance sheet arrangements as of March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the valuation of common stock warrants and convertible preferred stock warrants, convertible instruments, stock-based compensation, and income taxes have the greatest potential impact on our condensed consolidated financial statements. Therefore, we consider these to be our critical accounting policies and estimates.</w:t>
      </w:r>
    </w:p>
    <w:p>
      <w:pPr>
        <w:spacing w:after="0" w:line="12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Annual Report on Form 10-K for the fiscal year ended December 31, 2019 under the caption “Critical Accounting Policies and Estimates” in Management’s Discussion and Analysis of Financial Condition and Results of Operations, set forth in Part II, Item 7, except for a new estimate in connection with a performance-based stock option granted to an employee in the first quarter of 2020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Pursuant to our 2019 Equity Incentive Plan (the “2019 Plan”), we granted in March 2020 a performance-based stock option (“PSO”) to our Chief Executive Officer representing the option to purchase 421,000 shares of our common stock. The PSO awarded is subject to the Chief Executive Officer’s continued service to us through the date of vesting and if the performance metrics are not met within the contractual term, the PSO will be canceled. The shares subject to the PSO will vest in full if a market price condition is met. Upon a change in control, the vesting of the shares subject to the PSO will accelerate on a pro rata basis based on the price per share in such change in control transaction relative to the market price condition, with up to 100% of the shares eligible for such accelerated vesting.</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used a Monte Carlo Model to estimate fair value of the award. The assumptions used in calculating the estimated values of the PSO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Performance period (in years)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Derived service period (in years)</w:t>
            </w:r>
          </w:p>
        </w:tc>
        <w:tc>
          <w:tcPr>
            <w:tcW w:w="38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293"/>
              <w:spacing w:after="0"/>
              <w:rPr>
                <w:sz w:val="20"/>
                <w:szCs w:val="20"/>
                <w:color w:val="auto"/>
              </w:rPr>
            </w:pPr>
            <w:r>
              <w:rPr>
                <w:rFonts w:ascii="Arial" w:cs="Arial" w:eastAsia="Arial" w:hAnsi="Arial"/>
                <w:sz w:val="18"/>
                <w:szCs w:val="18"/>
                <w:color w:val="auto"/>
                <w:w w:val="91"/>
              </w:rPr>
              <w:t>63.60%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9"/>
                <w:szCs w:val="19"/>
                <w:color w:val="auto"/>
              </w:rPr>
            </w:pPr>
          </w:p>
        </w:tc>
        <w:tc>
          <w:tcPr>
            <w:tcW w:w="1500" w:type="dxa"/>
            <w:vAlign w:val="bottom"/>
          </w:tcPr>
          <w:p>
            <w:pPr>
              <w:jc w:val="center"/>
              <w:ind w:right="313"/>
              <w:spacing w:after="0"/>
              <w:rPr>
                <w:sz w:val="20"/>
                <w:szCs w:val="20"/>
                <w:color w:val="auto"/>
              </w:rPr>
            </w:pPr>
            <w:r>
              <w:rPr>
                <w:rFonts w:ascii="Arial" w:cs="Arial" w:eastAsia="Arial" w:hAnsi="Arial"/>
                <w:sz w:val="18"/>
                <w:szCs w:val="18"/>
                <w:color w:val="auto"/>
                <w:w w:val="90"/>
              </w:rPr>
              <w:t>1.02%</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w w:val="92"/>
              </w:rPr>
              <w:t>–%</w:t>
            </w:r>
          </w:p>
        </w:tc>
      </w:tr>
      <w:tr>
        <w:trPr>
          <w:trHeight w:val="243"/>
        </w:trPr>
        <w:tc>
          <w:tcPr>
            <w:tcW w:w="9240" w:type="dxa"/>
            <w:vAlign w:val="bottom"/>
          </w:tcPr>
          <w:p>
            <w:pPr>
              <w:spacing w:after="0"/>
              <w:rPr>
                <w:sz w:val="20"/>
                <w:szCs w:val="20"/>
                <w:color w:val="auto"/>
              </w:rPr>
            </w:pPr>
            <w:r>
              <w:rPr>
                <w:rFonts w:ascii="Arial" w:cs="Arial" w:eastAsia="Arial" w:hAnsi="Arial"/>
                <w:sz w:val="18"/>
                <w:szCs w:val="18"/>
                <w:color w:val="auto"/>
              </w:rPr>
              <w:t>Estimated fair value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See Note 2 – Summary of Significant Accounting Policies and Note 9 – Stock-Based Compensation in the notes to the condensed consolidated financial statements included in Part I, Item 1, of this Quarterly Report on Form 10-Q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See the section titled “Summary of Significant Accounting Policies—Recent Accounting Pronouncements Not Yet Adopted” in Note 2 to our condensed consolidated financial statements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March 31,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CEO and CFO, as appropriate, to allow timely decisions regarding required disclosures.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that arise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have an adverse impact on us because of defense and settlement costs, diversion of management resources and other factors.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3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We have incurred net losses since our inception. For the three months ended March 31, 2020 we had a net loss of $9.1 million, and for the years ended December 31, 2019, 2018, and 2017 we had net losses of $25.1 million, $19.9 million, and $23.6 million, respectively. As of March 31, 2020, we had an accumulated deficit of $149.7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25"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57"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1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760"/>
        <w:spacing w:after="0"/>
        <w:rPr>
          <w:sz w:val="20"/>
          <w:szCs w:val="20"/>
          <w:color w:val="auto"/>
        </w:rPr>
      </w:pPr>
      <w:r>
        <w:rPr>
          <w:rFonts w:ascii="Arial" w:cs="Arial" w:eastAsia="Arial" w:hAnsi="Arial"/>
          <w:sz w:val="17"/>
          <w:szCs w:val="17"/>
          <w:color w:val="auto"/>
        </w:rPr>
        <w:t>Our ability to successfully market our services that we have developed, and may develop in the future, will depend on numerous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84" w:lineRule="exact"/>
        <w:rPr>
          <w:sz w:val="20"/>
          <w:szCs w:val="20"/>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sales force;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08"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shelter-in-place orders, and the business or operations of our manufacturers, customers or other third parties with whom we conduct business.</w:t>
      </w:r>
    </w:p>
    <w:p>
      <w:pPr>
        <w:spacing w:after="0" w:line="13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business could be adversely impacted by the effects of a health crisis, such as the ongoing COVID-19 pandemic, that could cause significant disruption in the operations of our customers and third-party manufacturers upon whom we rely. Our sole laboratory,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49"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For example, in December 2019, a novel strain of coronavirus, SARS-CoV-2, causing a disease referred to as COVID-19, was reported to have surfaced in Wuhan, China. Since then, COVID-19 has spread to over 140 countries, including the United States. On March 10, 2020, the World Health Organization declared the COVID-19 outbreak a pandemic, and the U.S. government imposed restrictions on travel between the United States and Europe for a 30-day period. Further, on March 13, 2020, the President of the United States declared the COVID-19 pandemic a national emergency, invoking powers under the Stafford Act, the legislation that directs federal emergency disaster response. On March 4, 2020, the State of California declared a state of emergency related to the spread of COVID-19, and the San Francisco Department of Public Health announced aggressive recommendations to reduce the spread of the disease, including recommendations to suspend nonessential travel, encourage telecommuting, and cancel or postpone large gatherings. On March 16, 2020, the health officers of six San Francisco Bay Area counties, including San Mateo County where our headquarters and sole laboratory are located, issued shelter-in-place orders that took effect at 12:01 a.m., Pacific Time, on March 17, 2020 and would continue to be in effect through April 7, 2020, (i) directing all individuals living in those counties to shelter at their places of residence (subject to limited exceptions), (ii) directing all businesses and governmental agencies to cease non-essential operations at physical locations in those counties, (iii) prohibiting all non-essential gatherings of any number of individuals, and (iv) ordering cessation of all non-essential travel. On April 27, 2020, the health officers extended the effective date of the shelter-in-place through May 31, 2020. While the order allows for continued operation of so-called Essential Businesses, which includes certain critical healthcare operations and services, we have substantially closed our office space and limited access to our laboratory space, to protect our employees and to comply with the provisions described within the order, and we are prioritizing the fulfillment of customer orders to those related to time-sensitive healthcare projects, such as in-process clinical trials, and will fulfill other customer orders to the extent we have the ability to do so with limited laboratory staffing. The effect of the shelter-in-place order may negatively impact productivity and disrupt our business, and may disrupt the ability of our suppliers to fulfill our purchase orders in a timely manner or at all. Several of our customers have been delayed in sending us samples, and the order may disrupt additional customers from sending purchase orders and samples to us as they implement their own precautionary measures. Many of our customers, potential customers and potential partners have also put in place policies restricting visitors from other companies,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therefore our sales team and members of management have been unable to meet such parties in person, which may result in reduced acquisition of new customers, fewer orders from existing customers and fewer potential partnering opportunities. Such disruptions in our operations, and our customers’ and suppliers’ operations, may adversely affect our financial condition and operating results.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Authorities in other states, where our customers, suppliers and partners may be located, are following suit and issuing orders with similar goals and restrictions.</w:t>
      </w:r>
    </w:p>
    <w:p>
      <w:pPr>
        <w:spacing w:after="0" w:line="16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global COVID-19 pandemic continues to rapidly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13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Some of our present and potential competitors, including Guardant Health, Inc., Foundation Medicine, Inc., which was acquired by Roche Holdings, Inc. in July 2018, Roche Molecular Systems, Inc., NanoString Technologies, Inc., Personal Genome Diagnostics, Inc., Adaptive Biotechnologies Corporation, and NeoGenomics, Inc.,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2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ind w:left="7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revenues and accounts receivable.</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77% and 59% of our revenues for the three months ended March 31, 2020 and 2019, respectively. Our top five customers, including the VA MVP, accounted for 92% and 90% of our revenues for the three months ended March 31, 2020 and 2019, respectively. There are inherent risks whenever a large percentage of revenues are concentrated with a limited number of customers. It is not possible for us to predict the future level of demand for our services that will be generated by these customers.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If any of these customers suspend or terminate clinical trials, receive less funding, experience declining or delayed sales, or otherwise choose to reduce or eliminate their use of our services,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2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2018, and 2019.</w:t>
      </w:r>
    </w:p>
    <w:p>
      <w:pPr>
        <w:spacing w:after="0" w:line="15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failures in their clinical trials, financial constraints, or utilization of internal testing resources or tests performed by other parties, or other circumstances outside of our control.</w:t>
      </w:r>
    </w:p>
    <w:p>
      <w:pPr>
        <w:spacing w:after="0" w:line="15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ind w:firstLine="749"/>
        <w:spacing w:after="0" w:line="254" w:lineRule="auto"/>
        <w:rPr>
          <w:sz w:val="20"/>
          <w:szCs w:val="20"/>
          <w:color w:val="auto"/>
        </w:rPr>
      </w:pPr>
      <w:r>
        <w:rPr>
          <w:rFonts w:ascii="Arial" w:cs="Arial" w:eastAsia="Arial" w:hAnsi="Arial"/>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65"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6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March 31, 2020, we had approximately $34.4 million in customer deposits, including $30.6 million from one customer. However, as of that date, we had $120.0 million of cash and cash equivalents, and short-term investments. We are generally not required by our contracts to retain these deposits in cash or otherwise and we have generally used these deposits to make capital expenditures and fund our operations. If a customer that has prepaid us for future services cancels its contract with us or reduces the level of services that it expects to receive, we would generally be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46"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1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4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3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5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3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1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United States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3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order to execute our business model, we need to invest in scaling our infrastructure, including hiring additional personnel, expanding our internal quality assurance program,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facility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ind w:left="76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or we are required to vacate the facility, our ability to sell and provide our services and pursue our research and development efforts may be jeopardized.</w:t>
      </w:r>
    </w:p>
    <w:p>
      <w:pPr>
        <w:spacing w:after="0" w:line="143"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We currently derive our revenues from our genomic analysis conducted in our laboratory. We do not have any clinical reference laboratory facilities other than our facility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may limit our operations or temporarily close our office and/or laboratory space. Northern California has recently experienced serious fires and the San Francisco Bay Area is considered to lie in an area with earthquake risk. The inability to sell or to perform our diagnostic and other services, disruptions in our operations, or the backlog of samples that could develop if our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Furthermore, our facilities and the equipment we use to perform our services and our research and development work could be costly and time-consuming to repair or replace.</w:t>
      </w:r>
    </w:p>
    <w:p>
      <w:pPr>
        <w:spacing w:after="0" w:line="1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facility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4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Further, if our laboratory became inoperable, we would likely not be able to license or transfer our technology to another facility with the qualifications, including state licensure and CLIA certification, that would be necessary to cover the scope of our current and our planned future services. Even if we were to find a facility with such qualifications to perform our services, it may not be available to us on commercially reasonable terms.</w:t>
      </w:r>
    </w:p>
    <w:p>
      <w:pPr>
        <w:spacing w:after="0" w:line="12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4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our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have insufficient recourse against such third parties and we may have to expend significant resources to mitigate the impact of such an event, and to develop and implement protections to prevent future events of this nature from occurring.</w:t>
      </w:r>
    </w:p>
    <w:p>
      <w:pPr>
        <w:spacing w:after="0" w:line="14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44"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0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39"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Additionally, in connection with the ongoing COVID-19 pandemic, most of our employees are working remotely, which may increase the risk of security breaches, loss of data, and other disruptions as a consequence of more employees accessing sensitive and critical information from remote locations.</w:t>
      </w:r>
    </w:p>
    <w:p>
      <w:pPr>
        <w:spacing w:after="0" w:line="15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wrongful conduct involves false pretenses or the intent to sell, transfer or use identifiable health information for commercial advantage, personal gain or malicious harm.</w:t>
      </w:r>
    </w:p>
    <w:p>
      <w:pPr>
        <w:spacing w:after="0" w:line="1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2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became applicable on May 25, 2018, replacing data protection laws issued by of each EU member state based on the Directive 95/46/EC (the “Directive”). Unlike the Directive, which needed to be transposed at a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 Further, the United Kingdom’s vote in favor of exiting the EU, often referred to as Brexit, and ongoing developments in the United Kingdom regarding Brexit have created uncertainty with regard to data protection regulation in the United Kingdom. In particular, it is unclear whether the United Kingdom will enact data protection legislation equivalent to the GDPR and how data transfers to and from the United Kingdom will be regulated.</w:t>
      </w:r>
    </w:p>
    <w:p>
      <w:pPr>
        <w:spacing w:after="0" w:line="14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 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party tools, and algorithms we use, and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5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4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1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(such as our planned liquid biopsy test)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1"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ind w:firstLine="749"/>
        <w:spacing w:after="0" w:line="279" w:lineRule="auto"/>
        <w:rPr>
          <w:sz w:val="20"/>
          <w:szCs w:val="20"/>
          <w:color w:val="auto"/>
        </w:rPr>
      </w:pPr>
      <w:r>
        <w:rPr>
          <w:rFonts w:ascii="Arial" w:cs="Arial" w:eastAsia="Arial" w:hAnsi="Arial"/>
          <w:sz w:val="17"/>
          <w:szCs w:val="17"/>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85"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Clinton Musil, our Chief Business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2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57"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06"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We may not be able to manage our future growth effectively, which could make it difficult to execute our business strategy.</w:t>
      </w:r>
    </w:p>
    <w:p>
      <w:pPr>
        <w:spacing w:after="0" w:line="19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ind w:left="7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9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2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4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5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3"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could assume unknown or contingent liabilities. Integration of an acquired company or business also may require management resources that otherwise would be available for ongoing development of our existing business.</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facility in a timely and cost-efficient manner, and if these delivery services are disrupted, our business would be harmed.</w:t>
      </w:r>
    </w:p>
    <w:p>
      <w:pPr>
        <w:spacing w:after="0" w:line="13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business depends on our ability to quickly and reliably provide test results to our customers, which in turn, requires that specimens are transported and delivered to us in a timely manner. Disruptions in delivery service, whether due to labor disruptions, bad weather, natural disaster,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The 2017 tax reform law and possible future changes in tax laws or regulations could adversely affect our business and financial condition.</w:t>
      </w:r>
    </w:p>
    <w:p>
      <w:pPr>
        <w:spacing w:after="0" w:line="23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On December 22, 2017,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Changes in corporate tax rates, the realization of net deferred tax assets relating to our U.S. operations, the taxation of foreign earnings, and the deductibility of expenses under the Tax Cuts and Jobs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or any newly enacted federal tax legislation.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8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4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2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6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3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4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5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4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4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3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3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46"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84" w:lineRule="exact"/>
        <w:rPr>
          <w:rFonts w:ascii="Arial" w:cs="Arial" w:eastAsia="Arial" w:hAnsi="Arial"/>
          <w:sz w:val="18"/>
          <w:szCs w:val="18"/>
          <w:color w:val="auto"/>
        </w:rPr>
      </w:pPr>
    </w:p>
    <w:p>
      <w:pPr>
        <w:ind w:left="5540" w:right="1960" w:hanging="4790"/>
        <w:spacing w:after="0" w:line="527" w:lineRule="auto"/>
        <w:tabs>
          <w:tab w:leader="none" w:pos="112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61"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4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5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8"/>
          <w:szCs w:val="18"/>
          <w:color w:val="auto"/>
        </w:rPr>
        <w:t>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6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30" w:lineRule="exact"/>
        <w:rPr>
          <w:sz w:val="20"/>
          <w:szCs w:val="20"/>
          <w:color w:val="auto"/>
        </w:rPr>
      </w:pPr>
    </w:p>
    <w:p>
      <w:pPr>
        <w:jc w:val="both"/>
        <w:ind w:left="1120" w:hanging="370"/>
        <w:spacing w:after="0" w:line="293"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23" w:lineRule="exact"/>
        <w:rPr>
          <w:rFonts w:ascii="Arial" w:cs="Arial" w:eastAsia="Arial" w:hAnsi="Arial"/>
          <w:sz w:val="16"/>
          <w:szCs w:val="16"/>
          <w:color w:val="auto"/>
        </w:rPr>
      </w:pPr>
    </w:p>
    <w:p>
      <w:pPr>
        <w:jc w:val="both"/>
        <w:ind w:left="1120" w:hanging="370"/>
        <w:spacing w:after="0" w:line="275"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5" w:lineRule="exact"/>
        <w:rPr>
          <w:rFonts w:ascii="Arial" w:cs="Arial" w:eastAsia="Arial" w:hAnsi="Arial"/>
          <w:sz w:val="17"/>
          <w:szCs w:val="17"/>
          <w:color w:val="auto"/>
        </w:rPr>
      </w:pPr>
    </w:p>
    <w:p>
      <w:pPr>
        <w:jc w:val="both"/>
        <w:ind w:left="1120" w:hanging="370"/>
        <w:spacing w:after="0" w:line="25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47" w:lineRule="exact"/>
        <w:rPr>
          <w:rFonts w:ascii="Arial" w:cs="Arial" w:eastAsia="Arial" w:hAnsi="Arial"/>
          <w:sz w:val="18"/>
          <w:szCs w:val="18"/>
          <w:color w:val="auto"/>
        </w:rPr>
      </w:pPr>
    </w:p>
    <w:p>
      <w:pPr>
        <w:jc w:val="both"/>
        <w:ind w:left="1120" w:hanging="370"/>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51"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08" w:lineRule="exact"/>
        <w:rPr>
          <w:rFonts w:ascii="Arial" w:cs="Arial" w:eastAsia="Arial" w:hAnsi="Arial"/>
          <w:sz w:val="16"/>
          <w:szCs w:val="16"/>
          <w:color w:val="auto"/>
        </w:rPr>
      </w:pPr>
    </w:p>
    <w:p>
      <w:pPr>
        <w:jc w:val="both"/>
        <w:ind w:left="1120" w:hanging="370"/>
        <w:spacing w:after="0" w:line="301"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116" w:lineRule="exact"/>
        <w:rPr>
          <w:rFonts w:ascii="Arial" w:cs="Arial" w:eastAsia="Arial" w:hAnsi="Arial"/>
          <w:sz w:val="16"/>
          <w:szCs w:val="16"/>
          <w:color w:val="auto"/>
        </w:rPr>
      </w:pPr>
    </w:p>
    <w:p>
      <w:pPr>
        <w:ind w:left="1120" w:hanging="370"/>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jc w:val="both"/>
        <w:ind w:left="1120"/>
        <w:spacing w:after="0" w:line="263" w:lineRule="auto"/>
        <w:rPr>
          <w:sz w:val="20"/>
          <w:szCs w:val="20"/>
          <w:color w:val="auto"/>
        </w:rPr>
      </w:pPr>
      <w:r>
        <w:rPr>
          <w:rFonts w:ascii="Arial" w:cs="Arial" w:eastAsia="Arial" w:hAnsi="Arial"/>
          <w:sz w:val="18"/>
          <w:szCs w:val="18"/>
          <w:color w:val="auto"/>
        </w:rPr>
        <w:t>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3" w:lineRule="exact"/>
        <w:rPr>
          <w:sz w:val="20"/>
          <w:szCs w:val="20"/>
          <w:color w:val="auto"/>
        </w:rPr>
      </w:pPr>
    </w:p>
    <w:p>
      <w:pPr>
        <w:jc w:val="both"/>
        <w:ind w:left="11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43"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43"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9" w:lineRule="exact"/>
        <w:rPr>
          <w:rFonts w:ascii="Arial" w:cs="Arial" w:eastAsia="Arial" w:hAnsi="Arial"/>
          <w:sz w:val="18"/>
          <w:szCs w:val="18"/>
          <w:color w:val="auto"/>
        </w:rPr>
      </w:pPr>
    </w:p>
    <w:p>
      <w:pPr>
        <w:jc w:val="both"/>
        <w:ind w:left="1120" w:hanging="370"/>
        <w:spacing w:after="0" w:line="301"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16"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56"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8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may in the future expand our business and operations into international jurisdictions in which we have limited operating experience, including with respect to seeking regulatory approvals and marketing and selling products and services.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jc w:val="both"/>
        <w:spacing w:after="0" w:line="296" w:lineRule="auto"/>
        <w:rPr>
          <w:sz w:val="20"/>
          <w:szCs w:val="20"/>
          <w:color w:val="auto"/>
        </w:rPr>
      </w:pPr>
      <w:r>
        <w:rPr>
          <w:rFonts w:ascii="Arial" w:cs="Arial" w:eastAsia="Arial" w:hAnsi="Arial"/>
          <w:sz w:val="16"/>
          <w:szCs w:val="16"/>
          <w:color w:val="auto"/>
        </w:rPr>
        <w:t>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If we decide to grow our business by developing in vitro diagnostic tests, we may be subject to reimbursement challenges.</w:t>
      </w:r>
    </w:p>
    <w:p>
      <w:pPr>
        <w:spacing w:after="0" w:line="19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coverage and reimbursement status of newly approved or cleared laboratory tests is uncertain. If we develop in vitro diagnostic tests and decide to seek reimbursement,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2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0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Among other things, the ACA:</w:t>
      </w:r>
    </w:p>
    <w:p>
      <w:pPr>
        <w:spacing w:after="0" w:line="185" w:lineRule="exact"/>
        <w:rPr>
          <w:sz w:val="20"/>
          <w:szCs w:val="20"/>
          <w:color w:val="auto"/>
        </w:rPr>
      </w:pPr>
    </w:p>
    <w:p>
      <w:pPr>
        <w:jc w:val="both"/>
        <w:ind w:left="1120" w:right="20" w:hanging="370"/>
        <w:spacing w:after="0" w:line="263"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3"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a Center for Medicare &amp; Medicaid Innovation at CMS to test innovative payment and service delivery models to lower Medicare and Medicaid spending.</w:t>
      </w:r>
    </w:p>
    <w:p>
      <w:pPr>
        <w:spacing w:after="0" w:line="13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as well as recent efforts by the Trump administration to repeal or replace certain aspects of the ACA.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89" w:lineRule="auto"/>
        <w:rPr>
          <w:sz w:val="20"/>
          <w:szCs w:val="20"/>
          <w:color w:val="auto"/>
        </w:rPr>
      </w:pPr>
      <w:r>
        <w:rPr>
          <w:rFonts w:ascii="Arial" w:cs="Arial" w:eastAsia="Arial" w:hAnsi="Arial"/>
          <w:sz w:val="16"/>
          <w:szCs w:val="16"/>
          <w:color w:val="auto"/>
        </w:rPr>
        <w:t>Since January 2017, President Trump has signed two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a new system of incentive payments beginning in 2019 that are based on various performance measures and physicians’ participation in alternative payment models such as accountable care organizations.</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51"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jc w:val="both"/>
        <w:spacing w:after="0" w:line="285" w:lineRule="auto"/>
        <w:rPr>
          <w:sz w:val="20"/>
          <w:szCs w:val="20"/>
          <w:color w:val="auto"/>
        </w:rPr>
      </w:pPr>
      <w:r>
        <w:rPr>
          <w:rFonts w:ascii="Arial" w:cs="Arial" w:eastAsia="Arial" w:hAnsi="Arial"/>
          <w:sz w:val="16"/>
          <w:szCs w:val="16"/>
          <w:color w:val="auto"/>
        </w:rPr>
        <w:t>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14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2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collaborators, licensors, suppliers and others to indemnify and hold them harmless for damages arising from intellectual property infringement by us.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3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0"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3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90" w:lineRule="auto"/>
        <w:rPr>
          <w:sz w:val="20"/>
          <w:szCs w:val="20"/>
          <w:color w:val="auto"/>
        </w:rPr>
      </w:pPr>
      <w:r>
        <w:rPr>
          <w:rFonts w:ascii="Arial" w:cs="Arial" w:eastAsia="Arial" w:hAnsi="Arial"/>
          <w:sz w:val="16"/>
          <w:szCs w:val="16"/>
          <w:color w:val="auto"/>
        </w:rPr>
        <w:t>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2037, subject to any patent extensions that may be available for such patents. If patents are issued on our pending patent applications, the resulting patents are projected to expire on dates ranging from 2033 to 2040.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jc w:val="both"/>
        <w:spacing w:after="0" w:line="275" w:lineRule="auto"/>
        <w:rPr>
          <w:sz w:val="20"/>
          <w:szCs w:val="20"/>
          <w:color w:val="auto"/>
        </w:rPr>
      </w:pPr>
      <w:r>
        <w:rPr>
          <w:rFonts w:ascii="Arial" w:cs="Arial" w:eastAsia="Arial" w:hAnsi="Arial"/>
          <w:sz w:val="17"/>
          <w:szCs w:val="17"/>
          <w:color w:val="auto"/>
        </w:rPr>
        <w:t>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49" w:lineRule="exact"/>
        <w:rPr>
          <w:sz w:val="20"/>
          <w:szCs w:val="20"/>
          <w:color w:val="auto"/>
        </w:rPr>
      </w:pPr>
    </w:p>
    <w:p>
      <w:pPr>
        <w:ind w:left="1120" w:right="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20" w:hanging="370"/>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0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3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 xml:space="preserve">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41"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3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and know-how, our business and competitive position would be harmed.</w:t>
      </w:r>
    </w:p>
    <w:p>
      <w:pPr>
        <w:spacing w:after="0" w:line="21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5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7"/>
          <w:szCs w:val="17"/>
          <w:color w:val="auto"/>
        </w:rPr>
        <w:t>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3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43"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30"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4"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08"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96"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3" w:lineRule="exact"/>
        <w:rPr>
          <w:rFonts w:ascii="Arial" w:cs="Arial" w:eastAsia="Arial" w:hAnsi="Arial"/>
          <w:sz w:val="18"/>
          <w:szCs w:val="18"/>
          <w:color w:val="auto"/>
        </w:rPr>
      </w:pPr>
    </w:p>
    <w:p>
      <w:pPr>
        <w:ind w:left="1120" w:hanging="370"/>
        <w:spacing w:after="0" w:line="342"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120" w:right="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ind w:left="11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1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30"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or other specimen to us at any particular time or at all. The rate at which we receive tissue samples or other specimen can vary dramatically from quarter to quarter, and is difficult or impossible for us to accurately forecast. Our receipt and processing of tissue samples and other specimen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2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March 31, 2020, we had 31,530,443 shares of common stock outstanding, all of which shares are eligible for sale in the public market, subject in some cases to the volume limitations and manner of sale and other requirements under Rule 144. In addition, upon issuance, shares of common stock subject to outstanding options under our stock option plans as of March 31, 2020 will become eligible for sale in the public market in the future, subject to certain legal and contractual limitations. Moreover, holders of up to an aggregate of 18,790,983 shares of our common stock have the right to require us to register these shares under the Securities Act pursuant to an investors’ rights agreement. If our existing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stockholders sell substantial amounts of our common stock in the public market, or if the public perceives that such sales could occur, this could have an adverse effect on the market price of our common stock.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common stock is currently listed on The Nasdaq Global Market under the symbol “PSNL.”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4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7" w:lineRule="exact"/>
        <w:rPr>
          <w:sz w:val="20"/>
          <w:szCs w:val="20"/>
          <w:color w:val="auto"/>
        </w:rPr>
      </w:pPr>
    </w:p>
    <w:p>
      <w:pPr>
        <w:jc w:val="both"/>
        <w:ind w:left="760" w:right="20"/>
        <w:spacing w:after="0" w:line="381"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6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9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of approximately $114.9 million and approximately $72.2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federal net operating losses incurred in 2018 and in future years may be carried forward indefinitely, but the deductibility of such federal net operating losses is limited. It is uncertain if and to what extent various states will conform to the Tax Cuts and Jobs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jc w:val="both"/>
        <w:spacing w:after="0" w:line="275" w:lineRule="auto"/>
        <w:rPr>
          <w:sz w:val="20"/>
          <w:szCs w:val="20"/>
          <w:color w:val="auto"/>
        </w:rPr>
      </w:pPr>
      <w:r>
        <w:rPr>
          <w:rFonts w:ascii="Arial" w:cs="Arial" w:eastAsia="Arial" w:hAnsi="Arial"/>
          <w:sz w:val="17"/>
          <w:szCs w:val="17"/>
          <w:color w:val="auto"/>
        </w:rPr>
        <w:t>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43" w:lineRule="exact"/>
        <w:rPr>
          <w:sz w:val="20"/>
          <w:szCs w:val="20"/>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0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 claim against us governed by the internal affairs doctrine.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jc w:val="both"/>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5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is being reviewed and may be ultimately overturned by the Delaware Supreme Court.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19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5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2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ind w:left="7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1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43" w:lineRule="exact"/>
        <w:rPr>
          <w:sz w:val="20"/>
          <w:szCs w:val="20"/>
          <w:color w:val="auto"/>
        </w:rPr>
      </w:pPr>
    </w:p>
    <w:p>
      <w:pPr>
        <w:ind w:left="1120" w:right="20" w:hanging="370"/>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3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our initial public offering of our common stock. Our status as an emerging growth company will end as soon as any of the following takes place:</w:t>
      </w:r>
    </w:p>
    <w:p>
      <w:pPr>
        <w:spacing w:after="0" w:line="130"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December 31, 2024.</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3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 (i) identify and resolve complex accounting issues under generally accepted accounting principles in the United States and (ii) allow for appropriate segregation of duties. The identified material weakness could result in misstatements to our consolidated financial statements that would be material and would not be prevented or detected on a timely basis.</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jc w:val="both"/>
        <w:ind w:firstLine="749"/>
        <w:spacing w:after="0" w:line="296"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3"/>
          <w:szCs w:val="13"/>
          <w:b w:val="1"/>
          <w:bCs w:val="1"/>
          <w:i w:val="1"/>
          <w:iCs w:val="1"/>
          <w:color w:val="auto"/>
        </w:rPr>
        <w:t>Use of proceeds</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June 20, 2019 pursuant to Rule 424(b)(4).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March 17, 2020, the board of directors approved an amendment to the employment agreement of John West, our Chief Executive Officer. On and effective May 6, 2020, we entered into an amendment to the employment agreement with Mr. West, which amended the prior employment agreement of Mr. West dated June 2, 2019 to (i) replace special short- and long-term disability benefits with disability benefits consistent with those provided to other members of the management team and (ii) replace a long-term bonus payable in our common stock with a stock option that will vest upon certain company performance objectives.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0" w:type="dxa"/>
            <w:vAlign w:val="bottom"/>
            <w:gridSpan w:val="7"/>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u w:val="single" w:color="auto"/>
                <w:color w:val="0000EE"/>
                <w:w w:val="98"/>
              </w:rPr>
            </w:pPr>
            <w:hyperlink r:id="rId95">
              <w:r>
                <w:rPr>
                  <w:rFonts w:ascii="Arial" w:cs="Arial" w:eastAsia="Arial" w:hAnsi="Arial"/>
                  <w:sz w:val="18"/>
                  <w:szCs w:val="18"/>
                  <w:u w:val="single" w:color="auto"/>
                  <w:color w:val="0000EE"/>
                  <w:w w:val="98"/>
                </w:rPr>
                <w:t>Amended and Restated Certificate of Incorporation of the Registrant.</w:t>
              </w:r>
            </w:hyperlink>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rPr>
            </w:pPr>
            <w:hyperlink r:id="rId96">
              <w:r>
                <w:rPr>
                  <w:rFonts w:ascii="Arial" w:cs="Arial" w:eastAsia="Arial" w:hAnsi="Arial"/>
                  <w:sz w:val="18"/>
                  <w:szCs w:val="18"/>
                  <w:u w:val="single" w:color="auto"/>
                  <w:color w:val="0000EE"/>
                </w:rPr>
                <w:t>Amended and Restated Bylaws of the Registrant</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3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Amendment to Employment Terms Letter, by and between John West and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the Registrant, dated May 6, 2020.</w:t>
              </w:r>
            </w:hyperlink>
          </w:p>
        </w:tc>
        <w:tc>
          <w:tcPr>
            <w:tcW w:w="2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Certification of Principal Executive Officer Pursuant to Rules 13a-14(a)</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Pursuant to Section 302 of the Sarbanes-Oxley Act of 2002.</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1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Principal Financial Officer Pursuant to Rules 13a-14(a)</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and 15d-14(a) under the Securities Exchange Act of 1934, as Adopted</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8"/>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Pursuant to Section 302 of the Sarbanes-Oxley Act of 2002.</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Principal Executive Officer Pursuant to 18 U.S.C. Section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1350, as Adopted Pursuant to Section 906 of the Sarbanes-Oxley Act of</w:t>
              </w:r>
            </w:hyperlink>
          </w:p>
        </w:tc>
        <w:tc>
          <w:tcPr>
            <w:tcW w:w="14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2002.</w:t>
              </w:r>
            </w:hyperlink>
          </w:p>
        </w:tc>
        <w:tc>
          <w:tcPr>
            <w:tcW w:w="2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52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Certification of Principal Financial Officer Pursuant to 18 U.S.C. Section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1350, as Adopted Pursuant to Section 906 of the Sarbanes-Oxley Act of</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6">
              <w:r>
                <w:rPr>
                  <w:rFonts w:ascii="Arial" w:cs="Arial" w:eastAsia="Arial" w:hAnsi="Arial"/>
                  <w:sz w:val="18"/>
                  <w:szCs w:val="18"/>
                  <w:color w:val="0000EE"/>
                  <w:w w:val="84"/>
                </w:rPr>
                <w:t>2002.</w:t>
              </w:r>
            </w:hyperlink>
          </w:p>
        </w:tc>
        <w:tc>
          <w:tcPr>
            <w:tcW w:w="2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22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6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b w:val="1"/>
                <w:bCs w:val="1"/>
                <w:color w:val="auto"/>
                <w:w w:val="94"/>
              </w:rPr>
              <w:t>Filing Date</w:t>
            </w:r>
          </w:p>
        </w:tc>
      </w:tr>
      <w:tr>
        <w:trPr>
          <w:trHeight w:val="344"/>
        </w:trPr>
        <w:tc>
          <w:tcPr>
            <w:tcW w:w="1020" w:type="dxa"/>
            <w:vAlign w:val="bottom"/>
          </w:tcPr>
          <w:p>
            <w:pPr>
              <w:jc w:val="center"/>
              <w:ind w:left="16"/>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7"/>
              </w:rPr>
              <w:t>June 24, 2019</w:t>
            </w:r>
          </w:p>
        </w:tc>
      </w:tr>
      <w:tr>
        <w:trPr>
          <w:trHeight w:val="365"/>
        </w:trPr>
        <w:tc>
          <w:tcPr>
            <w:tcW w:w="1020" w:type="dxa"/>
            <w:vAlign w:val="bottom"/>
          </w:tcPr>
          <w:p>
            <w:pPr>
              <w:jc w:val="center"/>
              <w:ind w:left="16"/>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7"/>
              </w:rPr>
              <w:t>June 24, 2019</w:t>
            </w:r>
          </w:p>
        </w:tc>
      </w:tr>
    </w:tbl>
    <w:p>
      <w:pPr>
        <w:spacing w:after="0" w:line="6136" w:lineRule="exact"/>
        <w:rPr>
          <w:sz w:val="20"/>
          <w:szCs w:val="20"/>
          <w:color w:val="auto"/>
        </w:rPr>
      </w:pPr>
    </w:p>
    <w:p>
      <w:pPr>
        <w:sectPr>
          <w:pgSz w:w="11900" w:h="16838" w:orient="portrait"/>
          <w:cols w:equalWidth="0" w:num="2">
            <w:col w:w="6580" w:space="60"/>
            <w:col w:w="4600"/>
          </w:cols>
          <w:pgMar w:left="320" w:top="337" w:right="339" w:bottom="1440" w:gutter="0" w:footer="0" w:header="0"/>
          <w:type w:val="continuous"/>
        </w:sect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jc w:val="both"/>
        <w:ind w:left="500" w:hanging="492"/>
        <w:spacing w:after="0" w:line="238"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EMPLOYMENT TERMS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June 2, 2019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 John West and Personalis, Inc.</w:t>
      </w:r>
    </w:p>
    <w:p>
      <w:pPr>
        <w:spacing w:after="0" w:line="200" w:lineRule="exact"/>
        <w:rPr>
          <w:sz w:val="20"/>
          <w:szCs w:val="20"/>
          <w:color w:val="auto"/>
        </w:rPr>
      </w:pPr>
    </w:p>
    <w:p>
      <w:pPr>
        <w:spacing w:after="0" w:line="34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Pursuant to the modification provision of that certain Employment Terms letter agreement between Personalis, Inc. (the “Company”) and John West (“Mr. West”) dated June 2, 2019 (the “Agreement”), the Company and Mr. West hereby amend the Agreement as set forth below, effective as of May 6, 2020.</w:t>
      </w:r>
    </w:p>
    <w:p>
      <w:pPr>
        <w:spacing w:after="0" w:line="18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has considered and resolved to adjust the existing compensation and benefit arrangements for Mr. West,</w:t>
      </w:r>
      <w:r>
        <w:rPr>
          <w:rFonts w:ascii="Arial" w:cs="Arial" w:eastAsia="Arial" w:hAnsi="Arial"/>
          <w:sz w:val="20"/>
          <w:szCs w:val="20"/>
          <w:b w:val="1"/>
          <w:bCs w:val="1"/>
          <w:color w:val="auto"/>
        </w:rPr>
        <w:t xml:space="preserve"> </w:t>
      </w:r>
      <w:r>
        <w:rPr>
          <w:rFonts w:ascii="Arial" w:cs="Arial" w:eastAsia="Arial" w:hAnsi="Arial"/>
          <w:sz w:val="20"/>
          <w:szCs w:val="20"/>
          <w:color w:val="auto"/>
        </w:rPr>
        <w:t>in view of peer company data, and of Mr. West’s performance and the Company’s corporate performance, and Mr. West has agreed to accept the compensation and benefit changes.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hereby agree that the Agreement is amended to read as follows:</w:t>
      </w:r>
    </w:p>
    <w:p>
      <w:pPr>
        <w:spacing w:after="0" w:line="222" w:lineRule="exact"/>
        <w:rPr>
          <w:sz w:val="20"/>
          <w:szCs w:val="20"/>
          <w:color w:val="auto"/>
        </w:rPr>
      </w:pPr>
    </w:p>
    <w:p>
      <w:pPr>
        <w:ind w:right="20" w:firstLine="872"/>
        <w:spacing w:after="0" w:line="260" w:lineRule="auto"/>
        <w:tabs>
          <w:tab w:leader="none" w:pos="166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That Section of the Agreement entitled “</w:t>
      </w:r>
      <w:r>
        <w:rPr>
          <w:rFonts w:ascii="Arial" w:cs="Arial" w:eastAsia="Arial" w:hAnsi="Arial"/>
          <w:sz w:val="20"/>
          <w:szCs w:val="20"/>
          <w:u w:val="single" w:color="auto"/>
          <w:color w:val="auto"/>
        </w:rPr>
        <w:t>Long Term Bonus</w:t>
      </w:r>
      <w:r>
        <w:rPr>
          <w:rFonts w:ascii="Arial" w:cs="Arial" w:eastAsia="Arial" w:hAnsi="Arial"/>
          <w:sz w:val="20"/>
          <w:szCs w:val="20"/>
          <w:color w:val="auto"/>
        </w:rPr>
        <w:t>” and all four paragraphs therein, is hereby deleted in its entirety, and is replaced with the following Section: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Option</w:t>
      </w:r>
    </w:p>
    <w:p>
      <w:pPr>
        <w:spacing w:after="0" w:line="216" w:lineRule="exact"/>
        <w:rPr>
          <w:sz w:val="20"/>
          <w:szCs w:val="20"/>
          <w:color w:val="auto"/>
        </w:rPr>
      </w:pPr>
    </w:p>
    <w:p>
      <w:pPr>
        <w:jc w:val="both"/>
        <w:ind w:left="880" w:right="860"/>
        <w:spacing w:after="0" w:line="257" w:lineRule="auto"/>
        <w:rPr>
          <w:sz w:val="20"/>
          <w:szCs w:val="20"/>
          <w:color w:val="auto"/>
        </w:rPr>
      </w:pPr>
      <w:r>
        <w:rPr>
          <w:rFonts w:ascii="Arial" w:cs="Arial" w:eastAsia="Arial" w:hAnsi="Arial"/>
          <w:sz w:val="19"/>
          <w:szCs w:val="19"/>
          <w:color w:val="auto"/>
        </w:rPr>
        <w:t xml:space="preserve">Under the Personalis, Inc. 2019 Equity Incentive Plan, as amended from time to time (the “Plan”), the Board has granted you an option to purchase 421,000 shares (the “Performance Option”) of the Company’s Common Stock at fair market value as determined by the Board as of the date of grant. The Performance Option is subject to the terms and conditions of the Plan and your grant agreement. Shares under the Performance Option shall vest upon attainment of certain Performance Criteria as defined in your grant agreement, and shall be subject to vesting acceleration upon a Change in Control, as defined in the Plan, according to the formula specified in your grant agreement. Shares under the Performance Option shall not be subject to the vesting acceleration provided in paragraph 1(a)(iii) of the Executive Severance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parties acknowledge that Mr. West has not earned any bonus compensation under the deleted </w:t>
      </w:r>
      <w:r>
        <w:rPr>
          <w:rFonts w:ascii="Arial" w:cs="Arial" w:eastAsia="Arial" w:hAnsi="Arial"/>
          <w:sz w:val="20"/>
          <w:szCs w:val="20"/>
          <w:u w:val="single" w:color="auto"/>
          <w:color w:val="auto"/>
        </w:rPr>
        <w:t>Long Term Bonus</w:t>
      </w:r>
      <w:r>
        <w:rPr>
          <w:rFonts w:ascii="Arial" w:cs="Arial" w:eastAsia="Arial" w:hAnsi="Arial"/>
          <w:sz w:val="20"/>
          <w:szCs w:val="20"/>
          <w:color w:val="auto"/>
        </w:rPr>
        <w:t xml:space="preserve"> section.</w:t>
      </w:r>
    </w:p>
    <w:p>
      <w:pPr>
        <w:spacing w:after="0" w:line="216" w:lineRule="exact"/>
        <w:rPr>
          <w:sz w:val="20"/>
          <w:szCs w:val="20"/>
          <w:color w:val="auto"/>
        </w:rPr>
      </w:pPr>
    </w:p>
    <w:p>
      <w:pPr>
        <w:ind w:firstLine="872"/>
        <w:spacing w:after="0" w:line="260" w:lineRule="auto"/>
        <w:tabs>
          <w:tab w:leader="none" w:pos="1660" w:val="left"/>
        </w:tabs>
        <w:numPr>
          <w:ilvl w:val="0"/>
          <w:numId w:val="25"/>
        </w:numPr>
        <w:rPr>
          <w:rFonts w:ascii="Arial" w:cs="Arial" w:eastAsia="Arial" w:hAnsi="Arial"/>
          <w:sz w:val="20"/>
          <w:szCs w:val="20"/>
          <w:b w:val="1"/>
          <w:bCs w:val="1"/>
          <w:color w:val="auto"/>
        </w:rPr>
      </w:pPr>
      <w:r>
        <w:rPr>
          <w:rFonts w:ascii="Arial" w:cs="Arial" w:eastAsia="Arial" w:hAnsi="Arial"/>
          <w:sz w:val="20"/>
          <w:szCs w:val="20"/>
          <w:color w:val="auto"/>
        </w:rPr>
        <w:t>The second sentence of that Section of the Agreement entitled “</w:t>
      </w:r>
      <w:r>
        <w:rPr>
          <w:rFonts w:ascii="Arial" w:cs="Arial" w:eastAsia="Arial" w:hAnsi="Arial"/>
          <w:sz w:val="20"/>
          <w:szCs w:val="20"/>
          <w:u w:val="single" w:color="auto"/>
          <w:color w:val="auto"/>
        </w:rPr>
        <w:t>Benefit Programs</w:t>
      </w:r>
      <w:r>
        <w:rPr>
          <w:rFonts w:ascii="Arial" w:cs="Arial" w:eastAsia="Arial" w:hAnsi="Arial"/>
          <w:sz w:val="20"/>
          <w:szCs w:val="20"/>
          <w:color w:val="auto"/>
        </w:rPr>
        <w:t>” is hereby deleted and replaced with the following sentence:</w:t>
      </w:r>
    </w:p>
    <w:p>
      <w:pPr>
        <w:spacing w:after="0" w:line="177" w:lineRule="exact"/>
        <w:rPr>
          <w:sz w:val="20"/>
          <w:szCs w:val="20"/>
          <w:color w:val="auto"/>
        </w:rPr>
      </w:pPr>
    </w:p>
    <w:p>
      <w:pPr>
        <w:ind w:left="880" w:right="880"/>
        <w:spacing w:after="0" w:line="260" w:lineRule="auto"/>
        <w:rPr>
          <w:sz w:val="20"/>
          <w:szCs w:val="20"/>
          <w:color w:val="auto"/>
        </w:rPr>
      </w:pPr>
      <w:r>
        <w:rPr>
          <w:rFonts w:ascii="Arial" w:cs="Arial" w:eastAsia="Arial" w:hAnsi="Arial"/>
          <w:sz w:val="20"/>
          <w:szCs w:val="20"/>
          <w:color w:val="auto"/>
        </w:rPr>
        <w:t>“You will be eligible for disability benefits consistent with those provided to other members of the Company’s management team from time to time.”</w:t>
      </w:r>
    </w:p>
    <w:p>
      <w:pPr>
        <w:spacing w:after="0" w:line="177" w:lineRule="exact"/>
        <w:rPr>
          <w:sz w:val="20"/>
          <w:szCs w:val="20"/>
          <w:color w:val="auto"/>
        </w:rPr>
      </w:pPr>
    </w:p>
    <w:p>
      <w:pPr>
        <w:ind w:left="1660" w:hanging="788"/>
        <w:spacing w:after="0"/>
        <w:tabs>
          <w:tab w:leader="none" w:pos="1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 xml:space="preserve">That Section of the Agreement entitled </w:t>
      </w:r>
      <w:r>
        <w:rPr>
          <w:rFonts w:ascii="Arial" w:cs="Arial" w:eastAsia="Arial" w:hAnsi="Arial"/>
          <w:sz w:val="18"/>
          <w:szCs w:val="18"/>
          <w:u w:val="single" w:color="auto"/>
          <w:color w:val="auto"/>
        </w:rPr>
        <w:t>Change in Control Vesting</w:t>
      </w:r>
      <w:r>
        <w:rPr>
          <w:rFonts w:ascii="Arial" w:cs="Arial" w:eastAsia="Arial" w:hAnsi="Arial"/>
          <w:sz w:val="18"/>
          <w:szCs w:val="18"/>
          <w:color w:val="auto"/>
        </w:rPr>
        <w:t xml:space="preserve"> is hereby amended and restated to read in its entirety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 Vesting</w:t>
      </w:r>
    </w:p>
    <w:p>
      <w:pPr>
        <w:spacing w:after="0" w:line="216" w:lineRule="exact"/>
        <w:rPr>
          <w:sz w:val="20"/>
          <w:szCs w:val="20"/>
          <w:color w:val="auto"/>
        </w:rPr>
      </w:pPr>
    </w:p>
    <w:p>
      <w:pPr>
        <w:jc w:val="both"/>
        <w:ind w:left="880" w:right="860"/>
        <w:spacing w:after="0" w:line="342" w:lineRule="auto"/>
        <w:rPr>
          <w:sz w:val="20"/>
          <w:szCs w:val="20"/>
          <w:color w:val="auto"/>
        </w:rPr>
      </w:pPr>
      <w:r>
        <w:rPr>
          <w:rFonts w:ascii="Arial" w:cs="Arial" w:eastAsia="Arial" w:hAnsi="Arial"/>
          <w:sz w:val="16"/>
          <w:szCs w:val="16"/>
          <w:color w:val="auto"/>
        </w:rPr>
        <w:t>If a Change in Control, as defined in the Plan, or if applicable, in the Personalis, Inc. 2011 Equity Incentive Plan, occurs during your employment with the Company, then the Company will accelerate the vesting of each of your then outstanding equity compensation awards (except for the Performance Option) as to the number of then-unvested shares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left="10220"/>
        <w:spacing w:after="0"/>
        <w:rPr>
          <w:sz w:val="20"/>
          <w:szCs w:val="20"/>
          <w:color w:val="auto"/>
        </w:rPr>
      </w:pPr>
      <w:r>
        <w:rPr>
          <w:rFonts w:ascii="Arial" w:cs="Arial" w:eastAsia="Arial" w:hAnsi="Arial"/>
          <w:sz w:val="18"/>
          <w:szCs w:val="18"/>
          <w:b w:val="1"/>
          <w:bCs w:val="1"/>
          <w:color w:val="auto"/>
        </w:rPr>
        <w:t>Exhibit 10.1</w:t>
      </w:r>
    </w:p>
    <w:p>
      <w:pPr>
        <w:spacing w:after="0" w:line="44" w:lineRule="exact"/>
        <w:rPr>
          <w:sz w:val="20"/>
          <w:szCs w:val="20"/>
          <w:color w:val="auto"/>
        </w:rPr>
      </w:pPr>
    </w:p>
    <w:p>
      <w:pPr>
        <w:jc w:val="both"/>
        <w:ind w:left="880" w:right="880"/>
        <w:spacing w:after="0" w:line="241" w:lineRule="auto"/>
        <w:rPr>
          <w:sz w:val="20"/>
          <w:szCs w:val="20"/>
          <w:color w:val="auto"/>
        </w:rPr>
      </w:pPr>
      <w:r>
        <w:rPr>
          <w:rFonts w:ascii="Arial" w:cs="Arial" w:eastAsia="Arial" w:hAnsi="Arial"/>
          <w:sz w:val="20"/>
          <w:szCs w:val="20"/>
          <w:color w:val="auto"/>
        </w:rPr>
        <w:t>subject to each such award that would have become vested, in the ordinary course, within the first twelve (12) months following the Change in Control, effective as of immediately prior to the closing of the transaction (the “Change in Control Accelerated Vesting”).”</w:t>
      </w:r>
    </w:p>
    <w:p>
      <w:pPr>
        <w:spacing w:after="0" w:line="196" w:lineRule="exact"/>
        <w:rPr>
          <w:sz w:val="20"/>
          <w:szCs w:val="20"/>
          <w:color w:val="auto"/>
        </w:rPr>
      </w:pPr>
    </w:p>
    <w:p>
      <w:pPr>
        <w:ind w:left="1660" w:hanging="788"/>
        <w:spacing w:after="0"/>
        <w:tabs>
          <w:tab w:leader="none" w:pos="1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That Section of the Agreement entitled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is hereby amended to add the following sentence at the conclusion of</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Section:</w:t>
      </w:r>
    </w:p>
    <w:p>
      <w:pPr>
        <w:spacing w:after="0" w:line="200" w:lineRule="exact"/>
        <w:rPr>
          <w:sz w:val="20"/>
          <w:szCs w:val="20"/>
          <w:color w:val="auto"/>
        </w:rPr>
      </w:pPr>
    </w:p>
    <w:p>
      <w:pPr>
        <w:jc w:val="both"/>
        <w:ind w:left="880" w:right="860"/>
        <w:spacing w:after="0" w:line="260" w:lineRule="auto"/>
        <w:rPr>
          <w:sz w:val="20"/>
          <w:szCs w:val="20"/>
          <w:color w:val="auto"/>
        </w:rPr>
      </w:pPr>
      <w:r>
        <w:rPr>
          <w:rFonts w:ascii="Arial" w:cs="Arial" w:eastAsia="Arial" w:hAnsi="Arial"/>
          <w:sz w:val="19"/>
          <w:szCs w:val="19"/>
          <w:color w:val="auto"/>
        </w:rPr>
        <w:t>“This arbitration agreement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w:t>
      </w:r>
    </w:p>
    <w:p>
      <w:pPr>
        <w:spacing w:after="0" w:line="180" w:lineRule="exact"/>
        <w:rPr>
          <w:sz w:val="20"/>
          <w:szCs w:val="20"/>
          <w:color w:val="auto"/>
        </w:rPr>
      </w:pPr>
    </w:p>
    <w:p>
      <w:pPr>
        <w:ind w:left="1660" w:hanging="788"/>
        <w:spacing w:after="0"/>
        <w:tabs>
          <w:tab w:leader="none" w:pos="166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All other terms of the Agreement shall remain in full force and effect.</w:t>
      </w:r>
    </w:p>
    <w:p>
      <w:pPr>
        <w:spacing w:after="0" w:line="31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 First Amendment to Employment Terms letter agreement as of May 6,</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ERSONALIS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6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10160</wp:posOffset>
            </wp:positionV>
            <wp:extent cx="32575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Aaron Tachibana</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86"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J</w:t>
      </w:r>
      <w:r>
        <w:rPr>
          <w:rFonts w:ascii="Arial" w:cs="Arial" w:eastAsia="Arial" w:hAnsi="Arial"/>
          <w:sz w:val="13"/>
          <w:szCs w:val="13"/>
          <w:b w:val="1"/>
          <w:bCs w:val="1"/>
          <w:color w:val="auto"/>
        </w:rPr>
        <w:t>OHN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EST</w:t>
      </w:r>
    </w:p>
    <w:p>
      <w:pPr>
        <w:spacing w:after="0" w:line="262"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10160</wp:posOffset>
            </wp:positionV>
            <wp:extent cx="32575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John West</w:t>
      </w:r>
    </w:p>
    <w:p>
      <w:pPr>
        <w:spacing w:after="0" w:line="200" w:lineRule="exact"/>
        <w:rPr>
          <w:sz w:val="20"/>
          <w:szCs w:val="20"/>
          <w:color w:val="auto"/>
        </w:rPr>
      </w:pPr>
    </w:p>
    <w:p>
      <w:pPr>
        <w:spacing w:after="0" w:line="3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West,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tab/>
        <w:t>/s/ John West</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82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Tachibana,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tab/>
        <w:t>/s/ Aaron Tachibana</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829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35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3"/>
    </w:lvl>
  </w:abstractNum>
  <w:abstractNum w:abstractNumId="26">
    <w:nsid w:val="3A95F874"/>
    <w:multiLevelType w:val="hybridMultilevel"/>
    <w:lvl w:ilvl="0">
      <w:lvlJc w:val="left"/>
      <w:lvlText w:val="%1."/>
      <w:numFmt w:val="decimal"/>
      <w:start w:val="4"/>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95" Type="http://schemas.openxmlformats.org/officeDocument/2006/relationships/hyperlink" Target="http://www.sec.gov/Archives/edgar/data/0001527753/000119312519180246/d750323dex31.htm" TargetMode="External"/><Relationship Id="rId96"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2020-05-07T16:09:28Z</dcterms:created>
  <dcterms:modified xsi:type="dcterms:W3CDTF">2020-05-07T16:09:28Z</dcterms:modified>
</cp:coreProperties>
</file>