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ind w:left="3680" w:right="2540" w:hanging="3672"/>
        <w:spacing w:after="0" w:line="437" w:lineRule="auto"/>
        <w:tabs>
          <w:tab w:leader="none" w:pos="3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2025</w:t>
      </w:r>
    </w:p>
    <w:p>
      <w:pPr>
        <w:spacing w:after="0" w:line="221" w:lineRule="exact"/>
        <w:rPr>
          <w:sz w:val="24"/>
          <w:szCs w:val="24"/>
          <w:color w:val="auto"/>
        </w:rPr>
      </w:pPr>
    </w:p>
    <w:p>
      <w:pPr>
        <w:ind w:left="3620" w:right="2560" w:hanging="3612"/>
        <w:spacing w:after="0" w:line="387" w:lineRule="auto"/>
        <w:tabs>
          <w:tab w:leader="none" w:pos="3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140970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217805</wp:posOffset>
            </wp:positionV>
            <wp:extent cx="240855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855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484"/>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362"/>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196"/>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6600 Dumbarton Circle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Fremont, California</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right"/>
              <w:ind w:right="2503"/>
              <w:spacing w:after="0"/>
              <w:rPr>
                <w:sz w:val="20"/>
                <w:szCs w:val="20"/>
                <w:color w:val="auto"/>
              </w:rPr>
            </w:pPr>
            <w:r>
              <w:rPr>
                <w:rFonts w:ascii="Arial" w:cs="Arial" w:eastAsia="Arial" w:hAnsi="Arial"/>
                <w:sz w:val="16"/>
                <w:szCs w:val="16"/>
                <w:b w:val="1"/>
                <w:bCs w:val="1"/>
                <w:color w:val="auto"/>
              </w:rPr>
              <w:t>94555</w:t>
            </w:r>
          </w:p>
        </w:tc>
        <w:tc>
          <w:tcPr>
            <w:tcW w:w="0" w:type="dxa"/>
            <w:vAlign w:val="bottom"/>
          </w:tcPr>
          <w:p>
            <w:pPr>
              <w:spacing w:after="0"/>
              <w:rPr>
                <w:sz w:val="1"/>
                <w:szCs w:val="1"/>
                <w:color w:val="auto"/>
              </w:rPr>
            </w:pPr>
          </w:p>
        </w:tc>
      </w:tr>
      <w:tr>
        <w:trPr>
          <w:trHeight w:val="190"/>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57"/>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35"/>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b w:val="1"/>
                <w:bCs w:val="1"/>
                <w:color w:val="auto"/>
              </w:rPr>
              <w:t>Symbol(s)</w:t>
            </w:r>
          </w:p>
        </w:tc>
        <w:tc>
          <w:tcPr>
            <w:tcW w:w="3940" w:type="dxa"/>
            <w:vAlign w:val="bottom"/>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8"/>
        </w:trPr>
        <w:tc>
          <w:tcPr>
            <w:tcW w:w="4140" w:type="dxa"/>
            <w:vAlign w:val="bottom"/>
            <w:tcBorders>
              <w:top w:val="single" w:sz="8" w:color="auto"/>
            </w:tcBorders>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PSNL</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ind w:right="46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spacing w:after="0" w:line="161" w:lineRule="exact"/>
        <w:tabs>
          <w:tab w:leader="none" w:pos="1800" w:val="left"/>
          <w:tab w:leader="none" w:pos="2260" w:val="left"/>
          <w:tab w:leader="none" w:pos="3620" w:val="left"/>
          <w:tab w:leader="none" w:pos="4080" w:val="left"/>
          <w:tab w:leader="none" w:pos="5760" w:val="left"/>
          <w:tab w:leader="none" w:pos="6220" w:val="left"/>
          <w:tab w:leader="none" w:pos="8340" w:val="left"/>
          <w:tab w:leader="none" w:pos="8920" w:val="left"/>
          <w:tab w:leader="none" w:pos="110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49"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17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October 28, 2025 was 88,804,348.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8"/>
          </w:tcPr>
          <w:p>
            <w:pPr>
              <w:jc w:val="center"/>
              <w:ind w:right="3780"/>
              <w:spacing w:after="0"/>
              <w:rPr>
                <w:sz w:val="20"/>
                <w:szCs w:val="20"/>
                <w:color w:val="auto"/>
              </w:rPr>
            </w:pPr>
            <w:r>
              <w:rPr>
                <w:rFonts w:ascii="Arial" w:cs="Arial" w:eastAsia="Arial" w:hAnsi="Arial"/>
                <w:sz w:val="16"/>
                <w:szCs w:val="16"/>
                <w:b w:val="1"/>
                <w:bCs w:val="1"/>
                <w:color w:val="auto"/>
              </w:rPr>
              <w:t>PERSONALIS, INC.</w:t>
            </w:r>
          </w:p>
        </w:tc>
        <w:tc>
          <w:tcPr>
            <w:tcW w:w="960" w:type="dxa"/>
            <w:vAlign w:val="bottom"/>
          </w:tcPr>
          <w:p>
            <w:pPr>
              <w:spacing w:after="0"/>
              <w:rPr>
                <w:sz w:val="19"/>
                <w:szCs w:val="19"/>
                <w:color w:val="auto"/>
              </w:rPr>
            </w:pPr>
          </w:p>
        </w:tc>
      </w:tr>
      <w:tr>
        <w:trPr>
          <w:trHeight w:val="344"/>
        </w:trPr>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6"/>
          </w:tcPr>
          <w:p>
            <w:pPr>
              <w:jc w:val="center"/>
              <w:ind w:right="4200"/>
              <w:spacing w:after="0"/>
              <w:rPr>
                <w:sz w:val="20"/>
                <w:szCs w:val="20"/>
                <w:color w:val="auto"/>
              </w:rPr>
            </w:pPr>
            <w:r>
              <w:rPr>
                <w:rFonts w:ascii="Arial" w:cs="Arial" w:eastAsia="Arial" w:hAnsi="Arial"/>
                <w:sz w:val="16"/>
                <w:szCs w:val="16"/>
                <w:b w:val="1"/>
                <w:bCs w:val="1"/>
                <w:color w:val="auto"/>
                <w:w w:val="99"/>
              </w:rPr>
              <w:t>Form 10-Q</w:t>
            </w:r>
          </w:p>
        </w:tc>
        <w:tc>
          <w:tcPr>
            <w:tcW w:w="960" w:type="dxa"/>
            <w:vAlign w:val="bottom"/>
          </w:tcPr>
          <w:p>
            <w:pPr>
              <w:spacing w:after="0"/>
              <w:rPr>
                <w:sz w:val="24"/>
                <w:szCs w:val="24"/>
                <w:color w:val="auto"/>
              </w:rPr>
            </w:pPr>
          </w:p>
        </w:tc>
      </w:tr>
      <w:tr>
        <w:trPr>
          <w:trHeight w:val="223"/>
        </w:trPr>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80" w:type="dxa"/>
            <w:vAlign w:val="bottom"/>
            <w:gridSpan w:val="16"/>
          </w:tcPr>
          <w:p>
            <w:pPr>
              <w:jc w:val="center"/>
              <w:ind w:right="2240"/>
              <w:spacing w:after="0"/>
              <w:rPr>
                <w:sz w:val="20"/>
                <w:szCs w:val="20"/>
                <w:color w:val="auto"/>
              </w:rPr>
            </w:pPr>
            <w:r>
              <w:rPr>
                <w:rFonts w:ascii="Arial" w:cs="Arial" w:eastAsia="Arial" w:hAnsi="Arial"/>
                <w:sz w:val="16"/>
                <w:szCs w:val="16"/>
                <w:b w:val="1"/>
                <w:bCs w:val="1"/>
                <w:color w:val="auto"/>
              </w:rPr>
              <w:t>For the Quarterly Period Ended September 30, 2025</w:t>
            </w:r>
          </w:p>
        </w:tc>
        <w:tc>
          <w:tcPr>
            <w:tcW w:w="960" w:type="dxa"/>
            <w:vAlign w:val="bottom"/>
          </w:tcPr>
          <w:p>
            <w:pPr>
              <w:spacing w:after="0"/>
              <w:rPr>
                <w:sz w:val="19"/>
                <w:szCs w:val="19"/>
                <w:color w:val="auto"/>
              </w:rPr>
            </w:pPr>
          </w:p>
        </w:tc>
      </w:tr>
      <w:tr>
        <w:trPr>
          <w:trHeight w:val="378"/>
        </w:trPr>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40" w:type="dxa"/>
            <w:vAlign w:val="bottom"/>
            <w:gridSpan w:val="9"/>
          </w:tcPr>
          <w:p>
            <w:pPr>
              <w:jc w:val="center"/>
              <w:ind w:right="3660"/>
              <w:spacing w:after="0"/>
              <w:rPr>
                <w:sz w:val="20"/>
                <w:szCs w:val="20"/>
                <w:color w:val="auto"/>
              </w:rPr>
            </w:pPr>
            <w:r>
              <w:rPr>
                <w:rFonts w:ascii="Arial" w:cs="Arial" w:eastAsia="Arial" w:hAnsi="Arial"/>
                <w:sz w:val="16"/>
                <w:szCs w:val="16"/>
                <w:b w:val="1"/>
                <w:bCs w:val="1"/>
                <w:color w:val="auto"/>
              </w:rPr>
              <w:t>TABLE OF CONTENTS</w:t>
            </w:r>
          </w:p>
        </w:tc>
        <w:tc>
          <w:tcPr>
            <w:tcW w:w="960" w:type="dxa"/>
            <w:vAlign w:val="bottom"/>
          </w:tcPr>
          <w:p>
            <w:pPr>
              <w:spacing w:after="0"/>
              <w:rPr>
                <w:sz w:val="24"/>
                <w:szCs w:val="24"/>
                <w:color w:val="auto"/>
              </w:rPr>
            </w:pPr>
          </w:p>
        </w:tc>
      </w:tr>
      <w:tr>
        <w:trPr>
          <w:trHeight w:val="358"/>
        </w:trPr>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Page</w:t>
            </w:r>
          </w:p>
        </w:tc>
      </w:tr>
      <w:tr>
        <w:trPr>
          <w:trHeight w:val="163"/>
        </w:trPr>
        <w:tc>
          <w:tcPr>
            <w:tcW w:w="1380" w:type="dxa"/>
            <w:vAlign w:val="bottom"/>
            <w:shd w:val="clear" w:color="auto" w:fill="CFF0FC"/>
          </w:tcPr>
          <w:p>
            <w:pPr>
              <w:spacing w:after="0"/>
              <w:rPr>
                <w:sz w:val="14"/>
                <w:szCs w:val="14"/>
                <w:color w:val="auto"/>
              </w:rPr>
            </w:pPr>
          </w:p>
        </w:tc>
        <w:tc>
          <w:tcPr>
            <w:tcW w:w="8900" w:type="dxa"/>
            <w:vAlign w:val="bottom"/>
            <w:gridSpan w:val="27"/>
            <w:shd w:val="clear" w:color="auto" w:fill="CFF0FC"/>
          </w:tcPr>
          <w:p>
            <w:pPr>
              <w:spacing w:after="0" w:line="155" w:lineRule="exact"/>
              <w:rPr>
                <w:sz w:val="20"/>
                <w:szCs w:val="20"/>
                <w:color w:val="auto"/>
              </w:rPr>
            </w:pPr>
            <w:r>
              <w:rPr>
                <w:rFonts w:ascii="Arial" w:cs="Arial" w:eastAsia="Arial" w:hAnsi="Arial"/>
                <w:sz w:val="16"/>
                <w:szCs w:val="16"/>
                <w:color w:val="0000FF"/>
              </w:rPr>
              <w:t>Note Regarding Forward-Looking Statements</w:t>
            </w:r>
          </w:p>
        </w:tc>
        <w:tc>
          <w:tcPr>
            <w:tcW w:w="960" w:type="dxa"/>
            <w:vAlign w:val="bottom"/>
            <w:shd w:val="clear" w:color="auto" w:fill="CFF0FC"/>
          </w:tcPr>
          <w:p>
            <w:pPr>
              <w:jc w:val="center"/>
              <w:spacing w:after="0" w:line="155" w:lineRule="exact"/>
              <w:rPr>
                <w:sz w:val="20"/>
                <w:szCs w:val="20"/>
                <w:color w:val="auto"/>
              </w:rPr>
            </w:pPr>
            <w:r>
              <w:rPr>
                <w:rFonts w:ascii="Arial" w:cs="Arial" w:eastAsia="Arial" w:hAnsi="Arial"/>
                <w:sz w:val="16"/>
                <w:szCs w:val="16"/>
                <w:color w:val="auto"/>
              </w:rPr>
              <w:t>3</w:t>
            </w:r>
          </w:p>
        </w:tc>
      </w:tr>
      <w:tr>
        <w:trPr>
          <w:trHeight w:val="169"/>
        </w:trPr>
        <w:tc>
          <w:tcPr>
            <w:tcW w:w="1380" w:type="dxa"/>
            <w:vAlign w:val="bottom"/>
            <w:tcBorders>
              <w:top w:val="single" w:sz="8" w:color="CFF0FC"/>
            </w:tcBorders>
          </w:tcPr>
          <w:p>
            <w:pPr>
              <w:spacing w:after="0"/>
              <w:rPr>
                <w:sz w:val="14"/>
                <w:szCs w:val="14"/>
                <w:color w:val="auto"/>
              </w:rPr>
            </w:pPr>
          </w:p>
        </w:tc>
        <w:tc>
          <w:tcPr>
            <w:tcW w:w="3260" w:type="dxa"/>
            <w:vAlign w:val="bottom"/>
            <w:tcBorders>
              <w:top w:val="single" w:sz="8" w:color="0000FF"/>
            </w:tcBorders>
            <w:gridSpan w:val="18"/>
          </w:tcPr>
          <w:p>
            <w:pPr>
              <w:spacing w:after="0" w:line="162" w:lineRule="exact"/>
              <w:rPr>
                <w:sz w:val="20"/>
                <w:szCs w:val="20"/>
                <w:color w:val="auto"/>
              </w:rPr>
            </w:pPr>
            <w:r>
              <w:rPr>
                <w:rFonts w:ascii="Arial" w:cs="Arial" w:eastAsia="Arial" w:hAnsi="Arial"/>
                <w:sz w:val="16"/>
                <w:szCs w:val="16"/>
                <w:color w:val="0000FF"/>
              </w:rPr>
              <w:t>Summary of Risk Factors</w:t>
            </w:r>
          </w:p>
        </w:tc>
        <w:tc>
          <w:tcPr>
            <w:tcW w:w="5640" w:type="dxa"/>
            <w:vAlign w:val="bottom"/>
            <w:tcBorders>
              <w:top w:val="single" w:sz="8" w:color="CFF0FC"/>
            </w:tcBorders>
            <w:gridSpan w:val="9"/>
          </w:tcPr>
          <w:p>
            <w:pPr>
              <w:spacing w:after="0"/>
              <w:rPr>
                <w:sz w:val="14"/>
                <w:szCs w:val="14"/>
                <w:color w:val="auto"/>
              </w:rPr>
            </w:pPr>
          </w:p>
        </w:tc>
        <w:tc>
          <w:tcPr>
            <w:tcW w:w="9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4</w:t>
            </w:r>
          </w:p>
        </w:tc>
      </w:tr>
      <w:tr>
        <w:trPr>
          <w:trHeight w:val="169"/>
        </w:trPr>
        <w:tc>
          <w:tcPr>
            <w:tcW w:w="13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0000FF"/>
              <w:bottom w:val="single" w:sz="8" w:color="CFF0FC"/>
            </w:tcBorders>
            <w:shd w:val="clear" w:color="auto" w:fill="CFF0FC"/>
          </w:tcPr>
          <w:p>
            <w:pPr>
              <w:spacing w:after="0"/>
              <w:rPr>
                <w:sz w:val="14"/>
                <w:szCs w:val="14"/>
                <w:color w:val="auto"/>
              </w:rPr>
            </w:pPr>
          </w:p>
        </w:tc>
        <w:tc>
          <w:tcPr>
            <w:tcW w:w="360" w:type="dxa"/>
            <w:vAlign w:val="bottom"/>
            <w:tcBorders>
              <w:top w:val="single" w:sz="8" w:color="0000FF"/>
              <w:bottom w:val="single" w:sz="8" w:color="CFF0FC"/>
            </w:tcBorders>
            <w:shd w:val="clear" w:color="auto" w:fill="CFF0FC"/>
          </w:tcPr>
          <w:p>
            <w:pPr>
              <w:spacing w:after="0"/>
              <w:rPr>
                <w:sz w:val="14"/>
                <w:szCs w:val="14"/>
                <w:color w:val="auto"/>
              </w:rPr>
            </w:pPr>
          </w:p>
        </w:tc>
        <w:tc>
          <w:tcPr>
            <w:tcW w:w="200" w:type="dxa"/>
            <w:vAlign w:val="bottom"/>
            <w:tcBorders>
              <w:top w:val="single" w:sz="8" w:color="0000FF"/>
              <w:bottom w:val="single" w:sz="8" w:color="CFF0FC"/>
            </w:tcBorders>
            <w:shd w:val="clear" w:color="auto" w:fill="CFF0FC"/>
          </w:tcPr>
          <w:p>
            <w:pPr>
              <w:spacing w:after="0"/>
              <w:rPr>
                <w:sz w:val="14"/>
                <w:szCs w:val="14"/>
                <w:color w:val="auto"/>
              </w:rPr>
            </w:pPr>
          </w:p>
        </w:tc>
        <w:tc>
          <w:tcPr>
            <w:tcW w:w="120" w:type="dxa"/>
            <w:vAlign w:val="bottom"/>
            <w:tcBorders>
              <w:top w:val="single" w:sz="8" w:color="0000FF"/>
              <w:bottom w:val="single" w:sz="8" w:color="CFF0FC"/>
            </w:tcBorders>
            <w:shd w:val="clear" w:color="auto" w:fill="CFF0FC"/>
          </w:tcPr>
          <w:p>
            <w:pPr>
              <w:spacing w:after="0"/>
              <w:rPr>
                <w:sz w:val="14"/>
                <w:szCs w:val="14"/>
                <w:color w:val="auto"/>
              </w:rPr>
            </w:pPr>
          </w:p>
        </w:tc>
        <w:tc>
          <w:tcPr>
            <w:tcW w:w="360" w:type="dxa"/>
            <w:vAlign w:val="bottom"/>
            <w:tcBorders>
              <w:top w:val="single" w:sz="8" w:color="0000FF"/>
              <w:bottom w:val="single" w:sz="8" w:color="CFF0FC"/>
            </w:tcBorders>
            <w:shd w:val="clear" w:color="auto" w:fill="CFF0FC"/>
          </w:tcPr>
          <w:p>
            <w:pPr>
              <w:spacing w:after="0"/>
              <w:rPr>
                <w:sz w:val="14"/>
                <w:szCs w:val="14"/>
                <w:color w:val="auto"/>
              </w:rPr>
            </w:pPr>
          </w:p>
        </w:tc>
        <w:tc>
          <w:tcPr>
            <w:tcW w:w="20" w:type="dxa"/>
            <w:vAlign w:val="bottom"/>
            <w:tcBorders>
              <w:top w:val="single" w:sz="8" w:color="0000FF"/>
              <w:bottom w:val="single" w:sz="8" w:color="CFF0FC"/>
            </w:tcBorders>
            <w:shd w:val="clear" w:color="auto" w:fill="CFF0FC"/>
          </w:tcPr>
          <w:p>
            <w:pPr>
              <w:spacing w:after="0"/>
              <w:rPr>
                <w:sz w:val="14"/>
                <w:szCs w:val="14"/>
                <w:color w:val="auto"/>
              </w:rPr>
            </w:pPr>
          </w:p>
        </w:tc>
        <w:tc>
          <w:tcPr>
            <w:tcW w:w="60" w:type="dxa"/>
            <w:vAlign w:val="bottom"/>
            <w:tcBorders>
              <w:top w:val="single" w:sz="8" w:color="0000FF"/>
              <w:bottom w:val="single" w:sz="8" w:color="CFF0FC"/>
            </w:tcBorders>
            <w:shd w:val="clear" w:color="auto" w:fill="CFF0FC"/>
          </w:tcPr>
          <w:p>
            <w:pPr>
              <w:spacing w:after="0"/>
              <w:rPr>
                <w:sz w:val="14"/>
                <w:szCs w:val="14"/>
                <w:color w:val="auto"/>
              </w:rPr>
            </w:pPr>
          </w:p>
        </w:tc>
        <w:tc>
          <w:tcPr>
            <w:tcW w:w="180" w:type="dxa"/>
            <w:vAlign w:val="bottom"/>
            <w:tcBorders>
              <w:top w:val="single" w:sz="8" w:color="0000FF"/>
              <w:bottom w:val="single" w:sz="8" w:color="CFF0FC"/>
            </w:tcBorders>
            <w:shd w:val="clear" w:color="auto" w:fill="CFF0FC"/>
          </w:tcPr>
          <w:p>
            <w:pPr>
              <w:spacing w:after="0"/>
              <w:rPr>
                <w:sz w:val="14"/>
                <w:szCs w:val="14"/>
                <w:color w:val="auto"/>
              </w:rPr>
            </w:pPr>
          </w:p>
        </w:tc>
        <w:tc>
          <w:tcPr>
            <w:tcW w:w="220" w:type="dxa"/>
            <w:vAlign w:val="bottom"/>
            <w:tcBorders>
              <w:top w:val="single" w:sz="8" w:color="0000FF"/>
              <w:bottom w:val="single" w:sz="8" w:color="CFF0FC"/>
            </w:tcBorders>
            <w:shd w:val="clear" w:color="auto" w:fill="CFF0FC"/>
          </w:tcPr>
          <w:p>
            <w:pPr>
              <w:spacing w:after="0"/>
              <w:rPr>
                <w:sz w:val="14"/>
                <w:szCs w:val="14"/>
                <w:color w:val="auto"/>
              </w:rPr>
            </w:pPr>
          </w:p>
        </w:tc>
        <w:tc>
          <w:tcPr>
            <w:tcW w:w="60" w:type="dxa"/>
            <w:vAlign w:val="bottom"/>
            <w:tcBorders>
              <w:top w:val="single" w:sz="8" w:color="0000FF"/>
              <w:bottom w:val="single" w:sz="8" w:color="CFF0FC"/>
            </w:tcBorders>
            <w:shd w:val="clear" w:color="auto" w:fill="CFF0FC"/>
          </w:tcPr>
          <w:p>
            <w:pPr>
              <w:spacing w:after="0"/>
              <w:rPr>
                <w:sz w:val="14"/>
                <w:szCs w:val="14"/>
                <w:color w:val="auto"/>
              </w:rPr>
            </w:pPr>
          </w:p>
        </w:tc>
        <w:tc>
          <w:tcPr>
            <w:tcW w:w="20" w:type="dxa"/>
            <w:vAlign w:val="bottom"/>
            <w:tcBorders>
              <w:top w:val="single" w:sz="8" w:color="0000FF"/>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CFF0FC"/>
            </w:tcBorders>
            <w:shd w:val="clear" w:color="auto" w:fill="CFF0FC"/>
          </w:tcPr>
          <w:p>
            <w:pPr>
              <w:spacing w:after="0"/>
              <w:rPr>
                <w:sz w:val="14"/>
                <w:szCs w:val="14"/>
                <w:color w:val="auto"/>
              </w:rPr>
            </w:pPr>
          </w:p>
        </w:tc>
        <w:tc>
          <w:tcPr>
            <w:tcW w:w="2840" w:type="dxa"/>
            <w:vAlign w:val="bottom"/>
            <w:tcBorders>
              <w:bottom w:val="single" w:sz="8" w:color="0000FF"/>
            </w:tcBorders>
            <w:gridSpan w:val="11"/>
            <w:shd w:val="clear" w:color="auto" w:fill="CFF0FC"/>
          </w:tcPr>
          <w:p>
            <w:pPr>
              <w:jc w:val="center"/>
              <w:spacing w:after="0" w:line="162" w:lineRule="exact"/>
              <w:rPr>
                <w:sz w:val="20"/>
                <w:szCs w:val="20"/>
                <w:color w:val="auto"/>
              </w:rPr>
            </w:pPr>
            <w:r>
              <w:rPr>
                <w:rFonts w:ascii="Arial" w:cs="Arial" w:eastAsia="Arial" w:hAnsi="Arial"/>
                <w:sz w:val="16"/>
                <w:szCs w:val="16"/>
                <w:b w:val="1"/>
                <w:bCs w:val="1"/>
                <w:color w:val="0000FF"/>
              </w:rPr>
              <w:t>PART I — FINANCIAL INFORMATION</w:t>
            </w:r>
          </w:p>
        </w:tc>
        <w:tc>
          <w:tcPr>
            <w:tcW w:w="3240" w:type="dxa"/>
            <w:vAlign w:val="bottom"/>
            <w:tcBorders>
              <w:bottom w:val="single" w:sz="8" w:color="CFF0FC"/>
            </w:tcBorders>
            <w:gridSpan w:val="2"/>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r>
      <w:tr>
        <w:trPr>
          <w:trHeight w:val="169"/>
        </w:trPr>
        <w:tc>
          <w:tcPr>
            <w:tcW w:w="1380" w:type="dxa"/>
            <w:vAlign w:val="bottom"/>
          </w:tcPr>
          <w:p>
            <w:pPr>
              <w:spacing w:after="0" w:line="162" w:lineRule="exact"/>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8"/>
          </w:tcPr>
          <w:p>
            <w:pPr>
              <w:spacing w:after="0" w:line="162" w:lineRule="exact"/>
              <w:rPr>
                <w:sz w:val="20"/>
                <w:szCs w:val="20"/>
                <w:color w:val="auto"/>
              </w:rPr>
            </w:pPr>
            <w:r>
              <w:rPr>
                <w:rFonts w:ascii="Arial" w:cs="Arial" w:eastAsia="Arial" w:hAnsi="Arial"/>
                <w:sz w:val="16"/>
                <w:szCs w:val="16"/>
                <w:color w:val="0000FF"/>
              </w:rPr>
              <w:t>Financial Statements</w:t>
            </w:r>
          </w:p>
        </w:tc>
        <w:tc>
          <w:tcPr>
            <w:tcW w:w="7380" w:type="dxa"/>
            <w:vAlign w:val="bottom"/>
            <w:gridSpan w:val="19"/>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6</w:t>
            </w:r>
          </w:p>
        </w:tc>
      </w:tr>
      <w:tr>
        <w:trPr>
          <w:trHeight w:val="169"/>
        </w:trPr>
        <w:tc>
          <w:tcPr>
            <w:tcW w:w="13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140" w:type="dxa"/>
            <w:vAlign w:val="bottom"/>
            <w:tcBorders>
              <w:bottom w:val="single" w:sz="8" w:color="0000FF"/>
            </w:tcBorders>
            <w:gridSpan w:val="12"/>
            <w:shd w:val="clear" w:color="auto" w:fill="CFF0FC"/>
          </w:tcPr>
          <w:p>
            <w:pPr>
              <w:spacing w:after="0" w:line="162" w:lineRule="exact"/>
              <w:rPr>
                <w:sz w:val="20"/>
                <w:szCs w:val="20"/>
                <w:color w:val="auto"/>
              </w:rPr>
            </w:pPr>
            <w:r>
              <w:rPr>
                <w:rFonts w:ascii="Arial" w:cs="Arial" w:eastAsia="Arial" w:hAnsi="Arial"/>
                <w:sz w:val="16"/>
                <w:szCs w:val="16"/>
                <w:color w:val="0000FF"/>
              </w:rPr>
              <w:t>Consolidated Balance Sheets</w:t>
            </w:r>
          </w:p>
        </w:tc>
        <w:tc>
          <w:tcPr>
            <w:tcW w:w="6540" w:type="dxa"/>
            <w:vAlign w:val="bottom"/>
            <w:tcBorders>
              <w:bottom w:val="single" w:sz="8" w:color="CFF0FC"/>
            </w:tcBorders>
            <w:gridSpan w:val="14"/>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6</w:t>
            </w:r>
          </w:p>
        </w:tc>
      </w:tr>
      <w:tr>
        <w:trPr>
          <w:trHeight w:val="169"/>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Borders>
              <w:bottom w:val="single" w:sz="8" w:color="0000FF"/>
            </w:tcBorders>
            <w:gridSpan w:val="15"/>
          </w:tcPr>
          <w:p>
            <w:pPr>
              <w:spacing w:after="0" w:line="162" w:lineRule="exact"/>
              <w:rPr>
                <w:sz w:val="20"/>
                <w:szCs w:val="20"/>
                <w:color w:val="auto"/>
              </w:rPr>
            </w:pPr>
            <w:r>
              <w:rPr>
                <w:rFonts w:ascii="Arial" w:cs="Arial" w:eastAsia="Arial" w:hAnsi="Arial"/>
                <w:sz w:val="16"/>
                <w:szCs w:val="16"/>
                <w:color w:val="0000FF"/>
              </w:rPr>
              <w:t>Consolidated Statements of Operations</w:t>
            </w:r>
          </w:p>
        </w:tc>
        <w:tc>
          <w:tcPr>
            <w:tcW w:w="5840" w:type="dxa"/>
            <w:vAlign w:val="bottom"/>
            <w:gridSpan w:val="11"/>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7</w:t>
            </w:r>
          </w:p>
        </w:tc>
      </w:tr>
      <w:tr>
        <w:trPr>
          <w:trHeight w:val="169"/>
        </w:trPr>
        <w:tc>
          <w:tcPr>
            <w:tcW w:w="1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8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Comprehensive Loss</w:t>
            </w: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8</w:t>
            </w:r>
          </w:p>
        </w:tc>
      </w:tr>
      <w:tr>
        <w:trPr>
          <w:trHeight w:val="169"/>
        </w:trPr>
        <w:tc>
          <w:tcPr>
            <w:tcW w:w="13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3520" w:type="dxa"/>
            <w:vAlign w:val="bottom"/>
            <w:tcBorders>
              <w:top w:val="single" w:sz="8" w:color="0000FF"/>
              <w:bottom w:val="single" w:sz="8" w:color="0000FF"/>
            </w:tcBorders>
            <w:gridSpan w:val="19"/>
          </w:tcPr>
          <w:p>
            <w:pPr>
              <w:spacing w:after="0" w:line="162" w:lineRule="exact"/>
              <w:rPr>
                <w:sz w:val="20"/>
                <w:szCs w:val="20"/>
                <w:color w:val="auto"/>
              </w:rPr>
            </w:pPr>
            <w:r>
              <w:rPr>
                <w:rFonts w:ascii="Arial" w:cs="Arial" w:eastAsia="Arial" w:hAnsi="Arial"/>
                <w:sz w:val="16"/>
                <w:szCs w:val="16"/>
                <w:color w:val="0000FF"/>
              </w:rPr>
              <w:t>Consolidated Statements of Stockholders’ Equity</w:t>
            </w:r>
          </w:p>
        </w:tc>
        <w:tc>
          <w:tcPr>
            <w:tcW w:w="40" w:type="dxa"/>
            <w:vAlign w:val="bottom"/>
            <w:tcBorders>
              <w:top w:val="single" w:sz="8" w:color="0000FF"/>
            </w:tcBorders>
          </w:tcPr>
          <w:p>
            <w:pPr>
              <w:spacing w:after="0"/>
              <w:rPr>
                <w:sz w:val="14"/>
                <w:szCs w:val="14"/>
                <w:color w:val="auto"/>
              </w:rPr>
            </w:pPr>
          </w:p>
        </w:tc>
        <w:tc>
          <w:tcPr>
            <w:tcW w:w="5120" w:type="dxa"/>
            <w:vAlign w:val="bottom"/>
            <w:tcBorders>
              <w:top w:val="single" w:sz="8" w:color="CFF0FC"/>
            </w:tcBorders>
            <w:gridSpan w:val="6"/>
          </w:tcPr>
          <w:p>
            <w:pPr>
              <w:spacing w:after="0"/>
              <w:rPr>
                <w:sz w:val="14"/>
                <w:szCs w:val="14"/>
                <w:color w:val="auto"/>
              </w:rPr>
            </w:pPr>
          </w:p>
        </w:tc>
        <w:tc>
          <w:tcPr>
            <w:tcW w:w="9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9</w:t>
            </w:r>
          </w:p>
        </w:tc>
      </w:tr>
      <w:tr>
        <w:trPr>
          <w:trHeight w:val="169"/>
        </w:trPr>
        <w:tc>
          <w:tcPr>
            <w:tcW w:w="13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900" w:type="dxa"/>
            <w:vAlign w:val="bottom"/>
            <w:tcBorders>
              <w:bottom w:val="single" w:sz="8" w:color="0000FF"/>
            </w:tcBorders>
            <w:gridSpan w:val="16"/>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Cash Flows</w:t>
            </w:r>
          </w:p>
        </w:tc>
        <w:tc>
          <w:tcPr>
            <w:tcW w:w="5780" w:type="dxa"/>
            <w:vAlign w:val="bottom"/>
            <w:tcBorders>
              <w:bottom w:val="single" w:sz="8" w:color="CFF0FC"/>
            </w:tcBorders>
            <w:gridSpan w:val="10"/>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11</w:t>
            </w:r>
          </w:p>
        </w:tc>
      </w:tr>
      <w:tr>
        <w:trPr>
          <w:trHeight w:val="169"/>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0000FF"/>
            </w:tcBorders>
            <w:gridSpan w:val="5"/>
          </w:tcPr>
          <w:p>
            <w:pPr>
              <w:spacing w:after="0" w:line="162" w:lineRule="exact"/>
              <w:rPr>
                <w:sz w:val="20"/>
                <w:szCs w:val="20"/>
                <w:color w:val="auto"/>
              </w:rPr>
            </w:pPr>
            <w:r>
              <w:rPr>
                <w:rFonts w:ascii="Arial" w:cs="Arial" w:eastAsia="Arial" w:hAnsi="Arial"/>
                <w:sz w:val="16"/>
                <w:szCs w:val="16"/>
                <w:color w:val="0000FF"/>
              </w:rPr>
              <w:t>Index to Notes</w:t>
            </w:r>
          </w:p>
        </w:tc>
        <w:tc>
          <w:tcPr>
            <w:tcW w:w="7620" w:type="dxa"/>
            <w:vAlign w:val="bottom"/>
            <w:gridSpan w:val="21"/>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12</w:t>
            </w:r>
          </w:p>
        </w:tc>
      </w:tr>
      <w:tr>
        <w:trPr>
          <w:trHeight w:val="162"/>
        </w:trPr>
        <w:tc>
          <w:tcPr>
            <w:tcW w:w="1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8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Notes to Consolidated Financial Statements</w:t>
            </w: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13</w:t>
            </w:r>
          </w:p>
        </w:tc>
      </w:tr>
      <w:tr>
        <w:trPr>
          <w:trHeight w:val="27"/>
        </w:trPr>
        <w:tc>
          <w:tcPr>
            <w:tcW w:w="13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69"/>
        </w:trPr>
        <w:tc>
          <w:tcPr>
            <w:tcW w:w="1380" w:type="dxa"/>
            <w:vAlign w:val="bottom"/>
          </w:tcPr>
          <w:p>
            <w:pPr>
              <w:spacing w:after="0" w:line="162" w:lineRule="exact"/>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26"/>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52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28</w:t>
            </w:r>
          </w:p>
        </w:tc>
      </w:tr>
      <w:tr>
        <w:trPr>
          <w:trHeight w:val="169"/>
        </w:trPr>
        <w:tc>
          <w:tcPr>
            <w:tcW w:w="138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Item 3.</w:t>
            </w:r>
          </w:p>
        </w:tc>
        <w:tc>
          <w:tcPr>
            <w:tcW w:w="8900" w:type="dxa"/>
            <w:vAlign w:val="bottom"/>
            <w:gridSpan w:val="27"/>
            <w:shd w:val="clear" w:color="auto" w:fill="CFF0FC"/>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36</w:t>
            </w:r>
          </w:p>
        </w:tc>
      </w:tr>
      <w:tr>
        <w:trPr>
          <w:trHeight w:val="169"/>
        </w:trPr>
        <w:tc>
          <w:tcPr>
            <w:tcW w:w="1380" w:type="dxa"/>
            <w:vAlign w:val="bottom"/>
            <w:tcBorders>
              <w:top w:val="single" w:sz="8" w:color="CFF0FC"/>
            </w:tcBorders>
          </w:tcPr>
          <w:p>
            <w:pPr>
              <w:spacing w:after="0" w:line="162"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22"/>
          </w:tcPr>
          <w:p>
            <w:pPr>
              <w:spacing w:after="0" w:line="162" w:lineRule="exact"/>
              <w:rPr>
                <w:sz w:val="20"/>
                <w:szCs w:val="20"/>
                <w:color w:val="auto"/>
              </w:rPr>
            </w:pPr>
            <w:r>
              <w:rPr>
                <w:rFonts w:ascii="Arial" w:cs="Arial" w:eastAsia="Arial" w:hAnsi="Arial"/>
                <w:sz w:val="16"/>
                <w:szCs w:val="16"/>
                <w:color w:val="0000FF"/>
              </w:rPr>
              <w:t>Controls and Procedures</w:t>
            </w:r>
          </w:p>
        </w:tc>
        <w:tc>
          <w:tcPr>
            <w:tcW w:w="4660" w:type="dxa"/>
            <w:vAlign w:val="bottom"/>
            <w:tcBorders>
              <w:top w:val="single" w:sz="8" w:color="CFF0FC"/>
            </w:tcBorders>
            <w:gridSpan w:val="5"/>
          </w:tcPr>
          <w:p>
            <w:pPr>
              <w:spacing w:after="0"/>
              <w:rPr>
                <w:sz w:val="14"/>
                <w:szCs w:val="14"/>
                <w:color w:val="auto"/>
              </w:rPr>
            </w:pPr>
          </w:p>
        </w:tc>
        <w:tc>
          <w:tcPr>
            <w:tcW w:w="9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36</w:t>
            </w:r>
          </w:p>
        </w:tc>
      </w:tr>
      <w:tr>
        <w:trPr>
          <w:trHeight w:val="189"/>
        </w:trPr>
        <w:tc>
          <w:tcPr>
            <w:tcW w:w="1380" w:type="dxa"/>
            <w:vAlign w:val="bottom"/>
            <w:shd w:val="clear" w:color="auto" w:fill="CFF0FC"/>
          </w:tcPr>
          <w:p>
            <w:pPr>
              <w:spacing w:after="0"/>
              <w:rPr>
                <w:sz w:val="16"/>
                <w:szCs w:val="16"/>
                <w:color w:val="auto"/>
              </w:rPr>
            </w:pPr>
          </w:p>
        </w:tc>
        <w:tc>
          <w:tcPr>
            <w:tcW w:w="220" w:type="dxa"/>
            <w:vAlign w:val="bottom"/>
            <w:tcBorders>
              <w:top w:val="single" w:sz="8" w:color="0000FF"/>
            </w:tcBorders>
            <w:shd w:val="clear" w:color="auto" w:fill="CFF0FC"/>
          </w:tcPr>
          <w:p>
            <w:pPr>
              <w:spacing w:after="0"/>
              <w:rPr>
                <w:sz w:val="16"/>
                <w:szCs w:val="16"/>
                <w:color w:val="auto"/>
              </w:rPr>
            </w:pPr>
          </w:p>
        </w:tc>
        <w:tc>
          <w:tcPr>
            <w:tcW w:w="360" w:type="dxa"/>
            <w:vAlign w:val="bottom"/>
            <w:tcBorders>
              <w:top w:val="single" w:sz="8" w:color="0000FF"/>
            </w:tcBorders>
            <w:shd w:val="clear" w:color="auto" w:fill="CFF0FC"/>
          </w:tcPr>
          <w:p>
            <w:pPr>
              <w:spacing w:after="0"/>
              <w:rPr>
                <w:sz w:val="16"/>
                <w:szCs w:val="16"/>
                <w:color w:val="auto"/>
              </w:rPr>
            </w:pPr>
          </w:p>
        </w:tc>
        <w:tc>
          <w:tcPr>
            <w:tcW w:w="200" w:type="dxa"/>
            <w:vAlign w:val="bottom"/>
            <w:tcBorders>
              <w:top w:val="single" w:sz="8" w:color="0000FF"/>
            </w:tcBorders>
            <w:shd w:val="clear" w:color="auto" w:fill="CFF0FC"/>
          </w:tcPr>
          <w:p>
            <w:pPr>
              <w:spacing w:after="0"/>
              <w:rPr>
                <w:sz w:val="16"/>
                <w:szCs w:val="16"/>
                <w:color w:val="auto"/>
              </w:rPr>
            </w:pPr>
          </w:p>
        </w:tc>
        <w:tc>
          <w:tcPr>
            <w:tcW w:w="120" w:type="dxa"/>
            <w:vAlign w:val="bottom"/>
            <w:tcBorders>
              <w:top w:val="single" w:sz="8" w:color="0000FF"/>
            </w:tcBorders>
            <w:shd w:val="clear" w:color="auto" w:fill="CFF0FC"/>
          </w:tcPr>
          <w:p>
            <w:pPr>
              <w:spacing w:after="0"/>
              <w:rPr>
                <w:sz w:val="16"/>
                <w:szCs w:val="16"/>
                <w:color w:val="auto"/>
              </w:rPr>
            </w:pPr>
          </w:p>
        </w:tc>
        <w:tc>
          <w:tcPr>
            <w:tcW w:w="360" w:type="dxa"/>
            <w:vAlign w:val="bottom"/>
            <w:tcBorders>
              <w:top w:val="single" w:sz="8" w:color="0000FF"/>
            </w:tcBorders>
            <w:shd w:val="clear" w:color="auto" w:fill="CFF0FC"/>
          </w:tcPr>
          <w:p>
            <w:pPr>
              <w:spacing w:after="0"/>
              <w:rPr>
                <w:sz w:val="16"/>
                <w:szCs w:val="16"/>
                <w:color w:val="auto"/>
              </w:rPr>
            </w:pPr>
          </w:p>
        </w:tc>
        <w:tc>
          <w:tcPr>
            <w:tcW w:w="20" w:type="dxa"/>
            <w:vAlign w:val="bottom"/>
            <w:tcBorders>
              <w:top w:val="single" w:sz="8" w:color="0000FF"/>
            </w:tcBorders>
            <w:shd w:val="clear" w:color="auto" w:fill="CFF0FC"/>
          </w:tcPr>
          <w:p>
            <w:pPr>
              <w:spacing w:after="0"/>
              <w:rPr>
                <w:sz w:val="16"/>
                <w:szCs w:val="16"/>
                <w:color w:val="auto"/>
              </w:rPr>
            </w:pPr>
          </w:p>
        </w:tc>
        <w:tc>
          <w:tcPr>
            <w:tcW w:w="60" w:type="dxa"/>
            <w:vAlign w:val="bottom"/>
            <w:tcBorders>
              <w:top w:val="single" w:sz="8" w:color="0000FF"/>
            </w:tcBorders>
            <w:shd w:val="clear" w:color="auto" w:fill="CFF0FC"/>
          </w:tcPr>
          <w:p>
            <w:pPr>
              <w:spacing w:after="0"/>
              <w:rPr>
                <w:sz w:val="16"/>
                <w:szCs w:val="16"/>
                <w:color w:val="auto"/>
              </w:rPr>
            </w:pPr>
          </w:p>
        </w:tc>
        <w:tc>
          <w:tcPr>
            <w:tcW w:w="180" w:type="dxa"/>
            <w:vAlign w:val="bottom"/>
            <w:tcBorders>
              <w:top w:val="single" w:sz="8" w:color="0000FF"/>
            </w:tcBorders>
            <w:shd w:val="clear" w:color="auto" w:fill="CFF0FC"/>
          </w:tcPr>
          <w:p>
            <w:pPr>
              <w:spacing w:after="0"/>
              <w:rPr>
                <w:sz w:val="16"/>
                <w:szCs w:val="16"/>
                <w:color w:val="auto"/>
              </w:rPr>
            </w:pPr>
          </w:p>
        </w:tc>
        <w:tc>
          <w:tcPr>
            <w:tcW w:w="220" w:type="dxa"/>
            <w:vAlign w:val="bottom"/>
            <w:tcBorders>
              <w:top w:val="single" w:sz="8" w:color="0000FF"/>
            </w:tcBorders>
            <w:shd w:val="clear" w:color="auto" w:fill="CFF0FC"/>
          </w:tcPr>
          <w:p>
            <w:pPr>
              <w:spacing w:after="0"/>
              <w:rPr>
                <w:sz w:val="16"/>
                <w:szCs w:val="16"/>
                <w:color w:val="auto"/>
              </w:rPr>
            </w:pPr>
          </w:p>
        </w:tc>
        <w:tc>
          <w:tcPr>
            <w:tcW w:w="60" w:type="dxa"/>
            <w:vAlign w:val="bottom"/>
            <w:tcBorders>
              <w:top w:val="single" w:sz="8" w:color="0000FF"/>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5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69"/>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960" w:type="dxa"/>
            <w:vAlign w:val="bottom"/>
            <w:gridSpan w:val="12"/>
          </w:tcPr>
          <w:p>
            <w:pPr>
              <w:jc w:val="center"/>
              <w:ind w:right="3380"/>
              <w:spacing w:after="0" w:line="162" w:lineRule="exact"/>
              <w:rPr>
                <w:sz w:val="20"/>
                <w:szCs w:val="20"/>
                <w:color w:val="auto"/>
              </w:rPr>
            </w:pPr>
            <w:r>
              <w:rPr>
                <w:rFonts w:ascii="Arial" w:cs="Arial" w:eastAsia="Arial" w:hAnsi="Arial"/>
                <w:sz w:val="16"/>
                <w:szCs w:val="16"/>
                <w:b w:val="1"/>
                <w:bCs w:val="1"/>
                <w:color w:val="0000FF"/>
              </w:rPr>
              <w:t>PART II — OTHER INFORMATION</w:t>
            </w:r>
          </w:p>
        </w:tc>
        <w:tc>
          <w:tcPr>
            <w:tcW w:w="960" w:type="dxa"/>
            <w:vAlign w:val="bottom"/>
          </w:tcPr>
          <w:p>
            <w:pPr>
              <w:spacing w:after="0"/>
              <w:rPr>
                <w:sz w:val="14"/>
                <w:szCs w:val="14"/>
                <w:color w:val="auto"/>
              </w:rPr>
            </w:pPr>
          </w:p>
        </w:tc>
      </w:tr>
      <w:tr>
        <w:trPr>
          <w:trHeight w:val="169"/>
        </w:trPr>
        <w:tc>
          <w:tcPr>
            <w:tcW w:w="138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Item 1.</w:t>
            </w:r>
          </w:p>
        </w:tc>
        <w:tc>
          <w:tcPr>
            <w:tcW w:w="2940" w:type="dxa"/>
            <w:vAlign w:val="bottom"/>
            <w:gridSpan w:val="15"/>
            <w:shd w:val="clear" w:color="auto" w:fill="CFF0FC"/>
          </w:tcPr>
          <w:p>
            <w:pPr>
              <w:spacing w:after="0" w:line="162" w:lineRule="exact"/>
              <w:rPr>
                <w:sz w:val="20"/>
                <w:szCs w:val="20"/>
                <w:color w:val="auto"/>
              </w:rPr>
            </w:pPr>
            <w:r>
              <w:rPr>
                <w:rFonts w:ascii="Arial" w:cs="Arial" w:eastAsia="Arial" w:hAnsi="Arial"/>
                <w:sz w:val="16"/>
                <w:szCs w:val="16"/>
                <w:color w:val="0000FF"/>
              </w:rPr>
              <w:t>Legal Proceedings</w:t>
            </w:r>
          </w:p>
        </w:tc>
        <w:tc>
          <w:tcPr>
            <w:tcW w:w="2580" w:type="dxa"/>
            <w:vAlign w:val="bottom"/>
            <w:tcBorders>
              <w:top w:val="single" w:sz="8" w:color="0000FF"/>
            </w:tcBorders>
            <w:gridSpan w:val="9"/>
            <w:shd w:val="clear" w:color="auto" w:fill="CFF0FC"/>
          </w:tcPr>
          <w:p>
            <w:pPr>
              <w:spacing w:after="0"/>
              <w:rPr>
                <w:sz w:val="14"/>
                <w:szCs w:val="14"/>
                <w:color w:val="auto"/>
              </w:rPr>
            </w:pPr>
          </w:p>
        </w:tc>
        <w:tc>
          <w:tcPr>
            <w:tcW w:w="3380" w:type="dxa"/>
            <w:vAlign w:val="bottom"/>
            <w:gridSpan w:val="3"/>
            <w:shd w:val="clear" w:color="auto" w:fill="CFF0FC"/>
          </w:tcPr>
          <w:p>
            <w:pPr>
              <w:spacing w:after="0"/>
              <w:rPr>
                <w:sz w:val="14"/>
                <w:szCs w:val="14"/>
                <w:color w:val="auto"/>
              </w:rPr>
            </w:pP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37</w:t>
            </w:r>
          </w:p>
        </w:tc>
      </w:tr>
      <w:tr>
        <w:trPr>
          <w:trHeight w:val="162"/>
        </w:trPr>
        <w:tc>
          <w:tcPr>
            <w:tcW w:w="1380" w:type="dxa"/>
            <w:vAlign w:val="bottom"/>
            <w:tcBorders>
              <w:top w:val="single" w:sz="8" w:color="CFF0FC"/>
            </w:tcBorders>
          </w:tcPr>
          <w:p>
            <w:pPr>
              <w:spacing w:after="0" w:line="162" w:lineRule="exact"/>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7"/>
          </w:tcPr>
          <w:p>
            <w:pPr>
              <w:spacing w:after="0" w:line="162" w:lineRule="exact"/>
              <w:rPr>
                <w:sz w:val="20"/>
                <w:szCs w:val="20"/>
                <w:color w:val="auto"/>
              </w:rPr>
            </w:pPr>
            <w:r>
              <w:rPr>
                <w:rFonts w:ascii="Arial" w:cs="Arial" w:eastAsia="Arial" w:hAnsi="Arial"/>
                <w:sz w:val="16"/>
                <w:szCs w:val="16"/>
                <w:color w:val="0000FF"/>
              </w:rPr>
              <w:t>Risk Factors</w:t>
            </w:r>
          </w:p>
        </w:tc>
        <w:tc>
          <w:tcPr>
            <w:tcW w:w="7560" w:type="dxa"/>
            <w:vAlign w:val="bottom"/>
            <w:tcBorders>
              <w:top w:val="single" w:sz="8" w:color="CFF0FC"/>
            </w:tcBorders>
            <w:gridSpan w:val="20"/>
          </w:tcPr>
          <w:p>
            <w:pPr>
              <w:spacing w:after="0"/>
              <w:rPr>
                <w:sz w:val="14"/>
                <w:szCs w:val="14"/>
                <w:color w:val="auto"/>
              </w:rPr>
            </w:pPr>
          </w:p>
        </w:tc>
        <w:tc>
          <w:tcPr>
            <w:tcW w:w="9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37</w:t>
            </w:r>
          </w:p>
        </w:tc>
      </w:tr>
      <w:tr>
        <w:trPr>
          <w:trHeight w:val="27"/>
        </w:trPr>
        <w:tc>
          <w:tcPr>
            <w:tcW w:w="13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69"/>
        </w:trPr>
        <w:tc>
          <w:tcPr>
            <w:tcW w:w="138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23"/>
            <w:shd w:val="clear" w:color="auto" w:fill="CFF0FC"/>
          </w:tcPr>
          <w:p>
            <w:pPr>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4520" w:type="dxa"/>
            <w:vAlign w:val="bottom"/>
            <w:tcBorders>
              <w:bottom w:val="single" w:sz="8" w:color="CFF0FC"/>
            </w:tcBorders>
            <w:gridSpan w:val="4"/>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79</w:t>
            </w:r>
          </w:p>
        </w:tc>
      </w:tr>
      <w:tr>
        <w:trPr>
          <w:trHeight w:val="169"/>
        </w:trPr>
        <w:tc>
          <w:tcPr>
            <w:tcW w:w="1380" w:type="dxa"/>
            <w:vAlign w:val="bottom"/>
          </w:tcPr>
          <w:p>
            <w:pPr>
              <w:spacing w:after="0" w:line="162" w:lineRule="exact"/>
              <w:rPr>
                <w:sz w:val="20"/>
                <w:szCs w:val="20"/>
                <w:color w:val="auto"/>
              </w:rPr>
            </w:pPr>
            <w:r>
              <w:rPr>
                <w:rFonts w:ascii="Arial" w:cs="Arial" w:eastAsia="Arial" w:hAnsi="Arial"/>
                <w:sz w:val="16"/>
                <w:szCs w:val="16"/>
                <w:color w:val="auto"/>
              </w:rPr>
              <w:t>Item 3.</w:t>
            </w:r>
          </w:p>
        </w:tc>
        <w:tc>
          <w:tcPr>
            <w:tcW w:w="8900" w:type="dxa"/>
            <w:vAlign w:val="bottom"/>
            <w:gridSpan w:val="27"/>
          </w:tcPr>
          <w:p>
            <w:pPr>
              <w:spacing w:after="0" w:line="162" w:lineRule="exact"/>
              <w:rPr>
                <w:sz w:val="20"/>
                <w:szCs w:val="20"/>
                <w:color w:val="auto"/>
              </w:rPr>
            </w:pPr>
            <w:r>
              <w:rPr>
                <w:rFonts w:ascii="Arial" w:cs="Arial" w:eastAsia="Arial" w:hAnsi="Arial"/>
                <w:sz w:val="16"/>
                <w:szCs w:val="16"/>
                <w:color w:val="0000FF"/>
              </w:rPr>
              <w:t>Defaults Upon Senior Securities</w:t>
            </w: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79</w:t>
            </w:r>
          </w:p>
        </w:tc>
      </w:tr>
      <w:tr>
        <w:trPr>
          <w:trHeight w:val="169"/>
        </w:trPr>
        <w:tc>
          <w:tcPr>
            <w:tcW w:w="138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Item 4.</w:t>
            </w:r>
          </w:p>
        </w:tc>
        <w:tc>
          <w:tcPr>
            <w:tcW w:w="2300" w:type="dxa"/>
            <w:vAlign w:val="bottom"/>
            <w:tcBorders>
              <w:top w:val="single" w:sz="8" w:color="0000FF"/>
            </w:tcBorders>
            <w:gridSpan w:val="12"/>
            <w:shd w:val="clear" w:color="auto" w:fill="CFF0FC"/>
          </w:tcPr>
          <w:p>
            <w:pPr>
              <w:spacing w:after="0" w:line="162" w:lineRule="exact"/>
              <w:rPr>
                <w:sz w:val="20"/>
                <w:szCs w:val="20"/>
                <w:color w:val="auto"/>
              </w:rPr>
            </w:pPr>
            <w:r>
              <w:rPr>
                <w:rFonts w:ascii="Arial" w:cs="Arial" w:eastAsia="Arial" w:hAnsi="Arial"/>
                <w:sz w:val="16"/>
                <w:szCs w:val="16"/>
                <w:color w:val="0000FF"/>
              </w:rPr>
              <w:t>Mine Safety Disclosures</w:t>
            </w:r>
          </w:p>
        </w:tc>
        <w:tc>
          <w:tcPr>
            <w:tcW w:w="6600" w:type="dxa"/>
            <w:vAlign w:val="bottom"/>
            <w:gridSpan w:val="15"/>
            <w:shd w:val="clear" w:color="auto" w:fill="CFF0FC"/>
          </w:tcPr>
          <w:p>
            <w:pPr>
              <w:spacing w:after="0"/>
              <w:rPr>
                <w:sz w:val="14"/>
                <w:szCs w:val="14"/>
                <w:color w:val="auto"/>
              </w:rPr>
            </w:pP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79</w:t>
            </w:r>
          </w:p>
        </w:tc>
      </w:tr>
      <w:tr>
        <w:trPr>
          <w:trHeight w:val="169"/>
        </w:trPr>
        <w:tc>
          <w:tcPr>
            <w:tcW w:w="1380" w:type="dxa"/>
            <w:vAlign w:val="bottom"/>
            <w:tcBorders>
              <w:top w:val="single" w:sz="8" w:color="CFF0FC"/>
            </w:tcBorders>
          </w:tcPr>
          <w:p>
            <w:pPr>
              <w:spacing w:after="0" w:line="162"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9"/>
          </w:tcPr>
          <w:p>
            <w:pPr>
              <w:spacing w:after="0" w:line="162" w:lineRule="exact"/>
              <w:rPr>
                <w:sz w:val="20"/>
                <w:szCs w:val="20"/>
                <w:color w:val="auto"/>
              </w:rPr>
            </w:pPr>
            <w:r>
              <w:rPr>
                <w:rFonts w:ascii="Arial" w:cs="Arial" w:eastAsia="Arial" w:hAnsi="Arial"/>
                <w:sz w:val="16"/>
                <w:szCs w:val="16"/>
                <w:color w:val="0000FF"/>
              </w:rPr>
              <w:t>Other Information</w:t>
            </w:r>
          </w:p>
        </w:tc>
        <w:tc>
          <w:tcPr>
            <w:tcW w:w="7160" w:type="dxa"/>
            <w:vAlign w:val="bottom"/>
            <w:tcBorders>
              <w:top w:val="single" w:sz="8" w:color="CFF0FC"/>
            </w:tcBorders>
            <w:gridSpan w:val="18"/>
          </w:tcPr>
          <w:p>
            <w:pPr>
              <w:spacing w:after="0"/>
              <w:rPr>
                <w:sz w:val="14"/>
                <w:szCs w:val="14"/>
                <w:color w:val="auto"/>
              </w:rPr>
            </w:pPr>
          </w:p>
        </w:tc>
        <w:tc>
          <w:tcPr>
            <w:tcW w:w="9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79</w:t>
            </w:r>
          </w:p>
        </w:tc>
      </w:tr>
      <w:tr>
        <w:trPr>
          <w:trHeight w:val="169"/>
        </w:trPr>
        <w:tc>
          <w:tcPr>
            <w:tcW w:w="138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gridSpan w:val="2"/>
            <w:shd w:val="clear" w:color="auto" w:fill="CFF0FC"/>
          </w:tcPr>
          <w:p>
            <w:pPr>
              <w:spacing w:after="0" w:line="162" w:lineRule="exact"/>
              <w:rPr>
                <w:sz w:val="20"/>
                <w:szCs w:val="20"/>
                <w:color w:val="auto"/>
              </w:rPr>
            </w:pPr>
            <w:r>
              <w:rPr>
                <w:rFonts w:ascii="Arial" w:cs="Arial" w:eastAsia="Arial" w:hAnsi="Arial"/>
                <w:sz w:val="16"/>
                <w:szCs w:val="16"/>
                <w:color w:val="0000FF"/>
                <w:w w:val="99"/>
              </w:rPr>
              <w:t>Exhibits</w:t>
            </w:r>
          </w:p>
        </w:tc>
        <w:tc>
          <w:tcPr>
            <w:tcW w:w="680" w:type="dxa"/>
            <w:vAlign w:val="bottom"/>
            <w:tcBorders>
              <w:top w:val="single" w:sz="8" w:color="0000FF"/>
              <w:bottom w:val="single" w:sz="8" w:color="CFF0FC"/>
            </w:tcBorders>
            <w:gridSpan w:val="3"/>
            <w:shd w:val="clear" w:color="auto" w:fill="CFF0FC"/>
          </w:tcPr>
          <w:p>
            <w:pPr>
              <w:spacing w:after="0"/>
              <w:rPr>
                <w:sz w:val="14"/>
                <w:szCs w:val="14"/>
                <w:color w:val="auto"/>
              </w:rPr>
            </w:pPr>
          </w:p>
        </w:tc>
        <w:tc>
          <w:tcPr>
            <w:tcW w:w="7640" w:type="dxa"/>
            <w:vAlign w:val="bottom"/>
            <w:tcBorders>
              <w:bottom w:val="single" w:sz="8" w:color="CFF0FC"/>
            </w:tcBorders>
            <w:gridSpan w:val="22"/>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80</w:t>
            </w:r>
          </w:p>
        </w:tc>
      </w:tr>
      <w:tr>
        <w:trPr>
          <w:trHeight w:val="162"/>
        </w:trPr>
        <w:tc>
          <w:tcPr>
            <w:tcW w:w="1380" w:type="dxa"/>
            <w:vAlign w:val="bottom"/>
          </w:tcPr>
          <w:p>
            <w:pPr>
              <w:spacing w:after="0"/>
              <w:rPr>
                <w:sz w:val="14"/>
                <w:szCs w:val="14"/>
                <w:color w:val="auto"/>
              </w:rPr>
            </w:pPr>
          </w:p>
        </w:tc>
        <w:tc>
          <w:tcPr>
            <w:tcW w:w="780" w:type="dxa"/>
            <w:vAlign w:val="bottom"/>
            <w:tcBorders>
              <w:bottom w:val="single" w:sz="8" w:color="0000FF"/>
            </w:tcBorders>
            <w:gridSpan w:val="3"/>
          </w:tcPr>
          <w:p>
            <w:pPr>
              <w:spacing w:after="0" w:line="162" w:lineRule="exact"/>
              <w:rPr>
                <w:sz w:val="20"/>
                <w:szCs w:val="20"/>
                <w:color w:val="auto"/>
              </w:rPr>
            </w:pPr>
            <w:r>
              <w:rPr>
                <w:rFonts w:ascii="Arial" w:cs="Arial" w:eastAsia="Arial" w:hAnsi="Arial"/>
                <w:sz w:val="16"/>
                <w:szCs w:val="16"/>
                <w:color w:val="0000FF"/>
                <w:w w:val="99"/>
              </w:rPr>
              <w:t>Signatures</w:t>
            </w:r>
          </w:p>
        </w:tc>
        <w:tc>
          <w:tcPr>
            <w:tcW w:w="8120" w:type="dxa"/>
            <w:vAlign w:val="bottom"/>
            <w:gridSpan w:val="24"/>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81</w:t>
            </w:r>
          </w:p>
        </w:tc>
      </w:tr>
      <w:tr>
        <w:trPr>
          <w:trHeight w:val="640"/>
        </w:trPr>
        <w:tc>
          <w:tcPr>
            <w:tcW w:w="1380" w:type="dxa"/>
            <w:vAlign w:val="bottom"/>
          </w:tcPr>
          <w:p>
            <w:pPr>
              <w:spacing w:after="0"/>
              <w:rPr>
                <w:sz w:val="24"/>
                <w:szCs w:val="24"/>
                <w:color w:val="auto"/>
              </w:rPr>
            </w:pPr>
          </w:p>
        </w:tc>
        <w:tc>
          <w:tcPr>
            <w:tcW w:w="4380" w:type="dxa"/>
            <w:vAlign w:val="bottom"/>
            <w:gridSpan w:val="23"/>
          </w:tcPr>
          <w:p>
            <w:pPr>
              <w:jc w:val="center"/>
              <w:ind w:left="4019"/>
              <w:spacing w:after="0"/>
              <w:rPr>
                <w:sz w:val="20"/>
                <w:szCs w:val="20"/>
                <w:color w:val="auto"/>
              </w:rPr>
            </w:pPr>
            <w:r>
              <w:rPr>
                <w:rFonts w:ascii="Arial" w:cs="Arial" w:eastAsia="Arial" w:hAnsi="Arial"/>
                <w:sz w:val="16"/>
                <w:szCs w:val="16"/>
                <w:color w:val="auto"/>
                <w:w w:val="89"/>
              </w:rPr>
              <w:t>2</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51"/>
        </w:trPr>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spacing w:after="0" w:line="155"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29"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estimates of our total addressable market, future revenue and the timing thereof, expenses, use of cash and other resources, cost savings, capital requirements, and our needs for additional financing and our ability to obtain financing when needed;</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future reimbursement and reimbursement rulings and the timing thereof;</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strategies, including our aim to focus on certain indications and the timing thereof;</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benefits of our products and services, including their ability to increase the probability of clinical trial success;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and compete effectively in existing and new markets, with existing competitors and new market entrants;</w:t>
      </w:r>
    </w:p>
    <w:p>
      <w:pPr>
        <w:spacing w:after="0" w:line="17"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ind w:left="1140" w:hanging="383"/>
        <w:spacing w:after="0" w:line="246"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sales, marketing and commercialization plans and strategies, including the expected benefits of and activities to be performed under our Commercialization and Reference Laboratory Agreement with Tempus AI, Inc.;</w:t>
      </w:r>
    </w:p>
    <w:p>
      <w:pPr>
        <w:ind w:left="1140" w:right="20" w:hanging="383"/>
        <w:spacing w:after="0" w:line="246"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future business with the U.S. Department of Veterans Affairs' Million Veteran Program, Natera, Inc., ModernaTX, Inc., Merck &amp; Co., Inc., and other collaboration partners and customers;</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belief that approval of personalized cancer therapies by the U.S. Food and Drug Administration may drive benefits to our business;</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benefit from the scaling of our infrastructure and capacity at our headquarters facility in Fremont;</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our collaboration agreements and key opinion leaders may have on the broader use of our products in the future;</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potential impacts of inflation, macroeconomic conditions, and geopolitical conflicts on our business and operations;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in defending and enforcing our intellectual property rights, including patents;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potential effects of government regulation;</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hire and retain key personnel;</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our previous reductions in force on our operations and operating results; and</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proper and effective internal controls.</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4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1"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 and our subsidiary, Personalis (UK) Ltd.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83"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13" w:lineRule="exact"/>
        <w:rPr>
          <w:sz w:val="20"/>
          <w:szCs w:val="20"/>
          <w:color w:val="auto"/>
        </w:rPr>
      </w:pPr>
    </w:p>
    <w:p>
      <w:pPr>
        <w:ind w:left="760" w:right="2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48" w:lineRule="exact"/>
        <w:rPr>
          <w:rFonts w:ascii="Times New Roman" w:cs="Times New Roman" w:eastAsia="Times New Roman" w:hAnsi="Times New Roman"/>
          <w:sz w:val="16"/>
          <w:szCs w:val="16"/>
          <w:color w:val="auto"/>
        </w:rPr>
      </w:pPr>
    </w:p>
    <w:p>
      <w:pPr>
        <w:ind w:left="760" w:right="160" w:hanging="378"/>
        <w:spacing w:after="0" w:line="259"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or if we are unable to generate sufficient reimbursement or coverage by insurance or governmental payors for our products, we may fail to generate sufficient revenue to achieve profitability and sustain our business.</w:t>
      </w:r>
    </w:p>
    <w:p>
      <w:pPr>
        <w:spacing w:after="0" w:line="69" w:lineRule="exact"/>
        <w:rPr>
          <w:rFonts w:ascii="Times New Roman" w:cs="Times New Roman" w:eastAsia="Times New Roman" w:hAnsi="Times New Roman"/>
          <w:sz w:val="16"/>
          <w:szCs w:val="16"/>
          <w:color w:val="auto"/>
        </w:rPr>
      </w:pPr>
    </w:p>
    <w:p>
      <w:pPr>
        <w:ind w:left="760" w:right="40" w:hanging="378"/>
        <w:spacing w:after="0" w:line="266"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derive a substantial portion of our revenue from Moderna, and in the past have derived a substantial portion of our revenue from two other large customers.</w:t>
      </w:r>
    </w:p>
    <w:p>
      <w:pPr>
        <w:spacing w:after="0" w:line="62" w:lineRule="exact"/>
        <w:rPr>
          <w:rFonts w:ascii="Times New Roman" w:cs="Times New Roman" w:eastAsia="Times New Roman" w:hAnsi="Times New Roman"/>
          <w:sz w:val="16"/>
          <w:szCs w:val="16"/>
          <w:color w:val="auto"/>
        </w:rPr>
      </w:pPr>
    </w:p>
    <w:p>
      <w:pPr>
        <w:ind w:left="760" w:right="40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Building our clinical laboratory business is subject to a number of reimbursement challenges and we may not be able to establish the medical necessity of our tests for coverage or reimbursement rates that cover our costs.</w:t>
      </w:r>
    </w:p>
    <w:p>
      <w:pPr>
        <w:spacing w:after="0" w:line="48" w:lineRule="exact"/>
        <w:rPr>
          <w:rFonts w:ascii="Times New Roman" w:cs="Times New Roman" w:eastAsia="Times New Roman" w:hAnsi="Times New Roman"/>
          <w:sz w:val="16"/>
          <w:szCs w:val="16"/>
          <w:color w:val="auto"/>
        </w:rPr>
      </w:pPr>
    </w:p>
    <w:p>
      <w:pPr>
        <w:ind w:left="760" w:right="140" w:hanging="378"/>
        <w:spacing w:after="0" w:line="266"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are pursuing a partner-centric strategy and have key relationships with Tempus, Myriad Genetics, Inc., Moderna, and Merck, among others. These and any other partnering and/or collaboration agreements that we have entered into or may enter into in the future may not be successful, or may terminate, which could adversely impact our business or affect our ability to develop and commercialize our services and products.</w:t>
      </w:r>
    </w:p>
    <w:p>
      <w:pPr>
        <w:spacing w:after="0" w:line="62" w:lineRule="exact"/>
        <w:rPr>
          <w:rFonts w:ascii="Times New Roman" w:cs="Times New Roman" w:eastAsia="Times New Roman" w:hAnsi="Times New Roman"/>
          <w:sz w:val="16"/>
          <w:szCs w:val="16"/>
          <w:color w:val="auto"/>
        </w:rPr>
      </w:pPr>
    </w:p>
    <w:p>
      <w:pPr>
        <w:ind w:left="760" w:right="30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48" w:lineRule="exact"/>
        <w:rPr>
          <w:rFonts w:ascii="Times New Roman" w:cs="Times New Roman" w:eastAsia="Times New Roman" w:hAnsi="Times New Roman"/>
          <w:sz w:val="16"/>
          <w:szCs w:val="16"/>
          <w:color w:val="auto"/>
        </w:rPr>
      </w:pPr>
    </w:p>
    <w:p>
      <w:pPr>
        <w:ind w:left="760" w:right="70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International trade policies, including tariffs, sanctions and trade barriers may adversely affect our business, financial condition, results of operations and prospects.</w:t>
      </w:r>
    </w:p>
    <w:p>
      <w:pPr>
        <w:spacing w:after="0" w:line="48" w:lineRule="exact"/>
        <w:rPr>
          <w:rFonts w:ascii="Times New Roman" w:cs="Times New Roman" w:eastAsia="Times New Roman" w:hAnsi="Times New Roman"/>
          <w:sz w:val="16"/>
          <w:szCs w:val="16"/>
          <w:color w:val="auto"/>
        </w:rPr>
      </w:pPr>
    </w:p>
    <w:p>
      <w:pPr>
        <w:ind w:left="760" w:right="46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single facility and if it becomes damaged or inoperable, or we are required to vacate our facility, our ability to sell and provide our services and pursue research and development efforts may be jeopardized.</w:t>
      </w:r>
    </w:p>
    <w:p>
      <w:pPr>
        <w:spacing w:after="0" w:line="48" w:lineRule="exact"/>
        <w:rPr>
          <w:rFonts w:ascii="Times New Roman" w:cs="Times New Roman" w:eastAsia="Times New Roman" w:hAnsi="Times New Roman"/>
          <w:sz w:val="16"/>
          <w:szCs w:val="16"/>
          <w:color w:val="auto"/>
        </w:rPr>
      </w:pPr>
    </w:p>
    <w:p>
      <w:pPr>
        <w:ind w:left="760" w:right="40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48" w:lineRule="exact"/>
        <w:rPr>
          <w:rFonts w:ascii="Times New Roman" w:cs="Times New Roman" w:eastAsia="Times New Roman" w:hAnsi="Times New Roman"/>
          <w:sz w:val="16"/>
          <w:szCs w:val="16"/>
          <w:color w:val="auto"/>
        </w:rPr>
      </w:pPr>
    </w:p>
    <w:p>
      <w:pPr>
        <w:ind w:left="760" w:right="160" w:hanging="378"/>
        <w:spacing w:after="0" w:line="266"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or inability to achieve regulatory approval, commercialization, or payor coverage, any of which could adversely affect our business.</w:t>
      </w:r>
    </w:p>
    <w:p>
      <w:pPr>
        <w:spacing w:after="0" w:line="62" w:lineRule="exact"/>
        <w:rPr>
          <w:rFonts w:ascii="Times New Roman" w:cs="Times New Roman" w:eastAsia="Times New Roman" w:hAnsi="Times New Roman"/>
          <w:sz w:val="16"/>
          <w:szCs w:val="16"/>
          <w:color w:val="auto"/>
        </w:rPr>
      </w:pPr>
    </w:p>
    <w:p>
      <w:pPr>
        <w:ind w:left="760" w:right="28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125" w:lineRule="exact"/>
        <w:rPr>
          <w:rFonts w:ascii="Times New Roman" w:cs="Times New Roman" w:eastAsia="Times New Roman" w:hAnsi="Times New Roman"/>
          <w:sz w:val="16"/>
          <w:szCs w:val="16"/>
          <w:color w:val="auto"/>
        </w:rPr>
      </w:pPr>
    </w:p>
    <w:p>
      <w:pPr>
        <w:ind w:left="760" w:right="4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13" w:lineRule="exact"/>
        <w:rPr>
          <w:sz w:val="20"/>
          <w:szCs w:val="20"/>
          <w:color w:val="auto"/>
        </w:rPr>
      </w:pPr>
    </w:p>
    <w:p>
      <w:pPr>
        <w:ind w:left="760" w:right="500" w:hanging="378"/>
        <w:spacing w:after="0" w:line="266"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62" w:lineRule="exact"/>
        <w:rPr>
          <w:rFonts w:ascii="Times New Roman" w:cs="Times New Roman" w:eastAsia="Times New Roman" w:hAnsi="Times New Roman"/>
          <w:sz w:val="16"/>
          <w:szCs w:val="16"/>
          <w:color w:val="auto"/>
        </w:rPr>
      </w:pPr>
    </w:p>
    <w:p>
      <w:pPr>
        <w:ind w:left="760" w:right="480" w:hanging="378"/>
        <w:spacing w:after="0" w:line="285"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48" w:lineRule="exact"/>
        <w:rPr>
          <w:rFonts w:ascii="Times New Roman" w:cs="Times New Roman" w:eastAsia="Times New Roman" w:hAnsi="Times New Roman"/>
          <w:sz w:val="16"/>
          <w:szCs w:val="16"/>
          <w:color w:val="auto"/>
        </w:rPr>
      </w:pPr>
    </w:p>
    <w:p>
      <w:pPr>
        <w:ind w:left="760" w:right="160" w:hanging="378"/>
        <w:spacing w:after="0" w:line="285"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48" w:lineRule="exact"/>
        <w:rPr>
          <w:rFonts w:ascii="Times New Roman" w:cs="Times New Roman" w:eastAsia="Times New Roman" w:hAnsi="Times New Roman"/>
          <w:sz w:val="16"/>
          <w:szCs w:val="16"/>
          <w:color w:val="auto"/>
        </w:rPr>
      </w:pPr>
    </w:p>
    <w:p>
      <w:pPr>
        <w:ind w:left="760" w:right="40" w:hanging="378"/>
        <w:spacing w:after="0" w:line="259"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73" w:lineRule="exact"/>
        <w:rPr>
          <w:sz w:val="20"/>
          <w:szCs w:val="20"/>
          <w:color w:val="auto"/>
        </w:rPr>
      </w:pPr>
    </w:p>
    <w:p>
      <w:pPr>
        <w:ind w:left="760" w:right="460" w:hanging="378"/>
        <w:spacing w:after="0" w:line="266"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62" w:lineRule="exact"/>
        <w:rPr>
          <w:rFonts w:ascii="Times New Roman" w:cs="Times New Roman" w:eastAsia="Times New Roman" w:hAnsi="Times New Roman"/>
          <w:sz w:val="16"/>
          <w:szCs w:val="16"/>
          <w:color w:val="auto"/>
        </w:rPr>
      </w:pPr>
    </w:p>
    <w:p>
      <w:pPr>
        <w:ind w:left="760" w:right="280" w:hanging="378"/>
        <w:spacing w:after="0" w:line="285"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When we grow our business by developing in vitro diagnostic tests, we may be subject to reimbursement challenges.</w:t>
      </w:r>
    </w:p>
    <w:p>
      <w:pPr>
        <w:spacing w:after="0" w:line="48" w:lineRule="exact"/>
        <w:rPr>
          <w:rFonts w:ascii="Times New Roman" w:cs="Times New Roman" w:eastAsia="Times New Roman" w:hAnsi="Times New Roman"/>
          <w:sz w:val="16"/>
          <w:szCs w:val="16"/>
          <w:color w:val="auto"/>
        </w:rPr>
      </w:pPr>
    </w:p>
    <w:p>
      <w:pPr>
        <w:ind w:left="760" w:right="180" w:hanging="378"/>
        <w:spacing w:after="0" w:line="285"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Competitors could take legal action against us for statements that are made by the company and/or its representatives, which may require us to spend significant time and money, including damages, and could limit our ability to market our tests.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13" w:lineRule="exact"/>
        <w:rPr>
          <w:sz w:val="20"/>
          <w:szCs w:val="20"/>
          <w:color w:val="auto"/>
        </w:rPr>
      </w:pPr>
    </w:p>
    <w:p>
      <w:pPr>
        <w:ind w:left="760" w:right="300" w:hanging="378"/>
        <w:spacing w:after="0" w:line="285"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125" w:lineRule="exact"/>
        <w:rPr>
          <w:rFonts w:ascii="Times New Roman" w:cs="Times New Roman" w:eastAsia="Times New Roman" w:hAnsi="Times New Roman"/>
          <w:sz w:val="16"/>
          <w:szCs w:val="16"/>
          <w:color w:val="auto"/>
        </w:rPr>
      </w:pPr>
    </w:p>
    <w:p>
      <w:pPr>
        <w:ind w:left="760" w:right="400" w:hanging="378"/>
        <w:spacing w:after="0" w:line="266"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6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25" w:lineRule="exact"/>
        <w:rPr>
          <w:rFonts w:ascii="Times New Roman" w:cs="Times New Roman" w:eastAsia="Times New Roman" w:hAnsi="Times New Roman"/>
          <w:sz w:val="16"/>
          <w:szCs w:val="16"/>
          <w:color w:val="auto"/>
        </w:rPr>
      </w:pPr>
    </w:p>
    <w:p>
      <w:pPr>
        <w:ind w:left="760" w:right="220" w:hanging="378"/>
        <w:spacing w:after="0" w:line="285"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13" w:lineRule="exact"/>
        <w:rPr>
          <w:sz w:val="20"/>
          <w:szCs w:val="20"/>
          <w:color w:val="auto"/>
        </w:rPr>
      </w:pPr>
    </w:p>
    <w:p>
      <w:pPr>
        <w:ind w:left="760" w:right="5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48" w:lineRule="exact"/>
        <w:rPr>
          <w:rFonts w:ascii="Times New Roman" w:cs="Times New Roman" w:eastAsia="Times New Roman" w:hAnsi="Times New Roman"/>
          <w:sz w:val="16"/>
          <w:szCs w:val="16"/>
          <w:color w:val="auto"/>
        </w:rPr>
      </w:pPr>
    </w:p>
    <w:p>
      <w:pPr>
        <w:ind w:left="760" w:right="18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125" w:lineRule="exact"/>
        <w:rPr>
          <w:rFonts w:ascii="Times New Roman" w:cs="Times New Roman" w:eastAsia="Times New Roman" w:hAnsi="Times New Roman"/>
          <w:sz w:val="16"/>
          <w:szCs w:val="16"/>
          <w:color w:val="auto"/>
        </w:rPr>
      </w:pPr>
    </w:p>
    <w:p>
      <w:pPr>
        <w:ind w:left="760" w:right="28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Insiders or holders of greater than five percent of our outstanding common stock may exercise significant control over our company and will be able to influence corporate matters.</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48" w:lineRule="exact"/>
        <w:rPr>
          <w:rFonts w:ascii="Times New Roman" w:cs="Times New Roman" w:eastAsia="Times New Roman" w:hAnsi="Times New Roman"/>
          <w:sz w:val="16"/>
          <w:szCs w:val="16"/>
          <w:color w:val="auto"/>
        </w:rPr>
      </w:pPr>
    </w:p>
    <w:p>
      <w:pPr>
        <w:ind w:left="760" w:right="4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48" w:lineRule="exact"/>
        <w:rPr>
          <w:rFonts w:ascii="Times New Roman" w:cs="Times New Roman" w:eastAsia="Times New Roman" w:hAnsi="Times New Roman"/>
          <w:sz w:val="16"/>
          <w:szCs w:val="16"/>
          <w:color w:val="auto"/>
        </w:rPr>
      </w:pPr>
    </w:p>
    <w:p>
      <w:pPr>
        <w:ind w:left="760" w:right="2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48" w:lineRule="exact"/>
        <w:rPr>
          <w:rFonts w:ascii="Times New Roman" w:cs="Times New Roman" w:eastAsia="Times New Roman" w:hAnsi="Times New Roman"/>
          <w:sz w:val="16"/>
          <w:szCs w:val="16"/>
          <w:color w:val="auto"/>
        </w:rPr>
      </w:pPr>
    </w:p>
    <w:p>
      <w:pPr>
        <w:ind w:left="760" w:hanging="378"/>
        <w:spacing w:after="0" w:line="259"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774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91"/>
        </w:trPr>
        <w:tc>
          <w:tcPr>
            <w:tcW w:w="1140" w:type="dxa"/>
            <w:vAlign w:val="bottom"/>
            <w:tcBorders>
              <w:top w:val="single" w:sz="8" w:color="0000FF"/>
            </w:tcBorders>
          </w:tcPr>
          <w:p>
            <w:pPr>
              <w:spacing w:after="0"/>
              <w:rPr>
                <w:sz w:val="24"/>
                <w:szCs w:val="24"/>
                <w:color w:val="auto"/>
              </w:rPr>
            </w:pPr>
          </w:p>
        </w:tc>
        <w:tc>
          <w:tcPr>
            <w:tcW w:w="6600" w:type="dxa"/>
            <w:vAlign w:val="bottom"/>
          </w:tcPr>
          <w:p>
            <w:pPr>
              <w:jc w:val="center"/>
              <w:ind w:left="2279"/>
              <w:spacing w:after="0"/>
              <w:rPr>
                <w:sz w:val="20"/>
                <w:szCs w:val="20"/>
                <w:color w:val="auto"/>
              </w:rPr>
            </w:pPr>
            <w:r>
              <w:rPr>
                <w:rFonts w:ascii="Arial" w:cs="Arial" w:eastAsia="Arial" w:hAnsi="Arial"/>
                <w:sz w:val="16"/>
                <w:szCs w:val="16"/>
                <w:b w:val="1"/>
                <w:bCs w:val="1"/>
                <w:color w:val="auto"/>
              </w:rPr>
              <w:t>PART I — FINANCIAL INFORMATION</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Item 1. Financial Statements</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1140" w:type="dxa"/>
            <w:vAlign w:val="bottom"/>
          </w:tcPr>
          <w:p>
            <w:pPr>
              <w:spacing w:after="0"/>
              <w:rPr>
                <w:sz w:val="24"/>
                <w:szCs w:val="24"/>
                <w:color w:val="auto"/>
              </w:rPr>
            </w:pPr>
          </w:p>
        </w:tc>
        <w:tc>
          <w:tcPr>
            <w:tcW w:w="6600" w:type="dxa"/>
            <w:vAlign w:val="bottom"/>
          </w:tcPr>
          <w:p>
            <w:pPr>
              <w:jc w:val="center"/>
              <w:ind w:left="2299"/>
              <w:spacing w:after="0"/>
              <w:rPr>
                <w:sz w:val="20"/>
                <w:szCs w:val="20"/>
                <w:color w:val="auto"/>
              </w:rPr>
            </w:pPr>
            <w:r>
              <w:rPr>
                <w:rFonts w:ascii="Arial" w:cs="Arial" w:eastAsia="Arial" w:hAnsi="Arial"/>
                <w:sz w:val="16"/>
                <w:szCs w:val="16"/>
                <w:b w:val="1"/>
                <w:bCs w:val="1"/>
                <w:color w:val="auto"/>
              </w:rPr>
              <w:t>PERSONALIS, INC.</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6600" w:type="dxa"/>
            <w:vAlign w:val="bottom"/>
          </w:tcPr>
          <w:p>
            <w:pPr>
              <w:jc w:val="center"/>
              <w:ind w:left="2279"/>
              <w:spacing w:after="0"/>
              <w:rPr>
                <w:sz w:val="20"/>
                <w:szCs w:val="20"/>
                <w:color w:val="auto"/>
              </w:rPr>
            </w:pPr>
            <w:r>
              <w:rPr>
                <w:rFonts w:ascii="Arial" w:cs="Arial" w:eastAsia="Arial" w:hAnsi="Arial"/>
                <w:sz w:val="16"/>
                <w:szCs w:val="16"/>
                <w:b w:val="1"/>
                <w:bCs w:val="1"/>
                <w:color w:val="auto"/>
              </w:rPr>
              <w:t>CONSOLIDATED BALANCE SHEETS (Unaudited)</w:t>
            </w: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6600" w:type="dxa"/>
            <w:vAlign w:val="bottom"/>
          </w:tcPr>
          <w:p>
            <w:pPr>
              <w:jc w:val="center"/>
              <w:ind w:left="2279"/>
              <w:spacing w:after="0"/>
              <w:rPr>
                <w:sz w:val="20"/>
                <w:szCs w:val="20"/>
                <w:color w:val="auto"/>
              </w:rPr>
            </w:pPr>
            <w:r>
              <w:rPr>
                <w:rFonts w:ascii="Arial" w:cs="Arial" w:eastAsia="Arial" w:hAnsi="Arial"/>
                <w:sz w:val="16"/>
                <w:szCs w:val="16"/>
                <w:color w:val="auto"/>
              </w:rPr>
              <w:t>(In thousands, except share and par value data)</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67"/>
        </w:trPr>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2025</w:t>
            </w: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77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9"/>
        </w:trPr>
        <w:tc>
          <w:tcPr>
            <w:tcW w:w="77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7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Cash and cash equivalents</w:t>
            </w:r>
          </w:p>
        </w:tc>
        <w:tc>
          <w:tcPr>
            <w:tcW w:w="5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49,973</w:t>
            </w:r>
          </w:p>
        </w:tc>
        <w:tc>
          <w:tcPr>
            <w:tcW w:w="68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91,415</w:t>
            </w:r>
          </w:p>
        </w:tc>
      </w:tr>
      <w:tr>
        <w:trPr>
          <w:trHeight w:val="189"/>
        </w:trPr>
        <w:tc>
          <w:tcPr>
            <w:tcW w:w="7740" w:type="dxa"/>
            <w:vAlign w:val="bottom"/>
            <w:gridSpan w:val="2"/>
          </w:tcPr>
          <w:p>
            <w:pPr>
              <w:ind w:left="140"/>
              <w:spacing w:after="0"/>
              <w:rPr>
                <w:sz w:val="20"/>
                <w:szCs w:val="20"/>
                <w:color w:val="auto"/>
              </w:rPr>
            </w:pPr>
            <w:r>
              <w:rPr>
                <w:rFonts w:ascii="Arial" w:cs="Arial" w:eastAsia="Arial" w:hAnsi="Arial"/>
                <w:sz w:val="16"/>
                <w:szCs w:val="16"/>
                <w:color w:val="auto"/>
              </w:rPr>
              <w:t>Short-term investments</w:t>
            </w: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100,542</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93,594</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14,376</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8,140</w:t>
            </w:r>
          </w:p>
        </w:tc>
      </w:tr>
      <w:tr>
        <w:trPr>
          <w:trHeight w:val="189"/>
        </w:trPr>
        <w:tc>
          <w:tcPr>
            <w:tcW w:w="7740" w:type="dxa"/>
            <w:vAlign w:val="bottom"/>
            <w:gridSpan w:val="2"/>
          </w:tcPr>
          <w:p>
            <w:pPr>
              <w:ind w:left="140"/>
              <w:spacing w:after="0"/>
              <w:rPr>
                <w:sz w:val="20"/>
                <w:szCs w:val="20"/>
                <w:color w:val="auto"/>
              </w:rPr>
            </w:pPr>
            <w:r>
              <w:rPr>
                <w:rFonts w:ascii="Arial" w:cs="Arial" w:eastAsia="Arial" w:hAnsi="Arial"/>
                <w:sz w:val="16"/>
                <w:szCs w:val="16"/>
                <w:color w:val="auto"/>
              </w:rPr>
              <w:t>Inventory and other deferred costs</w:t>
            </w: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4,656</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5,939</w:t>
            </w:r>
          </w:p>
        </w:tc>
      </w:tr>
      <w:tr>
        <w:trPr>
          <w:trHeight w:val="189"/>
        </w:trPr>
        <w:tc>
          <w:tcPr>
            <w:tcW w:w="77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4,855</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3,927</w:t>
            </w:r>
          </w:p>
        </w:tc>
      </w:tr>
      <w:tr>
        <w:trPr>
          <w:trHeight w:val="183"/>
        </w:trPr>
        <w:tc>
          <w:tcPr>
            <w:tcW w:w="7740" w:type="dxa"/>
            <w:vAlign w:val="bottom"/>
            <w:gridSpan w:val="2"/>
          </w:tcPr>
          <w:p>
            <w:pPr>
              <w:ind w:left="420"/>
              <w:spacing w:after="0" w:line="183" w:lineRule="exact"/>
              <w:rPr>
                <w:sz w:val="20"/>
                <w:szCs w:val="20"/>
                <w:color w:val="auto"/>
              </w:rPr>
            </w:pPr>
            <w:r>
              <w:rPr>
                <w:rFonts w:ascii="Arial" w:cs="Arial" w:eastAsia="Arial" w:hAnsi="Arial"/>
                <w:sz w:val="16"/>
                <w:szCs w:val="16"/>
                <w:color w:val="auto"/>
              </w:rPr>
              <w:t>Total current assets</w:t>
            </w:r>
          </w:p>
        </w:tc>
        <w:tc>
          <w:tcPr>
            <w:tcW w:w="50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174,402</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203,015</w:t>
            </w:r>
          </w:p>
        </w:tc>
      </w:tr>
      <w:tr>
        <w:trPr>
          <w:trHeight w:val="189"/>
        </w:trPr>
        <w:tc>
          <w:tcPr>
            <w:tcW w:w="7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47,003</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48,274</w:t>
            </w:r>
          </w:p>
        </w:tc>
      </w:tr>
      <w:tr>
        <w:trPr>
          <w:trHeight w:val="189"/>
        </w:trPr>
        <w:tc>
          <w:tcPr>
            <w:tcW w:w="7740" w:type="dxa"/>
            <w:vAlign w:val="bottom"/>
            <w:gridSpan w:val="2"/>
          </w:tcPr>
          <w:p>
            <w:pPr>
              <w:spacing w:after="0"/>
              <w:rPr>
                <w:sz w:val="20"/>
                <w:szCs w:val="20"/>
                <w:color w:val="auto"/>
              </w:rPr>
            </w:pPr>
            <w:r>
              <w:rPr>
                <w:rFonts w:ascii="Arial" w:cs="Arial" w:eastAsia="Arial" w:hAnsi="Arial"/>
                <w:sz w:val="16"/>
                <w:szCs w:val="16"/>
                <w:color w:val="auto"/>
              </w:rPr>
              <w:t>Operating lease right-of-use assets</w:t>
            </w: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15,249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16,453</w:t>
            </w:r>
          </w:p>
        </w:tc>
      </w:tr>
      <w:tr>
        <w:trPr>
          <w:trHeight w:val="189"/>
        </w:trPr>
        <w:tc>
          <w:tcPr>
            <w:tcW w:w="7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6,185</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2,526</w:t>
            </w:r>
          </w:p>
        </w:tc>
      </w:tr>
      <w:tr>
        <w:trPr>
          <w:trHeight w:val="183"/>
        </w:trPr>
        <w:tc>
          <w:tcPr>
            <w:tcW w:w="7740" w:type="dxa"/>
            <w:vAlign w:val="bottom"/>
            <w:gridSpan w:val="2"/>
          </w:tcPr>
          <w:p>
            <w:pPr>
              <w:ind w:left="420"/>
              <w:spacing w:after="0" w:line="169" w:lineRule="exact"/>
              <w:rPr>
                <w:sz w:val="20"/>
                <w:szCs w:val="20"/>
                <w:color w:val="auto"/>
              </w:rPr>
            </w:pPr>
            <w:r>
              <w:rPr>
                <w:rFonts w:ascii="Arial" w:cs="Arial" w:eastAsia="Arial" w:hAnsi="Arial"/>
                <w:sz w:val="16"/>
                <w:szCs w:val="16"/>
                <w:color w:val="auto"/>
              </w:rPr>
              <w:t>Total assets</w:t>
            </w:r>
          </w:p>
        </w:tc>
        <w:tc>
          <w:tcPr>
            <w:tcW w:w="5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242,839</w:t>
            </w:r>
          </w:p>
        </w:tc>
        <w:tc>
          <w:tcPr>
            <w:tcW w:w="680" w:type="dxa"/>
            <w:vAlign w:val="bottom"/>
            <w:gridSpan w:val="2"/>
          </w:tcPr>
          <w:p>
            <w:pPr>
              <w:jc w:val="right"/>
              <w:ind w:right="339"/>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270,268</w:t>
            </w:r>
          </w:p>
        </w:tc>
      </w:tr>
      <w:tr>
        <w:trPr>
          <w:trHeight w:val="20"/>
        </w:trPr>
        <w:tc>
          <w:tcPr>
            <w:tcW w:w="11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740" w:type="dxa"/>
            <w:vAlign w:val="bottom"/>
            <w:gridSpan w:val="2"/>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5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89"/>
        </w:trPr>
        <w:tc>
          <w:tcPr>
            <w:tcW w:w="77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Arial" w:cs="Arial" w:eastAsia="Arial" w:hAnsi="Arial"/>
                <w:sz w:val="16"/>
                <w:szCs w:val="16"/>
                <w:color w:val="auto"/>
              </w:rPr>
              <w:t xml:space="preserve">Accounts payable </w:t>
            </w:r>
            <w:r>
              <w:rPr>
                <w:rFonts w:ascii="Arial" w:cs="Arial" w:eastAsia="Arial" w:hAnsi="Arial"/>
                <w:sz w:val="21"/>
                <w:szCs w:val="21"/>
                <w:color w:val="auto"/>
                <w:vertAlign w:val="superscript"/>
              </w:rPr>
              <w:t>(2)</w:t>
            </w:r>
          </w:p>
        </w:tc>
        <w:tc>
          <w:tcPr>
            <w:tcW w:w="5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11,147</w:t>
            </w:r>
          </w:p>
        </w:tc>
        <w:tc>
          <w:tcPr>
            <w:tcW w:w="68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6,397</w:t>
            </w:r>
          </w:p>
        </w:tc>
      </w:tr>
      <w:tr>
        <w:trPr>
          <w:trHeight w:val="189"/>
        </w:trPr>
        <w:tc>
          <w:tcPr>
            <w:tcW w:w="7740" w:type="dxa"/>
            <w:vAlign w:val="bottom"/>
            <w:gridSpan w:val="2"/>
          </w:tcPr>
          <w:p>
            <w:pPr>
              <w:ind w:left="140"/>
              <w:spacing w:after="0" w:line="189" w:lineRule="exact"/>
              <w:rPr>
                <w:sz w:val="20"/>
                <w:szCs w:val="20"/>
                <w:color w:val="auto"/>
              </w:rPr>
            </w:pPr>
            <w:r>
              <w:rPr>
                <w:rFonts w:ascii="Arial" w:cs="Arial" w:eastAsia="Arial" w:hAnsi="Arial"/>
                <w:sz w:val="16"/>
                <w:szCs w:val="16"/>
                <w:color w:val="auto"/>
              </w:rPr>
              <w:t xml:space="preserve">Accrued and other current liabilities </w:t>
            </w:r>
            <w:r>
              <w:rPr>
                <w:rFonts w:ascii="Arial" w:cs="Arial" w:eastAsia="Arial" w:hAnsi="Arial"/>
                <w:sz w:val="21"/>
                <w:szCs w:val="21"/>
                <w:color w:val="auto"/>
                <w:vertAlign w:val="superscript"/>
              </w:rPr>
              <w:t>(2)</w:t>
            </w: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23,552</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21,629</w:t>
            </w:r>
          </w:p>
        </w:tc>
      </w:tr>
      <w:tr>
        <w:trPr>
          <w:trHeight w:val="189"/>
        </w:trPr>
        <w:tc>
          <w:tcPr>
            <w:tcW w:w="77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Contract liabilities</w:t>
            </w: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1,457</w:t>
            </w:r>
          </w:p>
        </w:tc>
        <w:tc>
          <w:tcPr>
            <w:tcW w:w="180" w:type="dxa"/>
            <w:vAlign w:val="bottom"/>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3,100</w:t>
            </w:r>
          </w:p>
        </w:tc>
      </w:tr>
      <w:tr>
        <w:trPr>
          <w:trHeight w:val="183"/>
        </w:trPr>
        <w:tc>
          <w:tcPr>
            <w:tcW w:w="7740" w:type="dxa"/>
            <w:vAlign w:val="bottom"/>
            <w:gridSpan w:val="2"/>
          </w:tcPr>
          <w:p>
            <w:pPr>
              <w:ind w:left="420"/>
              <w:spacing w:after="0" w:line="183" w:lineRule="exact"/>
              <w:rPr>
                <w:sz w:val="20"/>
                <w:szCs w:val="20"/>
                <w:color w:val="auto"/>
              </w:rPr>
            </w:pPr>
            <w:r>
              <w:rPr>
                <w:rFonts w:ascii="Arial" w:cs="Arial" w:eastAsia="Arial" w:hAnsi="Arial"/>
                <w:sz w:val="16"/>
                <w:szCs w:val="16"/>
                <w:color w:val="auto"/>
              </w:rPr>
              <w:t>Total current liabilities</w:t>
            </w:r>
          </w:p>
        </w:tc>
        <w:tc>
          <w:tcPr>
            <w:tcW w:w="50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36,156</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31,126</w:t>
            </w:r>
          </w:p>
        </w:tc>
      </w:tr>
      <w:tr>
        <w:trPr>
          <w:trHeight w:val="189"/>
        </w:trPr>
        <w:tc>
          <w:tcPr>
            <w:tcW w:w="7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32,658</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34,882</w:t>
            </w:r>
          </w:p>
        </w:tc>
      </w:tr>
      <w:tr>
        <w:trPr>
          <w:trHeight w:val="189"/>
        </w:trPr>
        <w:tc>
          <w:tcPr>
            <w:tcW w:w="7740" w:type="dxa"/>
            <w:vAlign w:val="bottom"/>
            <w:gridSpan w:val="2"/>
          </w:tcPr>
          <w:p>
            <w:pPr>
              <w:spacing w:after="0" w:line="189"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color w:val="auto"/>
                <w:vertAlign w:val="superscript"/>
              </w:rPr>
              <w:t>(3)</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2,610</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1,303</w:t>
            </w:r>
          </w:p>
        </w:tc>
      </w:tr>
      <w:tr>
        <w:trPr>
          <w:trHeight w:val="183"/>
        </w:trPr>
        <w:tc>
          <w:tcPr>
            <w:tcW w:w="7740" w:type="dxa"/>
            <w:vAlign w:val="bottom"/>
            <w:tcBorders>
              <w:bottom w:val="single" w:sz="8" w:color="CFF0FC"/>
            </w:tcBorders>
            <w:gridSpan w:val="2"/>
            <w:shd w:val="clear" w:color="auto" w:fill="CFF0FC"/>
          </w:tcPr>
          <w:p>
            <w:pPr>
              <w:ind w:left="420"/>
              <w:spacing w:after="0" w:line="183" w:lineRule="exact"/>
              <w:rPr>
                <w:sz w:val="20"/>
                <w:szCs w:val="20"/>
                <w:color w:val="auto"/>
              </w:rPr>
            </w:pPr>
            <w:r>
              <w:rPr>
                <w:rFonts w:ascii="Arial" w:cs="Arial" w:eastAsia="Arial" w:hAnsi="Arial"/>
                <w:sz w:val="16"/>
                <w:szCs w:val="16"/>
                <w:color w:val="auto"/>
              </w:rPr>
              <w:t>Total liabilities</w:t>
            </w:r>
          </w:p>
        </w:tc>
        <w:tc>
          <w:tcPr>
            <w:tcW w:w="5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71,424</w:t>
            </w: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67,311</w:t>
            </w:r>
          </w:p>
        </w:tc>
      </w:tr>
      <w:tr>
        <w:trPr>
          <w:trHeight w:val="183"/>
        </w:trPr>
        <w:tc>
          <w:tcPr>
            <w:tcW w:w="7740" w:type="dxa"/>
            <w:vAlign w:val="bottom"/>
            <w:gridSpan w:val="2"/>
          </w:tcPr>
          <w:p>
            <w:pPr>
              <w:spacing w:after="0" w:line="183" w:lineRule="exact"/>
              <w:rPr>
                <w:sz w:val="20"/>
                <w:szCs w:val="20"/>
                <w:color w:val="auto"/>
              </w:rPr>
            </w:pPr>
            <w:r>
              <w:rPr>
                <w:rFonts w:ascii="Arial" w:cs="Arial" w:eastAsia="Arial" w:hAnsi="Arial"/>
                <w:sz w:val="16"/>
                <w:szCs w:val="16"/>
                <w:color w:val="auto"/>
              </w:rPr>
              <w:t>Commitments and contingencies (Note 11)</w:t>
            </w: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7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7740" w:type="dxa"/>
            <w:vAlign w:val="bottom"/>
            <w:gridSpan w:val="2"/>
          </w:tcPr>
          <w:p>
            <w:pPr>
              <w:ind w:left="2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75"/>
        </w:trPr>
        <w:tc>
          <w:tcPr>
            <w:tcW w:w="7740" w:type="dxa"/>
            <w:vAlign w:val="bottom"/>
            <w:gridSpan w:val="2"/>
            <w:shd w:val="clear" w:color="auto" w:fill="CFF0FC"/>
          </w:tcPr>
          <w:p>
            <w:pPr>
              <w:ind w:left="280"/>
              <w:spacing w:after="0" w:line="175" w:lineRule="exact"/>
              <w:rPr>
                <w:sz w:val="20"/>
                <w:szCs w:val="20"/>
                <w:color w:val="auto"/>
              </w:rPr>
            </w:pPr>
            <w:r>
              <w:rPr>
                <w:rFonts w:ascii="Arial" w:cs="Arial" w:eastAsia="Arial" w:hAnsi="Arial"/>
                <w:sz w:val="16"/>
                <w:szCs w:val="16"/>
                <w:color w:val="auto"/>
              </w:rPr>
              <w:t>Common stock, $0.0001 par value — 200,000,000 shares authorized; 88,745,366 and</w:t>
            </w: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77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85,171,146 shares issued and outstanding, respectively</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r>
      <w:tr>
        <w:trPr>
          <w:trHeight w:val="189"/>
        </w:trPr>
        <w:tc>
          <w:tcPr>
            <w:tcW w:w="774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778,772</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752,961</w:t>
            </w:r>
          </w:p>
        </w:tc>
      </w:tr>
      <w:tr>
        <w:trPr>
          <w:trHeight w:val="189"/>
        </w:trPr>
        <w:tc>
          <w:tcPr>
            <w:tcW w:w="77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r>
      <w:tr>
        <w:trPr>
          <w:trHeight w:val="189"/>
        </w:trPr>
        <w:tc>
          <w:tcPr>
            <w:tcW w:w="7740" w:type="dxa"/>
            <w:vAlign w:val="bottom"/>
            <w:gridSpan w:val="2"/>
          </w:tcPr>
          <w:p>
            <w:pPr>
              <w:ind w:left="280"/>
              <w:spacing w:after="0"/>
              <w:rPr>
                <w:sz w:val="20"/>
                <w:szCs w:val="20"/>
                <w:color w:val="auto"/>
              </w:rPr>
            </w:pPr>
            <w:r>
              <w:rPr>
                <w:rFonts w:ascii="Arial" w:cs="Arial" w:eastAsia="Arial" w:hAnsi="Arial"/>
                <w:sz w:val="16"/>
                <w:szCs w:val="16"/>
                <w:color w:val="auto"/>
              </w:rPr>
              <w:t>Accumulated deficit</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(607,448)</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(549,990)</w:t>
            </w:r>
          </w:p>
        </w:tc>
      </w:tr>
      <w:tr>
        <w:trPr>
          <w:trHeight w:val="183"/>
        </w:trPr>
        <w:tc>
          <w:tcPr>
            <w:tcW w:w="7740" w:type="dxa"/>
            <w:vAlign w:val="bottom"/>
            <w:tcBorders>
              <w:bottom w:val="single" w:sz="8" w:color="CFF0FC"/>
            </w:tcBorders>
            <w:gridSpan w:val="2"/>
            <w:shd w:val="clear" w:color="auto" w:fill="CFF0FC"/>
          </w:tcPr>
          <w:p>
            <w:pPr>
              <w:ind w:left="420"/>
              <w:spacing w:after="0" w:line="183" w:lineRule="exact"/>
              <w:rPr>
                <w:sz w:val="20"/>
                <w:szCs w:val="20"/>
                <w:color w:val="auto"/>
              </w:rPr>
            </w:pPr>
            <w:r>
              <w:rPr>
                <w:rFonts w:ascii="Arial" w:cs="Arial" w:eastAsia="Arial" w:hAnsi="Arial"/>
                <w:sz w:val="16"/>
                <w:szCs w:val="16"/>
                <w:color w:val="auto"/>
              </w:rPr>
              <w:t>Total stockholders’ equity</w:t>
            </w:r>
          </w:p>
        </w:tc>
        <w:tc>
          <w:tcPr>
            <w:tcW w:w="5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171,415</w:t>
            </w: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202,957</w:t>
            </w:r>
          </w:p>
        </w:tc>
      </w:tr>
      <w:tr>
        <w:trPr>
          <w:trHeight w:val="183"/>
        </w:trPr>
        <w:tc>
          <w:tcPr>
            <w:tcW w:w="7740" w:type="dxa"/>
            <w:vAlign w:val="bottom"/>
            <w:gridSpan w:val="2"/>
          </w:tcPr>
          <w:p>
            <w:pPr>
              <w:ind w:left="420"/>
              <w:spacing w:after="0" w:line="169" w:lineRule="exact"/>
              <w:rPr>
                <w:sz w:val="20"/>
                <w:szCs w:val="20"/>
                <w:color w:val="auto"/>
              </w:rPr>
            </w:pPr>
            <w:r>
              <w:rPr>
                <w:rFonts w:ascii="Arial" w:cs="Arial" w:eastAsia="Arial" w:hAnsi="Arial"/>
                <w:sz w:val="16"/>
                <w:szCs w:val="16"/>
                <w:color w:val="auto"/>
              </w:rPr>
              <w:t>Total liabilities and stockholders’ equity</w:t>
            </w:r>
          </w:p>
        </w:tc>
        <w:tc>
          <w:tcPr>
            <w:tcW w:w="5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242,839</w:t>
            </w:r>
          </w:p>
        </w:tc>
        <w:tc>
          <w:tcPr>
            <w:tcW w:w="680" w:type="dxa"/>
            <w:vAlign w:val="bottom"/>
            <w:gridSpan w:val="2"/>
          </w:tcPr>
          <w:p>
            <w:pPr>
              <w:jc w:val="right"/>
              <w:ind w:right="339"/>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270,268</w:t>
            </w:r>
          </w:p>
        </w:tc>
      </w:tr>
      <w:tr>
        <w:trPr>
          <w:trHeight w:val="20"/>
        </w:trPr>
        <w:tc>
          <w:tcPr>
            <w:tcW w:w="11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-2990850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-2502535</wp:posOffset>
            </wp:positionV>
            <wp:extent cx="111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-1250950</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related party accounts receivable of $2.6 million and $2.5 million as of September 30, 2025 and December 31, 2024, respectively.</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related party liabilities of $4.6 million and $1.7 million as of September 30, 2025 and December 31, 2024,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related party liabilities of $1.1 million and $1.2 million as of September 30, 2025 and December 31, 2024,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FF0000"/>
        </w:rPr>
        <w: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r>
      <w:tr>
        <w:trPr>
          <w:trHeight w:val="183"/>
        </w:trPr>
        <w:tc>
          <w:tcPr>
            <w:tcW w:w="4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Revenue </w:t>
            </w:r>
            <w:r>
              <w:rPr>
                <w:rFonts w:ascii="Arial" w:cs="Arial" w:eastAsia="Arial" w:hAnsi="Arial"/>
                <w:sz w:val="21"/>
                <w:szCs w:val="21"/>
                <w:color w:val="auto"/>
                <w:vertAlign w:val="superscript"/>
              </w:rPr>
              <w:t>(1)</w:t>
            </w:r>
          </w:p>
        </w:tc>
        <w:tc>
          <w:tcPr>
            <w:tcW w:w="1080" w:type="dxa"/>
            <w:vAlign w:val="bottom"/>
            <w:gridSpan w:val="2"/>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14,495</w:t>
            </w:r>
          </w:p>
        </w:tc>
        <w:tc>
          <w:tcPr>
            <w:tcW w:w="34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25,709</w:t>
            </w:r>
          </w:p>
        </w:tc>
        <w:tc>
          <w:tcPr>
            <w:tcW w:w="340" w:type="dxa"/>
            <w:vAlign w:val="bottom"/>
            <w:gridSpan w:val="2"/>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52,303</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67,814</w:t>
            </w:r>
          </w:p>
        </w:tc>
      </w:tr>
      <w:tr>
        <w:trPr>
          <w:trHeight w:val="216"/>
        </w:trPr>
        <w:tc>
          <w:tcPr>
            <w:tcW w:w="4940" w:type="dxa"/>
            <w:vAlign w:val="bottom"/>
          </w:tcPr>
          <w:p>
            <w:pPr>
              <w:spacing w:after="0"/>
              <w:rPr>
                <w:sz w:val="20"/>
                <w:szCs w:val="20"/>
                <w:color w:val="auto"/>
              </w:rPr>
            </w:pPr>
            <w:r>
              <w:rPr>
                <w:rFonts w:ascii="Arial" w:cs="Arial" w:eastAsia="Arial" w:hAnsi="Arial"/>
                <w:sz w:val="16"/>
                <w:szCs w:val="16"/>
                <w:color w:val="auto"/>
              </w:rPr>
              <w:t>Costs and expenses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9"/>
        </w:trPr>
        <w:tc>
          <w:tcPr>
            <w:tcW w:w="4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12,581</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16,964</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38,426</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45,539</w:t>
            </w:r>
          </w:p>
        </w:tc>
      </w:tr>
      <w:tr>
        <w:trPr>
          <w:trHeight w:val="216"/>
        </w:trPr>
        <w:tc>
          <w:tcPr>
            <w:tcW w:w="494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12,171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37,192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37,411</w:t>
            </w:r>
          </w:p>
        </w:tc>
      </w:tr>
      <w:tr>
        <w:trPr>
          <w:trHeight w:val="189"/>
        </w:trPr>
        <w:tc>
          <w:tcPr>
            <w:tcW w:w="4940" w:type="dxa"/>
            <w:vAlign w:val="bottom"/>
            <w:shd w:val="clear" w:color="auto" w:fill="CFF0FC"/>
          </w:tcPr>
          <w:p>
            <w:pPr>
              <w:ind w:left="120"/>
              <w:spacing w:after="0" w:line="189"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(2)</w:t>
            </w:r>
          </w:p>
        </w:tc>
        <w:tc>
          <w:tcPr>
            <w:tcW w:w="88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13,034</w:t>
            </w:r>
          </w:p>
        </w:tc>
        <w:tc>
          <w:tcPr>
            <w:tcW w:w="14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11,444</w:t>
            </w:r>
          </w:p>
        </w:tc>
        <w:tc>
          <w:tcPr>
            <w:tcW w:w="14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39,476</w:t>
            </w:r>
          </w:p>
        </w:tc>
        <w:tc>
          <w:tcPr>
            <w:tcW w:w="14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35,019</w:t>
            </w:r>
          </w:p>
        </w:tc>
      </w:tr>
      <w:tr>
        <w:trPr>
          <w:trHeight w:val="209"/>
        </w:trPr>
        <w:tc>
          <w:tcPr>
            <w:tcW w:w="4940" w:type="dxa"/>
            <w:vAlign w:val="bottom"/>
          </w:tcPr>
          <w:p>
            <w:pPr>
              <w:ind w:left="220"/>
              <w:spacing w:after="0"/>
              <w:rPr>
                <w:sz w:val="20"/>
                <w:szCs w:val="20"/>
                <w:color w:val="auto"/>
              </w:rPr>
            </w:pPr>
            <w:r>
              <w:rPr>
                <w:rFonts w:ascii="Arial" w:cs="Arial" w:eastAsia="Arial" w:hAnsi="Arial"/>
                <w:sz w:val="16"/>
                <w:szCs w:val="16"/>
                <w:color w:val="auto"/>
              </w:rPr>
              <w:t>Total costs and expenses</w:t>
            </w: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37,786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40,091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115,094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117,969</w:t>
            </w:r>
          </w:p>
        </w:tc>
      </w:tr>
      <w:tr>
        <w:trPr>
          <w:trHeight w:val="183"/>
        </w:trPr>
        <w:tc>
          <w:tcPr>
            <w:tcW w:w="4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from operations</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(23,291)</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(14,382)</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(62,791)</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(50,155)</w:t>
            </w:r>
          </w:p>
        </w:tc>
      </w:tr>
      <w:tr>
        <w:trPr>
          <w:trHeight w:val="216"/>
        </w:trPr>
        <w:tc>
          <w:tcPr>
            <w:tcW w:w="4940" w:type="dxa"/>
            <w:vAlign w:val="bottom"/>
          </w:tcPr>
          <w:p>
            <w:pPr>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5,585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3,879</w:t>
            </w: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4940" w:type="dxa"/>
            <w:vAlign w:val="bottom"/>
          </w:tcPr>
          <w:p>
            <w:pPr>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(3)</w:t>
            </w: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(18,544)</w:t>
            </w:r>
          </w:p>
        </w:tc>
      </w:tr>
      <w:tr>
        <w:trPr>
          <w:trHeight w:val="182"/>
        </w:trPr>
        <w:tc>
          <w:tcPr>
            <w:tcW w:w="4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before income taxes</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(21,649)</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(39,086)</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(57,446)</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(64,845)</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w:t>
            </w:r>
          </w:p>
        </w:tc>
      </w:tr>
      <w:tr>
        <w:trPr>
          <w:trHeight w:val="203"/>
        </w:trPr>
        <w:tc>
          <w:tcPr>
            <w:tcW w:w="4940" w:type="dxa"/>
            <w:vAlign w:val="bottom"/>
            <w:shd w:val="clear" w:color="auto" w:fill="CFF0FC"/>
          </w:tcPr>
          <w:p>
            <w:pPr>
              <w:ind w:left="320"/>
              <w:spacing w:after="0" w:line="169" w:lineRule="exact"/>
              <w:rPr>
                <w:sz w:val="20"/>
                <w:szCs w:val="20"/>
                <w:color w:val="auto"/>
              </w:rPr>
            </w:pPr>
            <w:r>
              <w:rPr>
                <w:rFonts w:ascii="Arial" w:cs="Arial" w:eastAsia="Arial" w:hAnsi="Arial"/>
                <w:sz w:val="16"/>
                <w:szCs w:val="16"/>
                <w:color w:val="auto"/>
              </w:rPr>
              <w:t>Net loss</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2"/>
              <w:spacing w:after="0" w:line="169"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(21,652)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(39,089)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2"/>
              <w:spacing w:after="0" w:line="169" w:lineRule="exact"/>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(57,458)</w:t>
            </w:r>
          </w:p>
        </w:tc>
        <w:tc>
          <w:tcPr>
            <w:tcW w:w="3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(64,859)</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70"/>
        </w:trPr>
        <w:tc>
          <w:tcPr>
            <w:tcW w:w="4940" w:type="dxa"/>
            <w:vAlign w:val="bottom"/>
          </w:tcPr>
          <w:p>
            <w:pPr>
              <w:spacing w:after="0" w:line="169" w:lineRule="exact"/>
              <w:rPr>
                <w:sz w:val="20"/>
                <w:szCs w:val="20"/>
                <w:color w:val="auto"/>
              </w:rPr>
            </w:pPr>
            <w:r>
              <w:rPr>
                <w:rFonts w:ascii="Arial" w:cs="Arial" w:eastAsia="Arial" w:hAnsi="Arial"/>
                <w:sz w:val="16"/>
                <w:szCs w:val="16"/>
                <w:color w:val="auto"/>
              </w:rPr>
              <w:t>Net loss per share, basic and diluted</w:t>
            </w:r>
          </w:p>
        </w:tc>
        <w:tc>
          <w:tcPr>
            <w:tcW w:w="880" w:type="dxa"/>
            <w:vAlign w:val="bottom"/>
          </w:tcPr>
          <w:p>
            <w:pPr>
              <w:spacing w:after="0"/>
              <w:rPr>
                <w:sz w:val="14"/>
                <w:szCs w:val="14"/>
                <w:color w:val="auto"/>
              </w:rPr>
            </w:pPr>
          </w:p>
        </w:tc>
        <w:tc>
          <w:tcPr>
            <w:tcW w:w="200" w:type="dxa"/>
            <w:vAlign w:val="bottom"/>
          </w:tcPr>
          <w:p>
            <w:pPr>
              <w:jc w:val="right"/>
              <w:ind w:right="22"/>
              <w:spacing w:after="0" w:line="169"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(0.24)</w:t>
            </w:r>
          </w:p>
        </w:tc>
        <w:tc>
          <w:tcPr>
            <w:tcW w:w="140" w:type="dxa"/>
            <w:vAlign w:val="bottom"/>
          </w:tcPr>
          <w:p>
            <w:pPr>
              <w:spacing w:after="0"/>
              <w:rPr>
                <w:sz w:val="14"/>
                <w:szCs w:val="14"/>
                <w:color w:val="auto"/>
              </w:rPr>
            </w:pPr>
          </w:p>
        </w:tc>
        <w:tc>
          <w:tcPr>
            <w:tcW w:w="200" w:type="dxa"/>
            <w:vAlign w:val="bottom"/>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(0.64)</w:t>
            </w:r>
          </w:p>
        </w:tc>
        <w:tc>
          <w:tcPr>
            <w:tcW w:w="140" w:type="dxa"/>
            <w:vAlign w:val="bottom"/>
          </w:tcPr>
          <w:p>
            <w:pPr>
              <w:spacing w:after="0"/>
              <w:rPr>
                <w:sz w:val="14"/>
                <w:szCs w:val="14"/>
                <w:color w:val="auto"/>
              </w:rPr>
            </w:pPr>
          </w:p>
        </w:tc>
        <w:tc>
          <w:tcPr>
            <w:tcW w:w="200" w:type="dxa"/>
            <w:vAlign w:val="bottom"/>
          </w:tcPr>
          <w:p>
            <w:pPr>
              <w:jc w:val="right"/>
              <w:ind w:right="22"/>
              <w:spacing w:after="0" w:line="169"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(0.65)</w:t>
            </w:r>
          </w:p>
        </w:tc>
        <w:tc>
          <w:tcPr>
            <w:tcW w:w="340" w:type="dxa"/>
            <w:vAlign w:val="bottom"/>
            <w:gridSpan w:val="2"/>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(1.19)</w:t>
            </w:r>
          </w:p>
        </w:tc>
      </w:tr>
      <w:tr>
        <w:trPr>
          <w:trHeight w:val="20"/>
        </w:trPr>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49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Weighted-average shares outstanding, basic and diluted</w:t>
            </w:r>
          </w:p>
        </w:tc>
        <w:tc>
          <w:tcPr>
            <w:tcW w:w="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88,699,131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61,051,350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88,226,838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54,708,205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-1375410</wp:posOffset>
            </wp:positionV>
            <wp:extent cx="11112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-1375410</wp:posOffset>
            </wp:positionV>
            <wp:extent cx="11112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-1375410</wp:posOffset>
            </wp:positionV>
            <wp:extent cx="11112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-316865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-299720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-316865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-299720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-316865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-299720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related party revenue of $1.1 million and $3.5 million for the three and nine months ended September 30, 2025, respectively.</w:t>
      </w:r>
    </w:p>
    <w:p>
      <w:pPr>
        <w:spacing w:after="0" w:line="15" w:lineRule="exact"/>
        <w:rPr>
          <w:rFonts w:ascii="Arial" w:cs="Arial" w:eastAsia="Arial" w:hAnsi="Arial"/>
          <w:sz w:val="14"/>
          <w:szCs w:val="14"/>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related party sales and marketing expenses of $1.2 million and $2.7 million for the three and nine months ended September 30, 2025, respectively.</w:t>
      </w:r>
    </w:p>
    <w:p>
      <w:pPr>
        <w:spacing w:after="0" w:line="1" w:lineRule="exact"/>
        <w:rPr>
          <w:rFonts w:ascii="Arial" w:cs="Arial" w:eastAsia="Arial" w:hAnsi="Arial"/>
          <w:sz w:val="14"/>
          <w:szCs w:val="14"/>
          <w:color w:val="auto"/>
        </w:rPr>
      </w:pPr>
    </w:p>
    <w:p>
      <w:pPr>
        <w:ind w:right="100" w:firstLine="8"/>
        <w:spacing w:after="0" w:line="264"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related party other expense of $26.0 million and $18.3 million in connection with the change in fair value of Tempus Warrants for the three and nine months ended September 30, 2024,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5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260" w:type="dxa"/>
            <w:vAlign w:val="bottom"/>
            <w:shd w:val="clear" w:color="auto" w:fill="CFF0FC"/>
          </w:tcPr>
          <w:p>
            <w:pPr>
              <w:jc w:val="right"/>
              <w:ind w:right="82"/>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(21,652)</w:t>
            </w:r>
          </w:p>
        </w:tc>
        <w:tc>
          <w:tcPr>
            <w:tcW w:w="3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(39,089)</w:t>
            </w:r>
          </w:p>
        </w:tc>
        <w:tc>
          <w:tcPr>
            <w:tcW w:w="380" w:type="dxa"/>
            <w:vAlign w:val="bottom"/>
            <w:gridSpan w:val="2"/>
            <w:shd w:val="clear" w:color="auto" w:fill="CFF0FC"/>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(57,458)</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(64,859)</w:t>
            </w:r>
          </w:p>
        </w:tc>
        <w:tc>
          <w:tcPr>
            <w:tcW w:w="0" w:type="dxa"/>
            <w:vAlign w:val="bottom"/>
          </w:tcPr>
          <w:p>
            <w:pPr>
              <w:spacing w:after="0"/>
              <w:rPr>
                <w:sz w:val="1"/>
                <w:szCs w:val="1"/>
                <w:color w:val="auto"/>
              </w:rPr>
            </w:pP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Changes in foreign currency translation adjustments:</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20"/>
              <w:spacing w:after="0"/>
              <w:rPr>
                <w:sz w:val="20"/>
                <w:szCs w:val="20"/>
                <w:color w:val="auto"/>
              </w:rPr>
            </w:pPr>
            <w:r>
              <w:rPr>
                <w:rFonts w:ascii="Arial" w:cs="Arial" w:eastAsia="Arial" w:hAnsi="Arial"/>
                <w:sz w:val="16"/>
                <w:szCs w:val="16"/>
                <w:color w:val="auto"/>
              </w:rPr>
              <w:t>Change during period</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5"/>
        </w:trPr>
        <w:tc>
          <w:tcPr>
            <w:tcW w:w="5840" w:type="dxa"/>
            <w:vAlign w:val="bottom"/>
            <w:shd w:val="clear" w:color="auto" w:fill="CFF0FC"/>
          </w:tcPr>
          <w:p>
            <w:pPr>
              <w:ind w:left="220"/>
              <w:spacing w:after="0" w:line="175" w:lineRule="exact"/>
              <w:rPr>
                <w:sz w:val="20"/>
                <w:szCs w:val="20"/>
                <w:color w:val="auto"/>
              </w:rPr>
            </w:pPr>
            <w:r>
              <w:rPr>
                <w:rFonts w:ascii="Arial" w:cs="Arial" w:eastAsia="Arial" w:hAnsi="Arial"/>
                <w:sz w:val="16"/>
                <w:szCs w:val="16"/>
                <w:color w:val="auto"/>
              </w:rPr>
              <w:t>Reclassification of adjustments to net loss due to dissolution of Personalis</w:t>
            </w:r>
          </w:p>
        </w:tc>
        <w:tc>
          <w:tcPr>
            <w:tcW w:w="26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0"/>
        </w:trPr>
        <w:tc>
          <w:tcPr>
            <w:tcW w:w="58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(Shanghai) Ltd</w:t>
            </w:r>
          </w:p>
        </w:tc>
        <w:tc>
          <w:tcPr>
            <w:tcW w:w="2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ind w:left="320"/>
              <w:spacing w:after="0" w:line="183" w:lineRule="exact"/>
              <w:rPr>
                <w:sz w:val="20"/>
                <w:szCs w:val="20"/>
                <w:color w:val="auto"/>
              </w:rPr>
            </w:pPr>
            <w:r>
              <w:rPr>
                <w:rFonts w:ascii="Arial" w:cs="Arial" w:eastAsia="Arial" w:hAnsi="Arial"/>
                <w:sz w:val="16"/>
                <w:szCs w:val="16"/>
                <w:color w:val="auto"/>
              </w:rPr>
              <w:t>Net changes in foreign currency translation adjustments</w:t>
            </w:r>
          </w:p>
        </w:tc>
        <w:tc>
          <w:tcPr>
            <w:tcW w:w="26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(33)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61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66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Change in unrealized gain on available-for-sale debt securities</w:t>
            </w:r>
          </w:p>
        </w:tc>
        <w:tc>
          <w:tcPr>
            <w:tcW w:w="2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146</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3"/>
        </w:trPr>
        <w:tc>
          <w:tcPr>
            <w:tcW w:w="5840" w:type="dxa"/>
            <w:vAlign w:val="bottom"/>
          </w:tcPr>
          <w:p>
            <w:pPr>
              <w:spacing w:after="0" w:line="169" w:lineRule="exact"/>
              <w:rPr>
                <w:sz w:val="20"/>
                <w:szCs w:val="20"/>
                <w:color w:val="auto"/>
              </w:rPr>
            </w:pPr>
            <w:r>
              <w:rPr>
                <w:rFonts w:ascii="Arial" w:cs="Arial" w:eastAsia="Arial" w:hAnsi="Arial"/>
                <w:sz w:val="16"/>
                <w:szCs w:val="16"/>
                <w:color w:val="auto"/>
              </w:rPr>
              <w:t>Comprehensive loss</w:t>
            </w:r>
          </w:p>
        </w:tc>
        <w:tc>
          <w:tcPr>
            <w:tcW w:w="260" w:type="dxa"/>
            <w:vAlign w:val="bottom"/>
          </w:tcPr>
          <w:p>
            <w:pPr>
              <w:jc w:val="right"/>
              <w:ind w:right="82"/>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(21,590)</w:t>
            </w:r>
          </w:p>
        </w:tc>
        <w:tc>
          <w:tcPr>
            <w:tcW w:w="36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(38,882)</w:t>
            </w:r>
          </w:p>
        </w:tc>
        <w:tc>
          <w:tcPr>
            <w:tcW w:w="380" w:type="dxa"/>
            <w:vAlign w:val="bottom"/>
            <w:gridSpan w:val="2"/>
          </w:tcPr>
          <w:p>
            <w:pPr>
              <w:jc w:val="right"/>
              <w:ind w:right="68"/>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(57,353)</w:t>
            </w:r>
          </w:p>
        </w:tc>
        <w:tc>
          <w:tcPr>
            <w:tcW w:w="38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(64,550)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-401955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-401955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-401955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-153670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-153670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-153670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September 30, 2025 and 2024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520" w:type="dxa"/>
            <w:vAlign w:val="bottom"/>
            <w:gridSpan w:val="3"/>
            <w:vMerge w:val="restart"/>
          </w:tcPr>
          <w:p>
            <w:pPr>
              <w:jc w:val="right"/>
              <w:ind w:right="24"/>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Comprehensiv</w:t>
            </w:r>
          </w:p>
        </w:tc>
        <w:tc>
          <w:tcPr>
            <w:tcW w:w="10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152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20"/>
              <w:spacing w:after="0" w:line="158"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260"/>
              <w:spacing w:after="0" w:line="158" w:lineRule="exact"/>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200"/>
              <w:spacing w:after="0" w:line="158" w:lineRule="exact"/>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06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740" w:type="dxa"/>
            <w:vAlign w:val="bottom"/>
            <w:tcBorders>
              <w:bottom w:val="single" w:sz="8" w:color="auto"/>
            </w:tcBorders>
            <w:gridSpan w:val="2"/>
          </w:tcPr>
          <w:p>
            <w:pPr>
              <w:jc w:val="right"/>
              <w:ind w:right="79"/>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1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Balance—June 30, 2025</w:t>
            </w:r>
          </w:p>
        </w:tc>
        <w:tc>
          <w:tcPr>
            <w:tcW w:w="10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88,649,766</w:t>
            </w:r>
          </w:p>
        </w:tc>
        <w:tc>
          <w:tcPr>
            <w:tcW w:w="460" w:type="dxa"/>
            <w:vAlign w:val="bottom"/>
            <w:gridSpan w:val="2"/>
            <w:shd w:val="clear" w:color="auto" w:fill="CFF0FC"/>
          </w:tcPr>
          <w:p>
            <w:pPr>
              <w:jc w:val="right"/>
              <w:ind w:right="184"/>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776,596</w:t>
            </w:r>
          </w:p>
        </w:tc>
        <w:tc>
          <w:tcPr>
            <w:tcW w:w="32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20</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(585,796)</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190,829</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40,094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Restricted stock units vested</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55,506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9"/>
        </w:trPr>
        <w:tc>
          <w:tcPr>
            <w:tcW w:w="4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(21,652)</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(21,652)</w:t>
            </w:r>
          </w:p>
        </w:tc>
        <w:tc>
          <w:tcPr>
            <w:tcW w:w="0" w:type="dxa"/>
            <w:vAlign w:val="bottom"/>
          </w:tcPr>
          <w:p>
            <w:pPr>
              <w:spacing w:after="0"/>
              <w:rPr>
                <w:sz w:val="1"/>
                <w:szCs w:val="1"/>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6"/>
                <w:szCs w:val="16"/>
                <w:color w:val="auto"/>
              </w:rPr>
              <w:t>Balance—September 30, 2025</w:t>
            </w:r>
          </w:p>
        </w:tc>
        <w:tc>
          <w:tcPr>
            <w:tcW w:w="10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88,745,366</w:t>
            </w:r>
          </w:p>
        </w:tc>
        <w:tc>
          <w:tcPr>
            <w:tcW w:w="460" w:type="dxa"/>
            <w:vAlign w:val="bottom"/>
            <w:gridSpan w:val="2"/>
          </w:tcPr>
          <w:p>
            <w:pPr>
              <w:jc w:val="right"/>
              <w:ind w:right="184"/>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778,772</w:t>
            </w:r>
          </w:p>
        </w:tc>
        <w:tc>
          <w:tcPr>
            <w:tcW w:w="32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82</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(607,448)</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line="183" w:lineRule="exact"/>
              <w:rPr>
                <w:sz w:val="20"/>
                <w:szCs w:val="20"/>
                <w:color w:val="auto"/>
              </w:rPr>
            </w:pPr>
            <w:r>
              <w:rPr>
                <w:rFonts w:ascii="Arial" w:cs="Arial" w:eastAsia="Arial" w:hAnsi="Arial"/>
                <w:sz w:val="16"/>
                <w:szCs w:val="16"/>
                <w:color w:val="auto"/>
              </w:rPr>
              <w:t>171,415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Balance—June 30, 2024</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53,052,847</w:t>
            </w:r>
          </w:p>
        </w:tc>
        <w:tc>
          <w:tcPr>
            <w:tcW w:w="46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606,863</w:t>
            </w: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(494,476)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112,272</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Exercise of Tempus Warrants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9,218,800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46,738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46,739</w:t>
            </w:r>
          </w:p>
        </w:tc>
        <w:tc>
          <w:tcPr>
            <w:tcW w:w="0" w:type="dxa"/>
            <w:vAlign w:val="bottom"/>
          </w:tcPr>
          <w:p>
            <w:pPr>
              <w:spacing w:after="0"/>
              <w:rPr>
                <w:sz w:val="1"/>
                <w:szCs w:val="1"/>
                <w:color w:val="auto"/>
              </w:rPr>
            </w:pPr>
          </w:p>
        </w:tc>
      </w:tr>
      <w:tr>
        <w:trPr>
          <w:trHeight w:val="175"/>
        </w:trPr>
        <w:tc>
          <w:tcPr>
            <w:tcW w:w="472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Proceeds from sale of common stock under Tempus</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Agreement, net of issuance costs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3,500,000</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16,605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16,605</w:t>
            </w:r>
          </w:p>
        </w:tc>
        <w:tc>
          <w:tcPr>
            <w:tcW w:w="0" w:type="dxa"/>
            <w:vAlign w:val="bottom"/>
          </w:tcPr>
          <w:p>
            <w:pPr>
              <w:spacing w:after="0"/>
              <w:rPr>
                <w:sz w:val="1"/>
                <w:szCs w:val="1"/>
                <w:color w:val="auto"/>
              </w:rPr>
            </w:pPr>
          </w:p>
        </w:tc>
      </w:tr>
      <w:tr>
        <w:trPr>
          <w:trHeight w:val="175"/>
        </w:trPr>
        <w:tc>
          <w:tcPr>
            <w:tcW w:w="4720" w:type="dxa"/>
            <w:vAlign w:val="bottom"/>
          </w:tcPr>
          <w:p>
            <w:pPr>
              <w:ind w:left="180"/>
              <w:spacing w:after="0" w:line="175" w:lineRule="exact"/>
              <w:rPr>
                <w:sz w:val="20"/>
                <w:szCs w:val="20"/>
                <w:color w:val="auto"/>
              </w:rPr>
            </w:pPr>
            <w:r>
              <w:rPr>
                <w:rFonts w:ascii="Arial" w:cs="Arial" w:eastAsia="Arial" w:hAnsi="Arial"/>
                <w:sz w:val="16"/>
                <w:szCs w:val="16"/>
                <w:color w:val="auto"/>
              </w:rPr>
              <w:t>Proceeds from sales of common stock under ATM facility, net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6"/>
                <w:szCs w:val="16"/>
                <w:color w:val="auto"/>
              </w:rPr>
              <w:t>of commissions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4,760,588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27,235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27,236</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46,471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59,484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2,677</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(39,089)</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Balance—September 30, 2024</w:t>
            </w:r>
          </w:p>
        </w:tc>
        <w:tc>
          <w:tcPr>
            <w:tcW w:w="10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70,638,190</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84"/>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700,232</w:t>
            </w:r>
          </w:p>
        </w:tc>
        <w:tc>
          <w:tcPr>
            <w:tcW w:w="32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87</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(533,565)</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166,761</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-1868170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-1868170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-1868170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-1868170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-1868170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Nine Months Ended September 30, 2025 and 2024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52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Comprehensiv</w:t>
            </w:r>
          </w:p>
        </w:tc>
        <w:tc>
          <w:tcPr>
            <w:tcW w:w="10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152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20"/>
              <w:spacing w:after="0" w:line="158"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260"/>
              <w:spacing w:after="0" w:line="158" w:lineRule="exact"/>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200"/>
              <w:spacing w:after="0" w:line="158" w:lineRule="exact"/>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06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740" w:type="dxa"/>
            <w:vAlign w:val="bottom"/>
            <w:tcBorders>
              <w:bottom w:val="single" w:sz="8" w:color="auto"/>
            </w:tcBorders>
            <w:gridSpan w:val="2"/>
          </w:tcPr>
          <w:p>
            <w:pPr>
              <w:jc w:val="right"/>
              <w:ind w:right="79"/>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1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10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85,171,146</w:t>
            </w:r>
          </w:p>
        </w:tc>
        <w:tc>
          <w:tcPr>
            <w:tcW w:w="460" w:type="dxa"/>
            <w:vAlign w:val="bottom"/>
            <w:gridSpan w:val="2"/>
            <w:shd w:val="clear" w:color="auto" w:fill="CFF0FC"/>
          </w:tcPr>
          <w:p>
            <w:pPr>
              <w:jc w:val="right"/>
              <w:ind w:right="188"/>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752,961</w:t>
            </w:r>
          </w:p>
        </w:tc>
        <w:tc>
          <w:tcPr>
            <w:tcW w:w="32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(549,990)</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202,957</w:t>
            </w:r>
          </w:p>
        </w:tc>
        <w:tc>
          <w:tcPr>
            <w:tcW w:w="0" w:type="dxa"/>
            <w:vAlign w:val="bottom"/>
          </w:tcPr>
          <w:p>
            <w:pPr>
              <w:spacing w:after="0"/>
              <w:rPr>
                <w:sz w:val="1"/>
                <w:szCs w:val="1"/>
                <w:color w:val="auto"/>
              </w:rPr>
            </w:pPr>
          </w:p>
        </w:tc>
      </w:tr>
      <w:tr>
        <w:trPr>
          <w:trHeight w:val="175"/>
        </w:trPr>
        <w:tc>
          <w:tcPr>
            <w:tcW w:w="4720" w:type="dxa"/>
            <w:vAlign w:val="bottom"/>
          </w:tcPr>
          <w:p>
            <w:pPr>
              <w:ind w:left="180"/>
              <w:spacing w:after="0" w:line="175" w:lineRule="exact"/>
              <w:rPr>
                <w:sz w:val="20"/>
                <w:szCs w:val="20"/>
                <w:color w:val="auto"/>
              </w:rPr>
            </w:pPr>
            <w:r>
              <w:rPr>
                <w:rFonts w:ascii="Arial" w:cs="Arial" w:eastAsia="Arial" w:hAnsi="Arial"/>
                <w:sz w:val="16"/>
                <w:szCs w:val="16"/>
                <w:color w:val="auto"/>
              </w:rPr>
              <w:t>Proceeds from sales of common stock under ATM facility, net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6"/>
                <w:szCs w:val="16"/>
                <w:color w:val="auto"/>
              </w:rPr>
              <w:t>of commissions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3,064,152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17,782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17,782</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ESPP</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193,738</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197,819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118,511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7,131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7,131</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9"/>
        </w:trPr>
        <w:tc>
          <w:tcPr>
            <w:tcW w:w="4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(57,458)</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(57,458)</w:t>
            </w:r>
          </w:p>
        </w:tc>
        <w:tc>
          <w:tcPr>
            <w:tcW w:w="0" w:type="dxa"/>
            <w:vAlign w:val="bottom"/>
          </w:tcPr>
          <w:p>
            <w:pPr>
              <w:spacing w:after="0"/>
              <w:rPr>
                <w:sz w:val="1"/>
                <w:szCs w:val="1"/>
                <w:color w:val="auto"/>
              </w:rPr>
            </w:pPr>
          </w:p>
        </w:tc>
      </w:tr>
      <w:tr>
        <w:trPr>
          <w:trHeight w:val="183"/>
        </w:trPr>
        <w:tc>
          <w:tcPr>
            <w:tcW w:w="4720" w:type="dxa"/>
            <w:vAlign w:val="bottom"/>
          </w:tcPr>
          <w:p>
            <w:pPr>
              <w:spacing w:after="0" w:line="169" w:lineRule="exact"/>
              <w:rPr>
                <w:sz w:val="20"/>
                <w:szCs w:val="20"/>
                <w:color w:val="auto"/>
              </w:rPr>
            </w:pPr>
            <w:r>
              <w:rPr>
                <w:rFonts w:ascii="Arial" w:cs="Arial" w:eastAsia="Arial" w:hAnsi="Arial"/>
                <w:sz w:val="16"/>
                <w:szCs w:val="16"/>
                <w:color w:val="auto"/>
              </w:rPr>
              <w:t>Balance—September 30, 2025</w:t>
            </w:r>
          </w:p>
        </w:tc>
        <w:tc>
          <w:tcPr>
            <w:tcW w:w="1060" w:type="dxa"/>
            <w:vAlign w:val="bottom"/>
          </w:tcPr>
          <w:p>
            <w:pPr>
              <w:jc w:val="right"/>
              <w:ind w:right="40"/>
              <w:spacing w:after="0" w:line="169" w:lineRule="exact"/>
              <w:rPr>
                <w:sz w:val="20"/>
                <w:szCs w:val="20"/>
                <w:color w:val="auto"/>
              </w:rPr>
            </w:pPr>
            <w:r>
              <w:rPr>
                <w:rFonts w:ascii="Arial" w:cs="Arial" w:eastAsia="Arial" w:hAnsi="Arial"/>
                <w:sz w:val="16"/>
                <w:szCs w:val="16"/>
                <w:color w:val="auto"/>
              </w:rPr>
              <w:t>88,745,366</w:t>
            </w:r>
          </w:p>
        </w:tc>
        <w:tc>
          <w:tcPr>
            <w:tcW w:w="460" w:type="dxa"/>
            <w:vAlign w:val="bottom"/>
            <w:gridSpan w:val="2"/>
          </w:tcPr>
          <w:p>
            <w:pPr>
              <w:jc w:val="right"/>
              <w:ind w:right="188"/>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9</w:t>
            </w:r>
          </w:p>
        </w:tc>
        <w:tc>
          <w:tcPr>
            <w:tcW w:w="2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778,772</w:t>
            </w:r>
          </w:p>
        </w:tc>
        <w:tc>
          <w:tcPr>
            <w:tcW w:w="320" w:type="dxa"/>
            <w:vAlign w:val="bottom"/>
            <w:gridSpan w:val="2"/>
          </w:tcPr>
          <w:p>
            <w:pPr>
              <w:ind w:left="120"/>
              <w:spacing w:after="0" w:line="169"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82</w:t>
            </w:r>
          </w:p>
        </w:tc>
        <w:tc>
          <w:tcPr>
            <w:tcW w:w="2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(607,448)</w:t>
            </w:r>
          </w:p>
        </w:tc>
        <w:tc>
          <w:tcPr>
            <w:tcW w:w="2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171,415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2023</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50,480,694</w:t>
            </w:r>
          </w:p>
        </w:tc>
        <w:tc>
          <w:tcPr>
            <w:tcW w:w="46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598,364</w:t>
            </w: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(468,706)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129,441</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Exercise of Tempus Warrants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9,218,800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46,738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46,739</w:t>
            </w:r>
          </w:p>
        </w:tc>
        <w:tc>
          <w:tcPr>
            <w:tcW w:w="0" w:type="dxa"/>
            <w:vAlign w:val="bottom"/>
          </w:tcPr>
          <w:p>
            <w:pPr>
              <w:spacing w:after="0"/>
              <w:rPr>
                <w:sz w:val="1"/>
                <w:szCs w:val="1"/>
                <w:color w:val="auto"/>
              </w:rPr>
            </w:pPr>
          </w:p>
        </w:tc>
      </w:tr>
      <w:tr>
        <w:trPr>
          <w:trHeight w:val="175"/>
        </w:trPr>
        <w:tc>
          <w:tcPr>
            <w:tcW w:w="472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Proceeds from sale of common stock under Tempus</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Agreement, net of issuance costs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3,500,000</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16,605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16,605</w:t>
            </w:r>
          </w:p>
        </w:tc>
        <w:tc>
          <w:tcPr>
            <w:tcW w:w="0" w:type="dxa"/>
            <w:vAlign w:val="bottom"/>
          </w:tcPr>
          <w:p>
            <w:pPr>
              <w:spacing w:after="0"/>
              <w:rPr>
                <w:sz w:val="1"/>
                <w:szCs w:val="1"/>
                <w:color w:val="auto"/>
              </w:rPr>
            </w:pPr>
          </w:p>
        </w:tc>
      </w:tr>
      <w:tr>
        <w:trPr>
          <w:trHeight w:val="175"/>
        </w:trPr>
        <w:tc>
          <w:tcPr>
            <w:tcW w:w="4720" w:type="dxa"/>
            <w:vAlign w:val="bottom"/>
          </w:tcPr>
          <w:p>
            <w:pPr>
              <w:ind w:left="180"/>
              <w:spacing w:after="0" w:line="175" w:lineRule="exact"/>
              <w:rPr>
                <w:sz w:val="20"/>
                <w:szCs w:val="20"/>
                <w:color w:val="auto"/>
              </w:rPr>
            </w:pPr>
            <w:r>
              <w:rPr>
                <w:rFonts w:ascii="Arial" w:cs="Arial" w:eastAsia="Arial" w:hAnsi="Arial"/>
                <w:sz w:val="16"/>
                <w:szCs w:val="16"/>
                <w:color w:val="auto"/>
              </w:rPr>
              <w:t>Proceeds from sales of common stock under ATM facility, net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6"/>
                <w:szCs w:val="16"/>
                <w:color w:val="auto"/>
              </w:rPr>
              <w:t>of commissions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6,660,731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30,077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30,078</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46,471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Proceeds from ESPP</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391,415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Restricted stock units vested</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340,079</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8,017</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4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(64,859)</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(64,859)</w:t>
            </w:r>
          </w:p>
        </w:tc>
        <w:tc>
          <w:tcPr>
            <w:tcW w:w="0" w:type="dxa"/>
            <w:vAlign w:val="bottom"/>
          </w:tcPr>
          <w:p>
            <w:pPr>
              <w:spacing w:after="0"/>
              <w:rPr>
                <w:sz w:val="1"/>
                <w:szCs w:val="1"/>
                <w:color w:val="auto"/>
              </w:rPr>
            </w:pPr>
          </w:p>
        </w:tc>
      </w:tr>
      <w:tr>
        <w:trPr>
          <w:trHeight w:val="183"/>
        </w:trPr>
        <w:tc>
          <w:tcPr>
            <w:tcW w:w="4720" w:type="dxa"/>
            <w:vAlign w:val="bottom"/>
          </w:tcPr>
          <w:p>
            <w:pPr>
              <w:spacing w:after="0" w:line="169" w:lineRule="exact"/>
              <w:rPr>
                <w:sz w:val="20"/>
                <w:szCs w:val="20"/>
                <w:color w:val="auto"/>
              </w:rPr>
            </w:pPr>
            <w:r>
              <w:rPr>
                <w:rFonts w:ascii="Arial" w:cs="Arial" w:eastAsia="Arial" w:hAnsi="Arial"/>
                <w:sz w:val="16"/>
                <w:szCs w:val="16"/>
                <w:color w:val="auto"/>
              </w:rPr>
              <w:t>Balance—September 30, 2024</w:t>
            </w:r>
          </w:p>
        </w:tc>
        <w:tc>
          <w:tcPr>
            <w:tcW w:w="1060" w:type="dxa"/>
            <w:vAlign w:val="bottom"/>
          </w:tcPr>
          <w:p>
            <w:pPr>
              <w:jc w:val="right"/>
              <w:ind w:right="40"/>
              <w:spacing w:after="0" w:line="169" w:lineRule="exact"/>
              <w:rPr>
                <w:sz w:val="20"/>
                <w:szCs w:val="20"/>
                <w:color w:val="auto"/>
              </w:rPr>
            </w:pPr>
            <w:r>
              <w:rPr>
                <w:rFonts w:ascii="Arial" w:cs="Arial" w:eastAsia="Arial" w:hAnsi="Arial"/>
                <w:sz w:val="16"/>
                <w:szCs w:val="16"/>
                <w:color w:val="auto"/>
              </w:rPr>
              <w:t>70,638,190</w:t>
            </w:r>
          </w:p>
        </w:tc>
        <w:tc>
          <w:tcPr>
            <w:tcW w:w="460" w:type="dxa"/>
            <w:vAlign w:val="bottom"/>
            <w:gridSpan w:val="2"/>
          </w:tcPr>
          <w:p>
            <w:pPr>
              <w:jc w:val="right"/>
              <w:ind w:right="188"/>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7</w:t>
            </w:r>
          </w:p>
        </w:tc>
        <w:tc>
          <w:tcPr>
            <w:tcW w:w="2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700,232</w:t>
            </w:r>
          </w:p>
        </w:tc>
        <w:tc>
          <w:tcPr>
            <w:tcW w:w="320" w:type="dxa"/>
            <w:vAlign w:val="bottom"/>
            <w:gridSpan w:val="2"/>
          </w:tcPr>
          <w:p>
            <w:pPr>
              <w:ind w:left="120"/>
              <w:spacing w:after="0" w:line="169"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87</w:t>
            </w:r>
          </w:p>
        </w:tc>
        <w:tc>
          <w:tcPr>
            <w:tcW w:w="2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(533,565)</w:t>
            </w:r>
          </w:p>
        </w:tc>
        <w:tc>
          <w:tcPr>
            <w:tcW w:w="2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166,761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-1971040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-1971040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-1971040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-1971040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-1971040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-153670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-153670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-153670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-153670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-153670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Notes to the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9"/>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76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Net loss</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(57,458)</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(64,859)</w:t>
            </w: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60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7,131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8,017</w:t>
            </w:r>
          </w:p>
        </w:tc>
      </w:tr>
      <w:tr>
        <w:trPr>
          <w:trHeight w:val="189"/>
        </w:trPr>
        <w:tc>
          <w:tcPr>
            <w:tcW w:w="7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7,584</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8,398</w:t>
            </w:r>
          </w:p>
        </w:tc>
      </w:tr>
      <w:tr>
        <w:trPr>
          <w:trHeight w:val="189"/>
        </w:trPr>
        <w:tc>
          <w:tcPr>
            <w:tcW w:w="7600" w:type="dxa"/>
            <w:vAlign w:val="bottom"/>
          </w:tcPr>
          <w:p>
            <w:pPr>
              <w:ind w:left="140"/>
              <w:spacing w:after="0"/>
              <w:rPr>
                <w:sz w:val="20"/>
                <w:szCs w:val="20"/>
                <w:color w:val="auto"/>
              </w:rPr>
            </w:pPr>
            <w:r>
              <w:rPr>
                <w:rFonts w:ascii="Arial" w:cs="Arial" w:eastAsia="Arial" w:hAnsi="Arial"/>
                <w:sz w:val="16"/>
                <w:szCs w:val="16"/>
                <w:color w:val="auto"/>
              </w:rPr>
              <w:t>Noncash operating lease cost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1,204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1,036</w:t>
            </w:r>
          </w:p>
        </w:tc>
      </w:tr>
      <w:tr>
        <w:trPr>
          <w:trHeight w:val="189"/>
        </w:trPr>
        <w:tc>
          <w:tcPr>
            <w:tcW w:w="7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Noncash gain related to liability classified Tempus Warrants</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18,274</w:t>
            </w:r>
          </w:p>
        </w:tc>
      </w:tr>
      <w:tr>
        <w:trPr>
          <w:trHeight w:val="189"/>
        </w:trPr>
        <w:tc>
          <w:tcPr>
            <w:tcW w:w="7600" w:type="dxa"/>
            <w:vAlign w:val="bottom"/>
          </w:tcPr>
          <w:p>
            <w:pPr>
              <w:ind w:left="140"/>
              <w:spacing w:after="0"/>
              <w:rPr>
                <w:sz w:val="20"/>
                <w:szCs w:val="20"/>
                <w:color w:val="auto"/>
              </w:rPr>
            </w:pPr>
            <w:r>
              <w:rPr>
                <w:rFonts w:ascii="Arial" w:cs="Arial" w:eastAsia="Arial" w:hAnsi="Arial"/>
                <w:sz w:val="16"/>
                <w:szCs w:val="16"/>
                <w:color w:val="auto"/>
              </w:rPr>
              <w:t>Amortization of discount on short-term investments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(3,146)</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(1,826)</w:t>
            </w:r>
          </w:p>
        </w:tc>
      </w:tr>
      <w:tr>
        <w:trPr>
          <w:trHeight w:val="189"/>
        </w:trPr>
        <w:tc>
          <w:tcPr>
            <w:tcW w:w="7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w:t>
            </w:r>
          </w:p>
        </w:tc>
      </w:tr>
      <w:tr>
        <w:trPr>
          <w:trHeight w:val="189"/>
        </w:trPr>
        <w:tc>
          <w:tcPr>
            <w:tcW w:w="76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7600" w:type="dxa"/>
            <w:vAlign w:val="bottom"/>
            <w:shd w:val="clear" w:color="auto" w:fill="CFF0FC"/>
          </w:tcPr>
          <w:p>
            <w:pPr>
              <w:ind w:left="280"/>
              <w:spacing w:after="0" w:line="189" w:lineRule="exact"/>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1"/>
                <w:szCs w:val="21"/>
                <w:color w:val="auto"/>
                <w:vertAlign w:val="superscript"/>
              </w:rPr>
              <w:t>(1)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(6,236)</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4,255</w:t>
            </w:r>
          </w:p>
        </w:tc>
      </w:tr>
      <w:tr>
        <w:trPr>
          <w:trHeight w:val="189"/>
        </w:trPr>
        <w:tc>
          <w:tcPr>
            <w:tcW w:w="7600" w:type="dxa"/>
            <w:vAlign w:val="bottom"/>
          </w:tcPr>
          <w:p>
            <w:pPr>
              <w:ind w:left="280"/>
              <w:spacing w:after="0"/>
              <w:rPr>
                <w:sz w:val="20"/>
                <w:szCs w:val="20"/>
                <w:color w:val="auto"/>
              </w:rPr>
            </w:pPr>
            <w:r>
              <w:rPr>
                <w:rFonts w:ascii="Arial" w:cs="Arial" w:eastAsia="Arial" w:hAnsi="Arial"/>
                <w:sz w:val="16"/>
                <w:szCs w:val="16"/>
                <w:color w:val="auto"/>
              </w:rPr>
              <w:t>Inventory and other deferred costs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1,284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1,979</w:t>
            </w:r>
          </w:p>
        </w:tc>
      </w:tr>
      <w:tr>
        <w:trPr>
          <w:trHeight w:val="189"/>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271</w:t>
            </w:r>
          </w:p>
        </w:tc>
      </w:tr>
      <w:tr>
        <w:trPr>
          <w:trHeight w:val="189"/>
        </w:trPr>
        <w:tc>
          <w:tcPr>
            <w:tcW w:w="7600" w:type="dxa"/>
            <w:vAlign w:val="bottom"/>
          </w:tcPr>
          <w:p>
            <w:pPr>
              <w:ind w:left="280"/>
              <w:spacing w:after="0" w:line="189" w:lineRule="exact"/>
              <w:rPr>
                <w:sz w:val="20"/>
                <w:szCs w:val="20"/>
                <w:color w:val="auto"/>
              </w:rPr>
            </w:pPr>
            <w:r>
              <w:rPr>
                <w:rFonts w:ascii="Arial" w:cs="Arial" w:eastAsia="Arial" w:hAnsi="Arial"/>
                <w:sz w:val="16"/>
                <w:szCs w:val="16"/>
                <w:color w:val="auto"/>
              </w:rPr>
              <w:t xml:space="preserve">Accounts payable </w:t>
            </w:r>
            <w:r>
              <w:rPr>
                <w:rFonts w:ascii="Arial" w:cs="Arial" w:eastAsia="Arial" w:hAnsi="Arial"/>
                <w:sz w:val="21"/>
                <w:szCs w:val="21"/>
                <w:color w:val="auto"/>
                <w:vertAlign w:val="superscript"/>
              </w:rPr>
              <w:t>(2)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2,731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(4,135)</w:t>
            </w:r>
          </w:p>
        </w:tc>
      </w:tr>
      <w:tr>
        <w:trPr>
          <w:trHeight w:val="189"/>
        </w:trPr>
        <w:tc>
          <w:tcPr>
            <w:tcW w:w="7600" w:type="dxa"/>
            <w:vAlign w:val="bottom"/>
            <w:shd w:val="clear" w:color="auto" w:fill="CFF0FC"/>
          </w:tcPr>
          <w:p>
            <w:pPr>
              <w:ind w:left="280"/>
              <w:spacing w:after="0" w:line="189" w:lineRule="exact"/>
              <w:rPr>
                <w:sz w:val="20"/>
                <w:szCs w:val="20"/>
                <w:color w:val="auto"/>
              </w:rPr>
            </w:pPr>
            <w:r>
              <w:rPr>
                <w:rFonts w:ascii="Arial" w:cs="Arial" w:eastAsia="Arial" w:hAnsi="Arial"/>
                <w:sz w:val="16"/>
                <w:szCs w:val="16"/>
                <w:color w:val="auto"/>
              </w:rPr>
              <w:t xml:space="preserve">Accrued and other current liabilities </w:t>
            </w:r>
            <w:r>
              <w:rPr>
                <w:rFonts w:ascii="Arial" w:cs="Arial" w:eastAsia="Arial" w:hAnsi="Arial"/>
                <w:sz w:val="21"/>
                <w:szCs w:val="21"/>
                <w:color w:val="auto"/>
                <w:vertAlign w:val="superscript"/>
              </w:rPr>
              <w:t>(2)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524</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(3,161)</w:t>
            </w:r>
          </w:p>
        </w:tc>
      </w:tr>
      <w:tr>
        <w:trPr>
          <w:trHeight w:val="189"/>
        </w:trPr>
        <w:tc>
          <w:tcPr>
            <w:tcW w:w="7600" w:type="dxa"/>
            <w:vAlign w:val="bottom"/>
          </w:tcPr>
          <w:p>
            <w:pPr>
              <w:ind w:left="280"/>
              <w:spacing w:after="0"/>
              <w:rPr>
                <w:sz w:val="20"/>
                <w:szCs w:val="20"/>
                <w:color w:val="auto"/>
              </w:rPr>
            </w:pPr>
            <w:r>
              <w:rPr>
                <w:rFonts w:ascii="Arial" w:cs="Arial" w:eastAsia="Arial" w:hAnsi="Arial"/>
                <w:sz w:val="16"/>
                <w:szCs w:val="16"/>
                <w:color w:val="auto"/>
              </w:rPr>
              <w:t>Contract liabilities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(1,644)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(3,638)</w:t>
            </w:r>
          </w:p>
        </w:tc>
      </w:tr>
      <w:tr>
        <w:trPr>
          <w:trHeight w:val="189"/>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(3,020)</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(2,571)</w:t>
            </w:r>
          </w:p>
        </w:tc>
      </w:tr>
      <w:tr>
        <w:trPr>
          <w:trHeight w:val="189"/>
        </w:trPr>
        <w:tc>
          <w:tcPr>
            <w:tcW w:w="7600" w:type="dxa"/>
            <w:vAlign w:val="bottom"/>
          </w:tcPr>
          <w:p>
            <w:pPr>
              <w:ind w:left="280"/>
              <w:spacing w:after="0" w:line="189"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color w:val="auto"/>
                <w:vertAlign w:val="superscript"/>
              </w:rPr>
              <w:t>(2)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550</w:t>
            </w:r>
          </w:p>
        </w:tc>
      </w:tr>
      <w:tr>
        <w:trPr>
          <w:trHeight w:val="183"/>
        </w:trPr>
        <w:tc>
          <w:tcPr>
            <w:tcW w:w="7600" w:type="dxa"/>
            <w:vAlign w:val="bottom"/>
            <w:tcBorders>
              <w:bottom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Net cash used in operating activities</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(52,700)</w:t>
            </w:r>
          </w:p>
        </w:tc>
        <w:tc>
          <w:tcPr>
            <w:tcW w:w="18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(37,354)</w:t>
            </w:r>
          </w:p>
        </w:tc>
      </w:tr>
      <w:tr>
        <w:trPr>
          <w:trHeight w:val="183"/>
        </w:trPr>
        <w:tc>
          <w:tcPr>
            <w:tcW w:w="760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Purchases of available-for-sale debt securities</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(156,447)</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(76,769)</w:t>
            </w: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Proceeds from maturities of available-for-sale debt securities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152,685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68,000</w:t>
            </w: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(4,427)</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Proceeds from sales of property and equipment</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w:t>
            </w:r>
          </w:p>
        </w:tc>
      </w:tr>
      <w:tr>
        <w:trPr>
          <w:trHeight w:val="183"/>
        </w:trPr>
        <w:tc>
          <w:tcPr>
            <w:tcW w:w="7600" w:type="dxa"/>
            <w:vAlign w:val="bottom"/>
            <w:tcBorders>
              <w:bottom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(8,189)</w:t>
            </w:r>
          </w:p>
        </w:tc>
        <w:tc>
          <w:tcPr>
            <w:tcW w:w="18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(8,886)</w:t>
            </w:r>
          </w:p>
        </w:tc>
      </w:tr>
      <w:tr>
        <w:trPr>
          <w:trHeight w:val="183"/>
        </w:trPr>
        <w:tc>
          <w:tcPr>
            <w:tcW w:w="760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sales of common stock under ATM facility, net of commissions</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17,782</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30,079</w:t>
            </w: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Proceeds from exercise of Tempus Warrants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18,438</w:t>
            </w: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common stock under Tempus Investment Agreement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17,745</w:t>
            </w: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Payment of costs related to Tempus and Merck Investment Agreements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loans</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2,587</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Repayments of loans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(1,718)</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(822)</w:t>
            </w:r>
          </w:p>
        </w:tc>
      </w:tr>
      <w:tr>
        <w:trPr>
          <w:trHeight w:val="189"/>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Proceeds from issuance of common stock under equity incentive plans</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898</w:t>
            </w:r>
          </w:p>
        </w:tc>
        <w:tc>
          <w:tcPr>
            <w:tcW w:w="1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431</w:t>
            </w:r>
          </w:p>
        </w:tc>
      </w:tr>
      <w:tr>
        <w:trPr>
          <w:trHeight w:val="183"/>
        </w:trPr>
        <w:tc>
          <w:tcPr>
            <w:tcW w:w="7600" w:type="dxa"/>
            <w:vAlign w:val="bottom"/>
          </w:tcPr>
          <w:p>
            <w:pPr>
              <w:ind w:left="4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19,443</w:t>
            </w: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65,071</w:t>
            </w:r>
          </w:p>
        </w:tc>
      </w:tr>
      <w:tr>
        <w:trPr>
          <w:trHeight w:val="183"/>
        </w:trPr>
        <w:tc>
          <w:tcPr>
            <w:tcW w:w="7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Effect of exchange rates on cash, cash equivalents and restricted cash</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w:t>
            </w: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(41,442)</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18,816</w:t>
            </w:r>
          </w:p>
        </w:tc>
      </w:tr>
      <w:tr>
        <w:trPr>
          <w:trHeight w:val="189"/>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93,205</w:t>
            </w:r>
          </w:p>
        </w:tc>
        <w:tc>
          <w:tcPr>
            <w:tcW w:w="1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58,774</w:t>
            </w:r>
          </w:p>
        </w:tc>
      </w:tr>
      <w:tr>
        <w:trPr>
          <w:trHeight w:val="183"/>
        </w:trPr>
        <w:tc>
          <w:tcPr>
            <w:tcW w:w="7600" w:type="dxa"/>
            <w:vAlign w:val="bottom"/>
          </w:tcPr>
          <w:p>
            <w:pPr>
              <w:spacing w:after="0" w:line="169" w:lineRule="exact"/>
              <w:rPr>
                <w:sz w:val="20"/>
                <w:szCs w:val="20"/>
                <w:color w:val="auto"/>
              </w:rPr>
            </w:pPr>
            <w:r>
              <w:rPr>
                <w:rFonts w:ascii="Arial" w:cs="Arial" w:eastAsia="Arial" w:hAnsi="Arial"/>
                <w:sz w:val="16"/>
                <w:szCs w:val="16"/>
                <w:color w:val="auto"/>
              </w:rPr>
              <w:t>Cash, cash equivalents and restricted cash, end of period</w:t>
            </w:r>
          </w:p>
        </w:tc>
        <w:tc>
          <w:tcPr>
            <w:tcW w:w="44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51,763</w:t>
            </w:r>
          </w:p>
        </w:tc>
        <w:tc>
          <w:tcPr>
            <w:tcW w:w="52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77,590</w:t>
            </w:r>
          </w:p>
        </w:tc>
      </w:tr>
      <w:tr>
        <w:trPr>
          <w:trHeight w:val="20"/>
        </w:trPr>
        <w:tc>
          <w:tcPr>
            <w:tcW w:w="7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49,973</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75,800</w:t>
            </w:r>
          </w:p>
        </w:tc>
      </w:tr>
      <w:tr>
        <w:trPr>
          <w:trHeight w:val="189"/>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Restricted cash, included in other long-term assets</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1,790</w:t>
            </w:r>
          </w:p>
        </w:tc>
        <w:tc>
          <w:tcPr>
            <w:tcW w:w="1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1,790</w:t>
            </w:r>
          </w:p>
        </w:tc>
      </w:tr>
      <w:tr>
        <w:trPr>
          <w:trHeight w:val="183"/>
        </w:trPr>
        <w:tc>
          <w:tcPr>
            <w:tcW w:w="7600" w:type="dxa"/>
            <w:vAlign w:val="bottom"/>
          </w:tcPr>
          <w:p>
            <w:pPr>
              <w:ind w:left="140"/>
              <w:spacing w:after="0" w:line="169" w:lineRule="exact"/>
              <w:rPr>
                <w:sz w:val="20"/>
                <w:szCs w:val="20"/>
                <w:color w:val="auto"/>
              </w:rPr>
            </w:pPr>
            <w:r>
              <w:rPr>
                <w:rFonts w:ascii="Arial" w:cs="Arial" w:eastAsia="Arial" w:hAnsi="Arial"/>
                <w:sz w:val="16"/>
                <w:szCs w:val="16"/>
                <w:color w:val="auto"/>
              </w:rPr>
              <w:t>Total cash, cash equivalents and restricted cash</w:t>
            </w:r>
          </w:p>
        </w:tc>
        <w:tc>
          <w:tcPr>
            <w:tcW w:w="44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51,763</w:t>
            </w:r>
          </w:p>
        </w:tc>
        <w:tc>
          <w:tcPr>
            <w:tcW w:w="52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77,590</w:t>
            </w:r>
          </w:p>
        </w:tc>
      </w:tr>
      <w:tr>
        <w:trPr>
          <w:trHeight w:val="20"/>
        </w:trPr>
        <w:tc>
          <w:tcPr>
            <w:tcW w:w="7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Acquisition of property and equipment included in accounts payable and accrued liabilities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2,523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1,010</w:t>
            </w:r>
          </w:p>
        </w:tc>
      </w:tr>
      <w:tr>
        <w:trPr>
          <w:trHeight w:val="18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Right-of-use finance lease assets obtained in exchange for finance lease liabilities</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3,153</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-1268095</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-633730</wp:posOffset>
            </wp:positionV>
            <wp:extent cx="111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9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 change in related party receivable of $0.1 million for the nine months ended September 30, 2025.</w:t>
      </w:r>
    </w:p>
    <w:p>
      <w:pPr>
        <w:spacing w:after="0" w:line="15" w:lineRule="exact"/>
        <w:rPr>
          <w:rFonts w:ascii="Arial" w:cs="Arial" w:eastAsia="Arial" w:hAnsi="Arial"/>
          <w:sz w:val="14"/>
          <w:szCs w:val="14"/>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 change in related party liabilities of $2.7 million for the nine months ended September 30, 2025.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FOR NOTES TO CONSOLIDATED FINANCIAL STATEMENTS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Page</w:t>
            </w:r>
          </w:p>
        </w:tc>
      </w:tr>
      <w:tr>
        <w:trPr>
          <w:trHeight w:val="163"/>
        </w:trPr>
        <w:tc>
          <w:tcPr>
            <w:tcW w:w="13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6"/>
                <w:szCs w:val="16"/>
                <w:color w:val="auto"/>
              </w:rPr>
              <w:t>Note 1.</w:t>
            </w:r>
          </w:p>
        </w:tc>
        <w:tc>
          <w:tcPr>
            <w:tcW w:w="2420" w:type="dxa"/>
            <w:vAlign w:val="bottom"/>
            <w:tcBorders>
              <w:bottom w:val="single" w:sz="8" w:color="0000FF"/>
              <w:right w:val="single" w:sz="8" w:color="CFF0FC"/>
            </w:tcBorders>
            <w:gridSpan w:val="7"/>
            <w:shd w:val="clear" w:color="auto" w:fill="CFF0FC"/>
          </w:tcPr>
          <w:p>
            <w:pPr>
              <w:spacing w:after="0" w:line="155" w:lineRule="exact"/>
              <w:rPr>
                <w:sz w:val="20"/>
                <w:szCs w:val="20"/>
                <w:color w:val="auto"/>
              </w:rPr>
            </w:pPr>
            <w:r>
              <w:rPr>
                <w:rFonts w:ascii="Arial" w:cs="Arial" w:eastAsia="Arial" w:hAnsi="Arial"/>
                <w:sz w:val="16"/>
                <w:szCs w:val="16"/>
                <w:color w:val="0000FF"/>
                <w:w w:val="99"/>
              </w:rPr>
              <w:t>Company and Nature of Business</w:t>
            </w:r>
          </w:p>
        </w:tc>
        <w:tc>
          <w:tcPr>
            <w:tcW w:w="1000" w:type="dxa"/>
            <w:vAlign w:val="bottom"/>
            <w:tcBorders>
              <w:bottom w:val="single" w:sz="8" w:color="CFF0FC"/>
            </w:tcBorders>
            <w:gridSpan w:val="3"/>
            <w:shd w:val="clear" w:color="auto" w:fill="CFF0FC"/>
          </w:tcPr>
          <w:p>
            <w:pPr>
              <w:spacing w:after="0"/>
              <w:rPr>
                <w:sz w:val="14"/>
                <w:szCs w:val="14"/>
                <w:color w:val="auto"/>
              </w:rPr>
            </w:pPr>
          </w:p>
        </w:tc>
        <w:tc>
          <w:tcPr>
            <w:tcW w:w="6460" w:type="dxa"/>
            <w:vAlign w:val="bottom"/>
            <w:tcBorders>
              <w:bottom w:val="single" w:sz="8" w:color="CFF0FC"/>
            </w:tcBorders>
            <w:gridSpan w:val="2"/>
            <w:shd w:val="clear" w:color="auto" w:fill="CFF0FC"/>
          </w:tcPr>
          <w:p>
            <w:pPr>
              <w:jc w:val="center"/>
              <w:ind w:left="5399"/>
              <w:spacing w:after="0" w:line="155" w:lineRule="exact"/>
              <w:rPr>
                <w:sz w:val="20"/>
                <w:szCs w:val="20"/>
                <w:color w:val="auto"/>
              </w:rPr>
            </w:pPr>
            <w:r>
              <w:rPr>
                <w:rFonts w:ascii="Arial" w:cs="Arial" w:eastAsia="Arial" w:hAnsi="Arial"/>
                <w:sz w:val="16"/>
                <w:szCs w:val="16"/>
                <w:color w:val="auto"/>
              </w:rPr>
              <w:t>13</w:t>
            </w: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2.</w:t>
            </w:r>
          </w:p>
        </w:tc>
        <w:tc>
          <w:tcPr>
            <w:tcW w:w="3120" w:type="dxa"/>
            <w:vAlign w:val="bottom"/>
            <w:tcBorders>
              <w:bottom w:val="single" w:sz="8" w:color="0000FF"/>
            </w:tcBorders>
            <w:gridSpan w:val="9"/>
          </w:tcPr>
          <w:p>
            <w:pPr>
              <w:spacing w:after="0" w:line="162" w:lineRule="exact"/>
              <w:rPr>
                <w:sz w:val="20"/>
                <w:szCs w:val="20"/>
                <w:color w:val="auto"/>
              </w:rPr>
            </w:pPr>
            <w:r>
              <w:rPr>
                <w:rFonts w:ascii="Arial" w:cs="Arial" w:eastAsia="Arial" w:hAnsi="Arial"/>
                <w:sz w:val="16"/>
                <w:szCs w:val="16"/>
                <w:color w:val="0000FF"/>
              </w:rPr>
              <w:t>Summary of Significant Accounting Policies</w:t>
            </w:r>
          </w:p>
        </w:tc>
        <w:tc>
          <w:tcPr>
            <w:tcW w:w="300" w:type="dxa"/>
            <w:vAlign w:val="bottom"/>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13</w:t>
            </w:r>
          </w:p>
        </w:tc>
      </w:tr>
      <w:tr>
        <w:trPr>
          <w:trHeight w:val="162"/>
        </w:trPr>
        <w:tc>
          <w:tcPr>
            <w:tcW w:w="136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Note 3.</w:t>
            </w:r>
          </w:p>
        </w:tc>
        <w:tc>
          <w:tcPr>
            <w:tcW w:w="342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Revenue</w:t>
            </w:r>
          </w:p>
        </w:tc>
        <w:tc>
          <w:tcPr>
            <w:tcW w:w="6460" w:type="dxa"/>
            <w:vAlign w:val="bottom"/>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15</w:t>
            </w:r>
          </w:p>
        </w:tc>
      </w:tr>
      <w:tr>
        <w:trPr>
          <w:trHeight w:val="27"/>
        </w:trPr>
        <w:tc>
          <w:tcPr>
            <w:tcW w:w="136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420" w:type="dxa"/>
            <w:vAlign w:val="bottom"/>
            <w:tcBorders>
              <w:righ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4.</w:t>
            </w:r>
          </w:p>
        </w:tc>
        <w:tc>
          <w:tcPr>
            <w:tcW w:w="1600" w:type="dxa"/>
            <w:vAlign w:val="bottom"/>
            <w:tcBorders>
              <w:bottom w:val="single" w:sz="8" w:color="0000FF"/>
            </w:tcBorders>
            <w:gridSpan w:val="4"/>
          </w:tcPr>
          <w:p>
            <w:pPr>
              <w:spacing w:after="0" w:line="162" w:lineRule="exact"/>
              <w:rPr>
                <w:sz w:val="20"/>
                <w:szCs w:val="20"/>
                <w:color w:val="auto"/>
              </w:rPr>
            </w:pPr>
            <w:r>
              <w:rPr>
                <w:rFonts w:ascii="Arial" w:cs="Arial" w:eastAsia="Arial" w:hAnsi="Arial"/>
                <w:sz w:val="16"/>
                <w:szCs w:val="16"/>
                <w:color w:val="0000FF"/>
              </w:rPr>
              <w:t>Balance Sheet Details</w:t>
            </w:r>
          </w:p>
        </w:tc>
        <w:tc>
          <w:tcPr>
            <w:tcW w:w="1820" w:type="dxa"/>
            <w:vAlign w:val="bottom"/>
            <w:gridSpan w:val="6"/>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16</w:t>
            </w:r>
          </w:p>
        </w:tc>
      </w:tr>
      <w:tr>
        <w:trPr>
          <w:trHeight w:val="169"/>
        </w:trPr>
        <w:tc>
          <w:tcPr>
            <w:tcW w:w="136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6"/>
                <w:szCs w:val="16"/>
                <w:color w:val="auto"/>
              </w:rPr>
              <w:t>Note 5.</w:t>
            </w:r>
          </w:p>
        </w:tc>
        <w:tc>
          <w:tcPr>
            <w:tcW w:w="1860" w:type="dxa"/>
            <w:vAlign w:val="bottom"/>
            <w:tcBorders>
              <w:bottom w:val="single" w:sz="8" w:color="0000FF"/>
            </w:tcBorders>
            <w:gridSpan w:val="5"/>
            <w:shd w:val="clear" w:color="auto" w:fill="CFF0FC"/>
          </w:tcPr>
          <w:p>
            <w:pPr>
              <w:spacing w:after="0" w:line="162" w:lineRule="exact"/>
              <w:rPr>
                <w:sz w:val="20"/>
                <w:szCs w:val="20"/>
                <w:color w:val="auto"/>
              </w:rPr>
            </w:pPr>
            <w:r>
              <w:rPr>
                <w:rFonts w:ascii="Arial" w:cs="Arial" w:eastAsia="Arial" w:hAnsi="Arial"/>
                <w:sz w:val="16"/>
                <w:szCs w:val="16"/>
                <w:color w:val="0000FF"/>
              </w:rPr>
              <w:t>Fair Value Measurements</w:t>
            </w:r>
          </w:p>
        </w:tc>
        <w:tc>
          <w:tcPr>
            <w:tcW w:w="1560" w:type="dxa"/>
            <w:vAlign w:val="bottom"/>
            <w:tcBorders>
              <w:bottom w:val="single" w:sz="8" w:color="CFF0FC"/>
            </w:tcBorders>
            <w:gridSpan w:val="5"/>
            <w:shd w:val="clear" w:color="auto" w:fill="CFF0FC"/>
          </w:tcPr>
          <w:p>
            <w:pPr>
              <w:spacing w:after="0"/>
              <w:rPr>
                <w:sz w:val="14"/>
                <w:szCs w:val="14"/>
                <w:color w:val="auto"/>
              </w:rPr>
            </w:pPr>
          </w:p>
        </w:tc>
        <w:tc>
          <w:tcPr>
            <w:tcW w:w="6460" w:type="dxa"/>
            <w:vAlign w:val="bottom"/>
            <w:tcBorders>
              <w:bottom w:val="single" w:sz="8" w:color="CFF0FC"/>
            </w:tcBorders>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17</w:t>
            </w: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6.</w:t>
            </w:r>
          </w:p>
        </w:tc>
        <w:tc>
          <w:tcPr>
            <w:tcW w:w="440" w:type="dxa"/>
            <w:vAlign w:val="bottom"/>
            <w:tcBorders>
              <w:bottom w:val="single" w:sz="8" w:color="0000FF"/>
            </w:tcBorders>
          </w:tcPr>
          <w:p>
            <w:pPr>
              <w:spacing w:after="0" w:line="162" w:lineRule="exact"/>
              <w:rPr>
                <w:sz w:val="20"/>
                <w:szCs w:val="20"/>
                <w:color w:val="auto"/>
              </w:rPr>
            </w:pPr>
            <w:r>
              <w:rPr>
                <w:rFonts w:ascii="Arial" w:cs="Arial" w:eastAsia="Arial" w:hAnsi="Arial"/>
                <w:sz w:val="16"/>
                <w:szCs w:val="16"/>
                <w:color w:val="0000FF"/>
                <w:w w:val="96"/>
              </w:rPr>
              <w:t>Loans</w:t>
            </w:r>
          </w:p>
        </w:tc>
        <w:tc>
          <w:tcPr>
            <w:tcW w:w="2980" w:type="dxa"/>
            <w:vAlign w:val="bottom"/>
            <w:gridSpan w:val="9"/>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18</w:t>
            </w:r>
          </w:p>
        </w:tc>
      </w:tr>
      <w:tr>
        <w:trPr>
          <w:trHeight w:val="162"/>
        </w:trPr>
        <w:tc>
          <w:tcPr>
            <w:tcW w:w="136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Note 7.</w:t>
            </w:r>
          </w:p>
        </w:tc>
        <w:tc>
          <w:tcPr>
            <w:tcW w:w="342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Leases</w:t>
            </w:r>
          </w:p>
        </w:tc>
        <w:tc>
          <w:tcPr>
            <w:tcW w:w="6460" w:type="dxa"/>
            <w:vAlign w:val="bottom"/>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19</w:t>
            </w:r>
          </w:p>
        </w:tc>
      </w:tr>
      <w:tr>
        <w:trPr>
          <w:trHeight w:val="27"/>
        </w:trPr>
        <w:tc>
          <w:tcPr>
            <w:tcW w:w="136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420" w:type="dxa"/>
            <w:vAlign w:val="bottom"/>
            <w:tcBorders>
              <w:righ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8.</w:t>
            </w:r>
          </w:p>
        </w:tc>
        <w:tc>
          <w:tcPr>
            <w:tcW w:w="2000" w:type="dxa"/>
            <w:vAlign w:val="bottom"/>
            <w:tcBorders>
              <w:bottom w:val="single" w:sz="8" w:color="0000FF"/>
            </w:tcBorders>
            <w:gridSpan w:val="6"/>
          </w:tcPr>
          <w:p>
            <w:pPr>
              <w:spacing w:after="0" w:line="162" w:lineRule="exact"/>
              <w:rPr>
                <w:sz w:val="20"/>
                <w:szCs w:val="20"/>
                <w:color w:val="auto"/>
              </w:rPr>
            </w:pPr>
            <w:r>
              <w:rPr>
                <w:rFonts w:ascii="Arial" w:cs="Arial" w:eastAsia="Arial" w:hAnsi="Arial"/>
                <w:sz w:val="16"/>
                <w:szCs w:val="16"/>
                <w:color w:val="0000FF"/>
              </w:rPr>
              <w:t>Related Party Transactions</w:t>
            </w:r>
          </w:p>
        </w:tc>
        <w:tc>
          <w:tcPr>
            <w:tcW w:w="1420" w:type="dxa"/>
            <w:vAlign w:val="bottom"/>
            <w:gridSpan w:val="4"/>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20</w:t>
            </w:r>
          </w:p>
        </w:tc>
      </w:tr>
      <w:tr>
        <w:trPr>
          <w:trHeight w:val="162"/>
        </w:trPr>
        <w:tc>
          <w:tcPr>
            <w:tcW w:w="136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Note 9.</w:t>
            </w:r>
          </w:p>
        </w:tc>
        <w:tc>
          <w:tcPr>
            <w:tcW w:w="342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Stock-Based Compensation</w:t>
            </w:r>
          </w:p>
        </w:tc>
        <w:tc>
          <w:tcPr>
            <w:tcW w:w="6460" w:type="dxa"/>
            <w:vAlign w:val="bottom"/>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23</w:t>
            </w:r>
          </w:p>
        </w:tc>
      </w:tr>
      <w:tr>
        <w:trPr>
          <w:trHeight w:val="27"/>
        </w:trPr>
        <w:tc>
          <w:tcPr>
            <w:tcW w:w="136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10.</w:t>
            </w:r>
          </w:p>
        </w:tc>
        <w:tc>
          <w:tcPr>
            <w:tcW w:w="2700" w:type="dxa"/>
            <w:vAlign w:val="bottom"/>
            <w:tcBorders>
              <w:bottom w:val="single" w:sz="8" w:color="0000FF"/>
            </w:tcBorders>
            <w:gridSpan w:val="8"/>
          </w:tcPr>
          <w:p>
            <w:pPr>
              <w:spacing w:after="0" w:line="162" w:lineRule="exact"/>
              <w:rPr>
                <w:sz w:val="20"/>
                <w:szCs w:val="20"/>
                <w:color w:val="auto"/>
              </w:rPr>
            </w:pPr>
            <w:r>
              <w:rPr>
                <w:rFonts w:ascii="Arial" w:cs="Arial" w:eastAsia="Arial" w:hAnsi="Arial"/>
                <w:sz w:val="16"/>
                <w:szCs w:val="16"/>
                <w:color w:val="0000FF"/>
              </w:rPr>
              <w:t>Segment and Geographic Information</w:t>
            </w:r>
          </w:p>
        </w:tc>
        <w:tc>
          <w:tcPr>
            <w:tcW w:w="720" w:type="dxa"/>
            <w:vAlign w:val="bottom"/>
            <w:gridSpan w:val="2"/>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25</w:t>
            </w:r>
          </w:p>
        </w:tc>
      </w:tr>
      <w:tr>
        <w:trPr>
          <w:trHeight w:val="162"/>
        </w:trPr>
        <w:tc>
          <w:tcPr>
            <w:tcW w:w="136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Note 11.</w:t>
            </w:r>
          </w:p>
        </w:tc>
        <w:tc>
          <w:tcPr>
            <w:tcW w:w="342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Commitments and Contingencies</w:t>
            </w:r>
          </w:p>
        </w:tc>
        <w:tc>
          <w:tcPr>
            <w:tcW w:w="6460" w:type="dxa"/>
            <w:vAlign w:val="bottom"/>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26</w:t>
            </w:r>
          </w:p>
        </w:tc>
      </w:tr>
      <w:tr>
        <w:trPr>
          <w:trHeight w:val="27"/>
        </w:trPr>
        <w:tc>
          <w:tcPr>
            <w:tcW w:w="136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CFF0FC"/>
            </w:tcBorders>
            <w:shd w:val="clear" w:color="auto" w:fill="0000FF"/>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r>
        <w:trPr>
          <w:trHeight w:val="162"/>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12.</w:t>
            </w:r>
          </w:p>
        </w:tc>
        <w:tc>
          <w:tcPr>
            <w:tcW w:w="3420" w:type="dxa"/>
            <w:vAlign w:val="bottom"/>
            <w:tcBorders>
              <w:bottom w:val="single" w:sz="8" w:color="0000FF"/>
            </w:tcBorders>
            <w:gridSpan w:val="10"/>
          </w:tcPr>
          <w:p>
            <w:pPr>
              <w:spacing w:after="0" w:line="162" w:lineRule="exact"/>
              <w:rPr>
                <w:sz w:val="20"/>
                <w:szCs w:val="20"/>
                <w:color w:val="auto"/>
              </w:rPr>
            </w:pPr>
            <w:r>
              <w:rPr>
                <w:rFonts w:ascii="Arial" w:cs="Arial" w:eastAsia="Arial" w:hAnsi="Arial"/>
                <w:sz w:val="16"/>
                <w:szCs w:val="16"/>
                <w:color w:val="0000FF"/>
              </w:rPr>
              <w:t>Basic and Diluted Net Loss Per Common Share</w:t>
            </w: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27</w:t>
            </w:r>
          </w:p>
        </w:tc>
      </w:tr>
      <w:tr>
        <w:trPr>
          <w:trHeight w:val="639"/>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jc w:val="right"/>
              <w:ind w:right="4439"/>
              <w:spacing w:after="0"/>
              <w:rPr>
                <w:sz w:val="20"/>
                <w:szCs w:val="20"/>
                <w:color w:val="auto"/>
              </w:rPr>
            </w:pPr>
            <w:r>
              <w:rPr>
                <w:rFonts w:ascii="Arial" w:cs="Arial" w:eastAsia="Arial" w:hAnsi="Arial"/>
                <w:sz w:val="16"/>
                <w:szCs w:val="16"/>
                <w:color w:val="auto"/>
              </w:rPr>
              <w:t>12</w:t>
            </w:r>
          </w:p>
        </w:tc>
        <w:tc>
          <w:tcPr>
            <w:tcW w:w="1000" w:type="dxa"/>
            <w:vAlign w:val="bottom"/>
          </w:tcPr>
          <w:p>
            <w:pPr>
              <w:spacing w:after="0"/>
              <w:rPr>
                <w:sz w:val="24"/>
                <w:szCs w:val="24"/>
                <w:color w:val="auto"/>
              </w:rPr>
            </w:pPr>
          </w:p>
        </w:tc>
      </w:tr>
      <w:tr>
        <w:trPr>
          <w:trHeight w:val="752"/>
        </w:trPr>
        <w:tc>
          <w:tcPr>
            <w:tcW w:w="1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Personalis, Inc. (the "Company" or "Personalis") develops, markets, and sells advanced cancer genomic tests and services. The services are used by pharmaceutical companies for translational research, biomarker discovery, the development of personalized cancer therapies, and for clinical trials. The clinical version of the tests are used by physicians to detect residual or recurrent cancer in patients, monitor cancer response to therapy, and uncover insights for therapy selection. The Company also provides whole exome and whole genome sequencing ("WGS") services for other diagnostic companies and population sequencing initiatives. The principal markets for the Company’s tests and services are in the United States and Europe.</w:t>
      </w:r>
    </w:p>
    <w:p>
      <w:pPr>
        <w:spacing w:after="0" w:line="153"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is expanding its business model to offer genomic tests directly to cancer patients in a clinical setting. However, revenue generated from clinical patients was not significant for any periods presented in these consolidated financial statements.</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The Company terminated its operations in China and completed the process of dissolving the Personalis (Shanghai) Ltd entity in February 2024. The Company operates and manages its business as one reportable operating segment, which is providing advanced cancer genomic tests and services for precision oncology applications, personalized testing, and other tests.</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unaudited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note disclosures normally included in the financial statements prepared in accordance with U.S. GAAP have been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2024.</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consolidated financial statements include the accounts of Personalis, Inc. and its wholly owned subsidiaries, Personalis (UK) Ltd. and Personalis (Shanghai) Ltd (the latter entity until its dissolution during the first quarter of 2024). All intercompany balances and transactions have been eliminated in consolidation. Upon dissolution of Personalis (Shanghai) Ltd during the first quarter of 2024, an accumulated foreign currency translation adjustment of $0.2 million was reclassified from accumulated other comprehensive loss to net loss within Other income (expense), net.</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consolidated financial statements reflect all normal recurring adjustments that are necessary to present fairly the results for the interim periods presented. Interim results are not necessarily indicative of the results for the full year ending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common stock warrants, provisions for income taxes, and fair value of lease right-of-use assets. Actual results could differ from these estimates, and such differences could be material to the Company’s consolidated financial position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At-the-Market Equity Offerings</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December 2021, the Company entered into an At-the-Market ("ATM") Sales Agreement with BTIG, LLC (“BTIG”), as amended in December 2023 (the “Sales Agreement”), under which it was permitted to offer and sell its common stock from time to time through BTIG as its sales agent. BTIG agreed to use commercially reasonable efforts to sell the Company’s common stock from time to time, based upon instructions from the Company (including any price, time or size limits or other customary parameters or conditions the Company may impose). The Company agreed to pay BTIG a commission of up to 3% of the gross sales proceeds of any common stock sold through BTIG under the Sales Agreement. The Company was not obligated to make any sales of common stock under the Sales Agreement.</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December 2024, the Company entered into an Amended and Restated At-the-Market Sales Agreement (the "Amended Sales Agreement") with Piper Sandler &amp; Co. (“Piper”) and BTIG. The Amended Sales Agreement amends and restates the Sales Agreement to add Piper as a sales agent (Piper and BTIG, together, the “Sales Agents”), among certain other changes. The Sales Agents have agreed to use commercially reasonable efforts to sell the Company's common stock from time to time, based upon instructions from the Company (including any price, time or size limits or other customary parameters or conditions the Company may impose). The Company agreed to pay the applicable Sales Agent a commission of up to 3% of the gross sales proceeds of any common stock sold through such Sales Agent under the Amended Sales Agreement. The Company is not obligated to make any sales of common stock under the Amended Sales Agreement</w:t>
      </w:r>
      <w:r>
        <w:rPr>
          <w:rFonts w:ascii="Arial" w:cs="Arial" w:eastAsia="Arial" w:hAnsi="Arial"/>
          <w:sz w:val="16"/>
          <w:szCs w:val="16"/>
          <w:u w:val="single" w:color="auto"/>
          <w:color w:val="auto"/>
        </w:rPr>
        <w:t>.</w:t>
      </w:r>
    </w:p>
    <w:p>
      <w:pPr>
        <w:spacing w:after="0" w:line="141"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During the three months ended September 30, 2025, there were no shares of common stock issued and sold under the Amended Sales Agreement. During the nine months ended September 30, 2025, the Company issued and sold 3,064,152 shares of its common stock under the Amended Sales Agreement at a weighted-average price of $5.89 per share and received $17.8 million in proceeds, net of commissions.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3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also invests in investment-grade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purchases various reagents and sequencing materials from sole-source suppliers. Any extended interruption in the supply of these materials could result in the Company’s inability to secure sufficient materials to conduct business and meet customer demand.</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3"/>
          </w:tcPr>
          <w:p>
            <w:pPr>
              <w:ind w:left="780"/>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2420" w:type="dxa"/>
            <w:vAlign w:val="bottom"/>
            <w:tcBorders>
              <w:top w:val="single" w:sz="8" w:color="auto"/>
            </w:tcBorders>
            <w:gridSpan w:val="5"/>
          </w:tcPr>
          <w:p>
            <w:pPr>
              <w:jc w:val="center"/>
              <w:spacing w:after="0" w:line="153" w:lineRule="exact"/>
              <w:rPr>
                <w:sz w:val="20"/>
                <w:szCs w:val="20"/>
                <w:color w:val="auto"/>
              </w:rPr>
            </w:pPr>
            <w:r>
              <w:rPr>
                <w:rFonts w:ascii="Arial" w:cs="Arial" w:eastAsia="Arial" w:hAnsi="Arial"/>
                <w:sz w:val="14"/>
                <w:szCs w:val="14"/>
                <w:b w:val="1"/>
                <w:bCs w:val="1"/>
                <w:color w:val="auto"/>
              </w:rPr>
              <w:t>Three Months Ended September</w:t>
            </w:r>
          </w:p>
        </w:tc>
        <w:tc>
          <w:tcPr>
            <w:tcW w:w="140" w:type="dxa"/>
            <w:vAlign w:val="bottom"/>
          </w:tcPr>
          <w:p>
            <w:pPr>
              <w:spacing w:after="0"/>
              <w:rPr>
                <w:sz w:val="13"/>
                <w:szCs w:val="13"/>
                <w:color w:val="auto"/>
              </w:rPr>
            </w:pPr>
          </w:p>
        </w:tc>
        <w:tc>
          <w:tcPr>
            <w:tcW w:w="24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vMerge w:val="restart"/>
          </w:tcPr>
          <w:p>
            <w:pPr>
              <w:spacing w:after="0"/>
              <w:rPr>
                <w:sz w:val="13"/>
                <w:szCs w:val="13"/>
                <w:color w:val="auto"/>
              </w:rPr>
            </w:pPr>
          </w:p>
        </w:tc>
        <w:tc>
          <w:tcPr>
            <w:tcW w:w="13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15"/>
        </w:trPr>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gridSpan w:val="3"/>
            <w:vMerge w:val="restart"/>
          </w:tcPr>
          <w:p>
            <w:pPr>
              <w:jc w:val="right"/>
              <w:ind w:right="728"/>
              <w:spacing w:after="0"/>
              <w:rPr>
                <w:sz w:val="20"/>
                <w:szCs w:val="20"/>
                <w:color w:val="auto"/>
              </w:rPr>
            </w:pPr>
            <w:r>
              <w:rPr>
                <w:rFonts w:ascii="Arial" w:cs="Arial" w:eastAsia="Arial" w:hAnsi="Arial"/>
                <w:sz w:val="14"/>
                <w:szCs w:val="14"/>
                <w:b w:val="1"/>
                <w:bCs w:val="1"/>
                <w:color w:val="auto"/>
              </w:rPr>
              <w:t>30,</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3"/>
            <w:vMerge w:val="continue"/>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920" w:type="dxa"/>
            <w:vAlign w:val="bottom"/>
            <w:tcBorders>
              <w:bottom w:val="single" w:sz="8" w:color="auto"/>
            </w:tcBorders>
          </w:tcPr>
          <w:p>
            <w:pPr>
              <w:jc w:val="center"/>
              <w:ind w:left="121"/>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jc w:val="center"/>
              <w:ind w:left="208"/>
              <w:spacing w:after="0" w:line="155" w:lineRule="exact"/>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ModernaTX, Inc.</w:t>
            </w:r>
          </w:p>
        </w:tc>
        <w:tc>
          <w:tcPr>
            <w:tcW w:w="920" w:type="dxa"/>
            <w:vAlign w:val="bottom"/>
            <w:shd w:val="clear" w:color="auto" w:fill="CFF0FC"/>
          </w:tcPr>
          <w:p>
            <w:pPr>
              <w:jc w:val="center"/>
              <w:ind w:left="121"/>
              <w:spacing w:after="0" w:line="183" w:lineRule="exact"/>
              <w:rPr>
                <w:sz w:val="20"/>
                <w:szCs w:val="20"/>
                <w:color w:val="auto"/>
              </w:rPr>
            </w:pPr>
            <w:r>
              <w:rPr>
                <w:rFonts w:ascii="Arial" w:cs="Arial" w:eastAsia="Arial" w:hAnsi="Arial"/>
                <w:sz w:val="16"/>
                <w:szCs w:val="16"/>
                <w:color w:val="auto"/>
                <w:w w:val="99"/>
              </w:rPr>
              <w:t>19%</w:t>
            </w:r>
          </w:p>
        </w:tc>
        <w:tc>
          <w:tcPr>
            <w:tcW w:w="1180" w:type="dxa"/>
            <w:vAlign w:val="bottom"/>
            <w:gridSpan w:val="3"/>
            <w:shd w:val="clear" w:color="auto" w:fill="CFF0FC"/>
          </w:tcPr>
          <w:p>
            <w:pPr>
              <w:jc w:val="center"/>
              <w:ind w:left="600"/>
              <w:spacing w:after="0" w:line="183" w:lineRule="exact"/>
              <w:rPr>
                <w:sz w:val="20"/>
                <w:szCs w:val="20"/>
                <w:color w:val="auto"/>
              </w:rPr>
            </w:pPr>
            <w:r>
              <w:rPr>
                <w:rFonts w:ascii="Arial" w:cs="Arial" w:eastAsia="Arial" w:hAnsi="Arial"/>
                <w:sz w:val="16"/>
                <w:szCs w:val="16"/>
                <w:color w:val="auto"/>
              </w:rPr>
              <w:t>33%</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w w:val="99"/>
              </w:rPr>
              <w:t>25%</w:t>
            </w:r>
          </w:p>
        </w:tc>
        <w:tc>
          <w:tcPr>
            <w:tcW w:w="1280" w:type="dxa"/>
            <w:vAlign w:val="bottom"/>
            <w:gridSpan w:val="2"/>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w w:val="99"/>
              </w:rPr>
              <w:t>28%</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11%</w:t>
            </w:r>
          </w:p>
        </w:tc>
        <w:tc>
          <w:tcPr>
            <w:tcW w:w="1620" w:type="dxa"/>
            <w:vAlign w:val="bottom"/>
            <w:gridSpan w:val="2"/>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color w:val="auto"/>
              </w:rPr>
              <w:t>Regeneron Pharmaceuticals</w:t>
            </w:r>
          </w:p>
        </w:tc>
        <w:tc>
          <w:tcPr>
            <w:tcW w:w="920" w:type="dxa"/>
            <w:vAlign w:val="bottom"/>
          </w:tcPr>
          <w:p>
            <w:pPr>
              <w:jc w:val="center"/>
              <w:ind w:left="121"/>
              <w:spacing w:after="0"/>
              <w:rPr>
                <w:sz w:val="20"/>
                <w:szCs w:val="20"/>
                <w:color w:val="auto"/>
              </w:rPr>
            </w:pPr>
            <w:r>
              <w:rPr>
                <w:rFonts w:ascii="Arial" w:cs="Arial" w:eastAsia="Arial" w:hAnsi="Arial"/>
                <w:sz w:val="16"/>
                <w:szCs w:val="16"/>
                <w:color w:val="auto"/>
                <w:w w:val="99"/>
              </w:rPr>
              <w:t>19%</w:t>
            </w:r>
          </w:p>
        </w:tc>
        <w:tc>
          <w:tcPr>
            <w:tcW w:w="1180" w:type="dxa"/>
            <w:vAlign w:val="bottom"/>
            <w:gridSpan w:val="3"/>
          </w:tcPr>
          <w:p>
            <w:pPr>
              <w:jc w:val="center"/>
              <w:ind w:left="600"/>
              <w:spacing w:after="0"/>
              <w:rPr>
                <w:sz w:val="20"/>
                <w:szCs w:val="20"/>
                <w:color w:val="auto"/>
              </w:rPr>
            </w:pPr>
            <w:r>
              <w:rPr>
                <w:rFonts w:ascii="Arial" w:cs="Arial" w:eastAsia="Arial" w:hAnsi="Arial"/>
                <w:sz w:val="16"/>
                <w:szCs w:val="16"/>
                <w:color w:val="auto"/>
                <w:w w:val="95"/>
              </w:rPr>
              <w:t>*</w:t>
            </w:r>
          </w:p>
        </w:tc>
        <w:tc>
          <w:tcPr>
            <w:tcW w:w="320" w:type="dxa"/>
            <w:vAlign w:val="bottom"/>
          </w:tcPr>
          <w:p>
            <w:pPr>
              <w:spacing w:after="0"/>
              <w:rPr>
                <w:sz w:val="16"/>
                <w:szCs w:val="16"/>
                <w:color w:val="auto"/>
              </w:rPr>
            </w:pP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w:t>
            </w:r>
          </w:p>
        </w:tc>
        <w:tc>
          <w:tcPr>
            <w:tcW w:w="1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19%</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920" w:type="dxa"/>
            <w:vAlign w:val="bottom"/>
            <w:shd w:val="clear" w:color="auto" w:fill="CFF0FC"/>
          </w:tcPr>
          <w:p>
            <w:pPr>
              <w:jc w:val="center"/>
              <w:ind w:left="121"/>
              <w:spacing w:after="0"/>
              <w:rPr>
                <w:sz w:val="20"/>
                <w:szCs w:val="20"/>
                <w:color w:val="auto"/>
              </w:rPr>
            </w:pPr>
            <w:r>
              <w:rPr>
                <w:rFonts w:ascii="Arial" w:cs="Arial" w:eastAsia="Arial" w:hAnsi="Arial"/>
                <w:sz w:val="16"/>
                <w:szCs w:val="16"/>
                <w:color w:val="auto"/>
                <w:w w:val="99"/>
              </w:rPr>
              <w:t>11%</w:t>
            </w:r>
          </w:p>
        </w:tc>
        <w:tc>
          <w:tcPr>
            <w:tcW w:w="1180" w:type="dxa"/>
            <w:vAlign w:val="bottom"/>
            <w:gridSpan w:val="3"/>
            <w:shd w:val="clear" w:color="auto" w:fill="CFF0FC"/>
          </w:tcPr>
          <w:p>
            <w:pPr>
              <w:jc w:val="center"/>
              <w:ind w:left="600"/>
              <w:spacing w:after="0"/>
              <w:rPr>
                <w:sz w:val="20"/>
                <w:szCs w:val="20"/>
                <w:color w:val="auto"/>
              </w:rPr>
            </w:pPr>
            <w:r>
              <w:rPr>
                <w:rFonts w:ascii="Arial" w:cs="Arial" w:eastAsia="Arial" w:hAnsi="Arial"/>
                <w:sz w:val="16"/>
                <w:szCs w:val="16"/>
                <w:color w:val="auto"/>
                <w:w w:val="95"/>
              </w:rPr>
              <w:t>*</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12%</w:t>
            </w:r>
          </w:p>
        </w:tc>
        <w:tc>
          <w:tcPr>
            <w:tcW w:w="162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9"/>
              </w:rPr>
              <w:t>25%</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color w:val="auto"/>
              </w:rPr>
              <w:t>Natera, Inc.</w:t>
            </w:r>
          </w:p>
        </w:tc>
        <w:tc>
          <w:tcPr>
            <w:tcW w:w="920" w:type="dxa"/>
            <w:vAlign w:val="bottom"/>
          </w:tcPr>
          <w:p>
            <w:pPr>
              <w:jc w:val="center"/>
              <w:ind w:left="121"/>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center"/>
              <w:ind w:left="600"/>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6"/>
                <w:szCs w:val="16"/>
                <w:color w:val="auto"/>
              </w:rPr>
            </w:pP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10%</w:t>
            </w:r>
          </w:p>
        </w:tc>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31%</w:t>
            </w:r>
          </w:p>
        </w:tc>
        <w:tc>
          <w:tcPr>
            <w:tcW w:w="1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6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189"/>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Merck &amp; Co., Inc.</w:t>
            </w:r>
          </w:p>
        </w:tc>
        <w:tc>
          <w:tcPr>
            <w:tcW w:w="920" w:type="dxa"/>
            <w:vAlign w:val="bottom"/>
            <w:shd w:val="clear" w:color="auto" w:fill="CFF0FC"/>
          </w:tcPr>
          <w:p>
            <w:pPr>
              <w:jc w:val="center"/>
              <w:ind w:left="121"/>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FF0FC"/>
          </w:tcPr>
          <w:p>
            <w:pPr>
              <w:jc w:val="center"/>
              <w:ind w:left="600"/>
              <w:spacing w:after="0"/>
              <w:rPr>
                <w:sz w:val="20"/>
                <w:szCs w:val="20"/>
                <w:color w:val="auto"/>
              </w:rPr>
            </w:pPr>
            <w:r>
              <w:rPr>
                <w:rFonts w:ascii="Arial" w:cs="Arial" w:eastAsia="Arial" w:hAnsi="Arial"/>
                <w:sz w:val="16"/>
                <w:szCs w:val="16"/>
                <w:color w:val="auto"/>
                <w:w w:val="95"/>
              </w:rPr>
              <w:t>*</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18%</w:t>
            </w:r>
          </w:p>
        </w:tc>
        <w:tc>
          <w:tcPr>
            <w:tcW w:w="162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9"/>
              </w:rPr>
              <w:t>31%</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20"/>
                <w:szCs w:val="20"/>
                <w:color w:val="auto"/>
              </w:rPr>
            </w:pPr>
            <w:r>
              <w:rPr>
                <w:rFonts w:ascii="Arial" w:cs="Arial" w:eastAsia="Arial" w:hAnsi="Arial"/>
                <w:sz w:val="16"/>
                <w:szCs w:val="16"/>
                <w:color w:val="auto"/>
              </w:rPr>
              <w:t>VA MVP</w:t>
            </w:r>
          </w:p>
        </w:tc>
        <w:tc>
          <w:tcPr>
            <w:tcW w:w="920" w:type="dxa"/>
            <w:vAlign w:val="bottom"/>
          </w:tcPr>
          <w:p>
            <w:pPr>
              <w:jc w:val="center"/>
              <w:ind w:left="121"/>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center"/>
              <w:ind w:left="600"/>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15%</w:t>
            </w:r>
          </w:p>
        </w:tc>
        <w:tc>
          <w:tcPr>
            <w:tcW w:w="12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-1082675</wp:posOffset>
            </wp:positionV>
            <wp:extent cx="119380" cy="248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9380" cy="248285"/>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-1082675</wp:posOffset>
            </wp:positionV>
            <wp:extent cx="120015" cy="248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2482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Less than 10% of revenue or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As of September 30, 2025, the Company’s significant accounting policies are consistent with those discussed in Note 2 - “Summary of Significant Accounting Policies” in its consolidated financial statements included in the Company’s Annual Report on Form 10-K for the year ended December 31, 2024.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 xml:space="preserve">In December 2023, the FASB issued ASU No. 2023-09, </w:t>
      </w:r>
      <w:r>
        <w:rPr>
          <w:rFonts w:ascii="Arial" w:cs="Arial" w:eastAsia="Arial" w:hAnsi="Arial"/>
          <w:sz w:val="16"/>
          <w:szCs w:val="16"/>
          <w:i w:val="1"/>
          <w:iCs w:val="1"/>
          <w:color w:val="auto"/>
        </w:rPr>
        <w:t>Income Taxes (Topic 740): Improvements to Income Tax Disclosures ("ASU 2023-09")</w:t>
      </w:r>
      <w:r>
        <w:rPr>
          <w:rFonts w:ascii="Arial" w:cs="Arial" w:eastAsia="Arial" w:hAnsi="Arial"/>
          <w:sz w:val="16"/>
          <w:szCs w:val="16"/>
          <w:color w:val="auto"/>
        </w:rPr>
        <w:t>, which modifies the rules on income tax disclosures to require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annual periods beginning after December 15, 2024, with early adoption permitted. ASU 2023-09 should be applied on a prospective basis, but retrospective application is permitted. The Company is currently evaluating the potential impact of adopting this new guidance on its consolidated financial statements and related disclosures.</w:t>
      </w:r>
    </w:p>
    <w:p>
      <w:pPr>
        <w:spacing w:after="0" w:line="1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 xml:space="preserve">In November 2024, the FASB issued ASU No. 2024-03, </w:t>
      </w:r>
      <w:r>
        <w:rPr>
          <w:rFonts w:ascii="Arial" w:cs="Arial" w:eastAsia="Arial" w:hAnsi="Arial"/>
          <w:sz w:val="16"/>
          <w:szCs w:val="16"/>
          <w:i w:val="1"/>
          <w:iCs w:val="1"/>
          <w:color w:val="auto"/>
        </w:rPr>
        <w:t>Income Statement–Reporting Comprehensive Income–Expense Disaggregation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 (Subtopic 220-40): Disaggregation of Income Statement Expenses ("ASU 2024-03")</w:t>
      </w:r>
      <w:r>
        <w:rPr>
          <w:rFonts w:ascii="Arial" w:cs="Arial" w:eastAsia="Arial" w:hAnsi="Arial"/>
          <w:sz w:val="16"/>
          <w:szCs w:val="16"/>
          <w:color w:val="auto"/>
        </w:rPr>
        <w:t>, which requires</w:t>
      </w:r>
      <w:r>
        <w:rPr>
          <w:rFonts w:ascii="Arial" w:cs="Arial" w:eastAsia="Arial" w:hAnsi="Arial"/>
          <w:sz w:val="16"/>
          <w:szCs w:val="16"/>
          <w:i w:val="1"/>
          <w:iCs w:val="1"/>
          <w:color w:val="auto"/>
        </w:rPr>
        <w:t xml:space="preserve"> </w:t>
      </w:r>
      <w:r>
        <w:rPr>
          <w:rFonts w:ascii="Arial" w:cs="Arial" w:eastAsia="Arial" w:hAnsi="Arial"/>
          <w:sz w:val="16"/>
          <w:szCs w:val="16"/>
          <w:color w:val="080808"/>
        </w:rPr>
        <w:t>the disclosure of additional information</w:t>
      </w:r>
      <w:r>
        <w:rPr>
          <w:rFonts w:ascii="Arial" w:cs="Arial" w:eastAsia="Arial" w:hAnsi="Arial"/>
          <w:sz w:val="16"/>
          <w:szCs w:val="16"/>
          <w:i w:val="1"/>
          <w:iCs w:val="1"/>
          <w:color w:val="auto"/>
        </w:rPr>
        <w:t xml:space="preserve"> </w:t>
      </w:r>
      <w:r>
        <w:rPr>
          <w:rFonts w:ascii="Arial" w:cs="Arial" w:eastAsia="Arial" w:hAnsi="Arial"/>
          <w:sz w:val="16"/>
          <w:szCs w:val="16"/>
          <w:color w:val="080808"/>
        </w:rPr>
        <w:t xml:space="preserve">related to certain costs and expenses, including amounts of inventory purchases, employee compensation, and depreciation and amortization included in each income statement line item </w:t>
      </w:r>
      <w:r>
        <w:rPr>
          <w:rFonts w:ascii="Arial" w:cs="Arial" w:eastAsia="Arial" w:hAnsi="Arial"/>
          <w:sz w:val="16"/>
          <w:szCs w:val="16"/>
          <w:color w:val="000000"/>
        </w:rPr>
        <w:t>on an interim and annual basis. ASU 2024-03 also requires disclosure of the total amount of selling expenses and the</w:t>
      </w:r>
      <w:r>
        <w:rPr>
          <w:rFonts w:ascii="Arial" w:cs="Arial" w:eastAsia="Arial" w:hAnsi="Arial"/>
          <w:sz w:val="16"/>
          <w:szCs w:val="16"/>
          <w:color w:val="080808"/>
        </w:rPr>
        <w:t xml:space="preserve"> </w:t>
      </w:r>
      <w:r>
        <w:rPr>
          <w:rFonts w:ascii="Arial" w:cs="Arial" w:eastAsia="Arial" w:hAnsi="Arial"/>
          <w:sz w:val="16"/>
          <w:szCs w:val="16"/>
          <w:color w:val="000000"/>
        </w:rPr>
        <w:t>Company's definition of selling expenses. ASU 2024-03 is effective for annual reporting periods beginning after December 15, 2026, and interim reporting periods beginning after December 15, 2027, with early adoption permitted. Although the new standard requires comparative disclosures for all periods presented, entities will be permitted to begin applying the guidance prospectively. Therefore, comparative disclosures are not required for reporting periods beginning before the effective date. Entities can elect to apply the new standard retrospectively to any or all prior periods presented in the financial statements. The Company is currently evaluating the impact that adoption of ASU 2024-03 will have on its consolidated financial statement disclosures.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disaggregates revenue by the following five customer types:</w:t>
      </w:r>
    </w:p>
    <w:p>
      <w:pPr>
        <w:spacing w:after="0" w:line="194" w:lineRule="exact"/>
        <w:rPr>
          <w:sz w:val="20"/>
          <w:szCs w:val="20"/>
          <w:color w:val="auto"/>
        </w:rPr>
      </w:pPr>
    </w:p>
    <w:p>
      <w:pPr>
        <w:jc w:val="both"/>
        <w:ind w:left="1140" w:hanging="383"/>
        <w:spacing w:after="0" w:line="266" w:lineRule="auto"/>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oncology drug development programs. Contracts typically contemplate a single project and involve a range of tests and analytics to fulfill the requirements of each particular project.</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another business as an input to their products.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typically contracted to deliver specified tests and analytics in high volume over time. Revenue from the Company's partnership with Natera to provide advanced tumor analysis for use in Natera's molecular residual disease ("MRD") test makes up substantially all of the revenue in this category.</w:t>
      </w:r>
    </w:p>
    <w:p>
      <w:pPr>
        <w:spacing w:after="0" w:line="136"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Company is typically contracted to perform WGS and provide data that can be used for analysis across a large volume of samples. All of the revenue within this category is from the Company's partnership with the VA MVP.</w:t>
      </w:r>
    </w:p>
    <w:p>
      <w:pPr>
        <w:spacing w:after="0" w:line="143" w:lineRule="exact"/>
        <w:rPr>
          <w:rFonts w:ascii="Times New Roman" w:cs="Times New Roman" w:eastAsia="Times New Roman" w:hAnsi="Times New Roman"/>
          <w:sz w:val="16"/>
          <w:szCs w:val="16"/>
          <w:color w:val="auto"/>
        </w:rPr>
      </w:pPr>
    </w:p>
    <w:p>
      <w:pPr>
        <w:jc w:val="both"/>
        <w:ind w:left="1140" w:right="20" w:hanging="383"/>
        <w:spacing w:after="0" w:line="266" w:lineRule="auto"/>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Clinical diagnostic </w:t>
      </w:r>
      <w:r>
        <w:rPr>
          <w:rFonts w:ascii="Arial" w:cs="Arial" w:eastAsia="Arial" w:hAnsi="Arial"/>
          <w:sz w:val="16"/>
          <w:szCs w:val="16"/>
          <w:color w:val="auto"/>
        </w:rPr>
        <w:t>includes sales of ultra-sensitive, tumor-informed diagnostics tests, ordered by healthcare providers for cancer patients,</w:t>
      </w:r>
      <w:r>
        <w:rPr>
          <w:rFonts w:ascii="Arial" w:cs="Arial" w:eastAsia="Arial" w:hAnsi="Arial"/>
          <w:sz w:val="16"/>
          <w:szCs w:val="16"/>
          <w:b w:val="1"/>
          <w:bCs w:val="1"/>
          <w:color w:val="auto"/>
        </w:rPr>
        <w:t xml:space="preserve"> </w:t>
      </w:r>
      <w:r>
        <w:rPr>
          <w:rFonts w:ascii="Arial" w:cs="Arial" w:eastAsia="Arial" w:hAnsi="Arial"/>
          <w:sz w:val="16"/>
          <w:szCs w:val="16"/>
          <w:color w:val="auto"/>
        </w:rPr>
        <w:t>that can detect residual or recurrent cancer earlier and aid in treatment decision-making. Revenue is derived from Medicare and private insurance reimbursements.</w:t>
      </w:r>
    </w:p>
    <w:p>
      <w:pPr>
        <w:spacing w:after="0" w:line="129"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Company's revenue disaggregated by customer type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0"/>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4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Pharma tests and services </w:t>
            </w:r>
            <w:r>
              <w:rPr>
                <w:rFonts w:ascii="Arial" w:cs="Arial" w:eastAsia="Arial" w:hAnsi="Arial"/>
                <w:sz w:val="21"/>
                <w:szCs w:val="21"/>
                <w:color w:val="auto"/>
                <w:vertAlign w:val="superscript"/>
              </w:rPr>
              <w:t>(1)</w:t>
            </w:r>
          </w:p>
        </w:tc>
        <w:tc>
          <w:tcPr>
            <w:tcW w:w="840" w:type="dxa"/>
            <w:vAlign w:val="bottom"/>
            <w:gridSpan w:val="2"/>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8"/>
              </w:rPr>
              <w:t>13,137</w:t>
            </w:r>
          </w:p>
        </w:tc>
        <w:tc>
          <w:tcPr>
            <w:tcW w:w="44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15,698</w:t>
            </w:r>
          </w:p>
        </w:tc>
        <w:tc>
          <w:tcPr>
            <w:tcW w:w="3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37,754</w:t>
            </w:r>
          </w:p>
        </w:tc>
        <w:tc>
          <w:tcPr>
            <w:tcW w:w="46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38,707</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Enterprise sales</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650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5,264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5,430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21,194</w:t>
            </w: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Population sequencing</w:t>
            </w:r>
          </w:p>
        </w:tc>
        <w:tc>
          <w:tcPr>
            <w:tcW w:w="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4,431</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7,755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7,211</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Clinical diagnostic</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1,161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583</w:t>
            </w:r>
          </w:p>
        </w:tc>
      </w:tr>
      <w:tr>
        <w:trPr>
          <w:trHeight w:val="189"/>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203</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119</w:t>
            </w:r>
          </w:p>
        </w:tc>
      </w:tr>
      <w:tr>
        <w:trPr>
          <w:trHeight w:val="183"/>
        </w:trPr>
        <w:tc>
          <w:tcPr>
            <w:tcW w:w="4940" w:type="dxa"/>
            <w:vAlign w:val="bottom"/>
          </w:tcPr>
          <w:p>
            <w:pPr>
              <w:ind w:left="100"/>
              <w:spacing w:after="0" w:line="169" w:lineRule="exact"/>
              <w:rPr>
                <w:sz w:val="20"/>
                <w:szCs w:val="20"/>
                <w:color w:val="auto"/>
              </w:rPr>
            </w:pPr>
            <w:r>
              <w:rPr>
                <w:rFonts w:ascii="Arial" w:cs="Arial" w:eastAsia="Arial" w:hAnsi="Arial"/>
                <w:sz w:val="16"/>
                <w:szCs w:val="16"/>
                <w:color w:val="auto"/>
              </w:rPr>
              <w:t>Total revenue</w:t>
            </w:r>
          </w:p>
        </w:tc>
        <w:tc>
          <w:tcPr>
            <w:tcW w:w="840" w:type="dxa"/>
            <w:vAlign w:val="bottom"/>
            <w:gridSpan w:val="2"/>
          </w:tcPr>
          <w:p>
            <w:pPr>
              <w:jc w:val="right"/>
              <w:ind w:right="688"/>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8"/>
              </w:rPr>
              <w:t>14,495</w:t>
            </w:r>
          </w:p>
        </w:tc>
        <w:tc>
          <w:tcPr>
            <w:tcW w:w="44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line="169" w:lineRule="exact"/>
              <w:rPr>
                <w:sz w:val="20"/>
                <w:szCs w:val="20"/>
                <w:color w:val="auto"/>
              </w:rPr>
            </w:pPr>
            <w:r>
              <w:rPr>
                <w:rFonts w:ascii="Arial" w:cs="Arial" w:eastAsia="Arial" w:hAnsi="Arial"/>
                <w:sz w:val="16"/>
                <w:szCs w:val="16"/>
                <w:color w:val="auto"/>
              </w:rPr>
              <w:t>25,709</w:t>
            </w:r>
          </w:p>
        </w:tc>
        <w:tc>
          <w:tcPr>
            <w:tcW w:w="3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line="169" w:lineRule="exact"/>
              <w:rPr>
                <w:sz w:val="20"/>
                <w:szCs w:val="20"/>
                <w:color w:val="auto"/>
              </w:rPr>
            </w:pPr>
            <w:r>
              <w:rPr>
                <w:rFonts w:ascii="Arial" w:cs="Arial" w:eastAsia="Arial" w:hAnsi="Arial"/>
                <w:sz w:val="16"/>
                <w:szCs w:val="16"/>
                <w:color w:val="auto"/>
              </w:rPr>
              <w:t>52,303</w:t>
            </w:r>
          </w:p>
        </w:tc>
        <w:tc>
          <w:tcPr>
            <w:tcW w:w="46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67,814</w:t>
            </w: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-153670</wp:posOffset>
            </wp:positionV>
            <wp:extent cx="946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-153670</wp:posOffset>
            </wp:positionV>
            <wp:extent cx="946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93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46"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related party revenue of $1.1 million and $3.5 million for the three and nine months ended September 30, 2025,respectively.</w:t>
      </w:r>
    </w:p>
    <w:p>
      <w:pPr>
        <w:spacing w:after="0" w:line="21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opening and closing balances of receivables and contract liabilities from contracts with customers are shown below (in thousands). Contract assets were immaterial for all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September 30, 2025</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63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Opening balances:</w:t>
            </w: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r>
      <w:tr>
        <w:trPr>
          <w:trHeight w:val="189"/>
        </w:trPr>
        <w:tc>
          <w:tcPr>
            <w:tcW w:w="63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8,140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17,730</w:t>
            </w:r>
          </w:p>
        </w:tc>
      </w:tr>
      <w:tr>
        <w:trPr>
          <w:trHeight w:val="189"/>
        </w:trPr>
        <w:tc>
          <w:tcPr>
            <w:tcW w:w="63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189"/>
        </w:trPr>
        <w:tc>
          <w:tcPr>
            <w:tcW w:w="6320" w:type="dxa"/>
            <w:vAlign w:val="bottom"/>
          </w:tcPr>
          <w:p>
            <w:pPr>
              <w:ind w:left="140"/>
              <w:spacing w:after="0"/>
              <w:rPr>
                <w:sz w:val="20"/>
                <w:szCs w:val="20"/>
                <w:color w:val="auto"/>
              </w:rPr>
            </w:pPr>
            <w:r>
              <w:rPr>
                <w:rFonts w:ascii="Arial" w:cs="Arial" w:eastAsia="Arial" w:hAnsi="Arial"/>
                <w:sz w:val="16"/>
                <w:szCs w:val="16"/>
                <w:color w:val="auto"/>
              </w:rPr>
              <w:t>Short-term contract liabilities</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3,100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3,288</w:t>
            </w:r>
          </w:p>
        </w:tc>
      </w:tr>
      <w:tr>
        <w:trPr>
          <w:trHeight w:val="189"/>
        </w:trPr>
        <w:tc>
          <w:tcPr>
            <w:tcW w:w="6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Long-term contract liabilities (included in other long-term liabilities)</w:t>
            </w:r>
          </w:p>
        </w:tc>
        <w:tc>
          <w:tcPr>
            <w:tcW w:w="14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3,928</w:t>
            </w:r>
          </w:p>
        </w:tc>
      </w:tr>
      <w:tr>
        <w:trPr>
          <w:trHeight w:val="183"/>
        </w:trPr>
        <w:tc>
          <w:tcPr>
            <w:tcW w:w="6320" w:type="dxa"/>
            <w:vAlign w:val="bottom"/>
          </w:tcPr>
          <w:p>
            <w:pPr>
              <w:ind w:left="280"/>
              <w:spacing w:after="0" w:line="183" w:lineRule="exact"/>
              <w:rPr>
                <w:sz w:val="20"/>
                <w:szCs w:val="20"/>
                <w:color w:val="auto"/>
              </w:rPr>
            </w:pPr>
            <w:r>
              <w:rPr>
                <w:rFonts w:ascii="Arial" w:cs="Arial" w:eastAsia="Arial" w:hAnsi="Arial"/>
                <w:sz w:val="16"/>
                <w:szCs w:val="16"/>
                <w:color w:val="auto"/>
              </w:rPr>
              <w:t>Total contract liabilities</w:t>
            </w:r>
          </w:p>
        </w:tc>
        <w:tc>
          <w:tcPr>
            <w:tcW w:w="15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line="183" w:lineRule="exact"/>
              <w:rPr>
                <w:sz w:val="20"/>
                <w:szCs w:val="20"/>
                <w:color w:val="auto"/>
              </w:rPr>
            </w:pPr>
            <w:r>
              <w:rPr>
                <w:rFonts w:ascii="Arial" w:cs="Arial" w:eastAsia="Arial" w:hAnsi="Arial"/>
                <w:sz w:val="16"/>
                <w:szCs w:val="16"/>
                <w:color w:val="auto"/>
              </w:rPr>
              <w:t>3,100</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7,216</w:t>
            </w:r>
          </w:p>
        </w:tc>
      </w:tr>
      <w:tr>
        <w:trPr>
          <w:trHeight w:val="189"/>
        </w:trPr>
        <w:tc>
          <w:tcPr>
            <w:tcW w:w="63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189"/>
        </w:trPr>
        <w:tc>
          <w:tcPr>
            <w:tcW w:w="6320" w:type="dxa"/>
            <w:vAlign w:val="bottom"/>
          </w:tcPr>
          <w:p>
            <w:pPr>
              <w:spacing w:after="0"/>
              <w:rPr>
                <w:sz w:val="20"/>
                <w:szCs w:val="20"/>
                <w:color w:val="auto"/>
              </w:rPr>
            </w:pPr>
            <w:r>
              <w:rPr>
                <w:rFonts w:ascii="Arial" w:cs="Arial" w:eastAsia="Arial" w:hAnsi="Arial"/>
                <w:sz w:val="16"/>
                <w:szCs w:val="16"/>
                <w:b w:val="1"/>
                <w:bCs w:val="1"/>
                <w:color w:val="auto"/>
              </w:rPr>
              <w:t>Closing balances: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63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Accounts receivable, net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14,376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8,140</w:t>
            </w:r>
          </w:p>
        </w:tc>
      </w:tr>
      <w:tr>
        <w:trPr>
          <w:trHeight w:val="189"/>
        </w:trPr>
        <w:tc>
          <w:tcPr>
            <w:tcW w:w="6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6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Short-term contract liabilities</w:t>
            </w:r>
          </w:p>
        </w:tc>
        <w:tc>
          <w:tcPr>
            <w:tcW w:w="14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6"/>
                <w:szCs w:val="16"/>
                <w:color w:val="auto"/>
              </w:rPr>
              <w:t>1,457</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3,100</w:t>
            </w:r>
          </w:p>
        </w:tc>
      </w:tr>
      <w:tr>
        <w:trPr>
          <w:trHeight w:val="208"/>
        </w:trPr>
        <w:tc>
          <w:tcPr>
            <w:tcW w:w="6320" w:type="dxa"/>
            <w:vAlign w:val="bottom"/>
          </w:tcPr>
          <w:p>
            <w:pPr>
              <w:ind w:left="280"/>
              <w:spacing w:after="0"/>
              <w:rPr>
                <w:sz w:val="20"/>
                <w:szCs w:val="20"/>
                <w:color w:val="auto"/>
              </w:rPr>
            </w:pPr>
            <w:r>
              <w:rPr>
                <w:rFonts w:ascii="Arial" w:cs="Arial" w:eastAsia="Arial" w:hAnsi="Arial"/>
                <w:sz w:val="16"/>
                <w:szCs w:val="16"/>
                <w:color w:val="auto"/>
              </w:rPr>
              <w:t>Total contract liabilities</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1,457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3,100</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Amounts collected in advance of services being provided are deferred as contract liabilities in the consolidated balance sheets. The associated revenue is recognized, and the contract liability is reduced, as the services are subsequently performed. Remaining performance obligations are comprised mainly of contract liabilities, and to a lesser extent, non-cancellable contracts for which the Company has not invoiced and has an obligation to perform, and for which revenue has not yet been recognized in the financial statements. As of September 30, 2025, the amount related to unfulfilled services under contracts with an original expected duration of more than one year was immaterial. Revenue recognized that was included in the contract liability balance at the beginning of each reporting period was $0.4 million and $1.9 million for the three and nine months ended September 30, 2025, and was $1.3 million and $4.1 million for the three and nine months ended September 30, 2024,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5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Raw materials</w:t>
            </w:r>
          </w:p>
        </w:tc>
        <w:tc>
          <w:tcPr>
            <w:tcW w:w="24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3,729</w:t>
            </w:r>
          </w:p>
        </w:tc>
        <w:tc>
          <w:tcPr>
            <w:tcW w:w="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3,976</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Other deferred costs</w:t>
            </w:r>
          </w:p>
        </w:tc>
        <w:tc>
          <w:tcPr>
            <w:tcW w:w="2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927</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1,963</w:t>
            </w:r>
          </w:p>
        </w:tc>
      </w:tr>
      <w:tr>
        <w:trPr>
          <w:trHeight w:val="203"/>
        </w:trPr>
        <w:tc>
          <w:tcPr>
            <w:tcW w:w="5380" w:type="dxa"/>
            <w:vAlign w:val="bottom"/>
            <w:shd w:val="clear" w:color="auto" w:fill="CFF0FC"/>
          </w:tcPr>
          <w:p>
            <w:pPr>
              <w:ind w:left="140"/>
              <w:spacing w:after="0" w:line="169" w:lineRule="exact"/>
              <w:rPr>
                <w:sz w:val="20"/>
                <w:szCs w:val="20"/>
                <w:color w:val="auto"/>
              </w:rPr>
            </w:pPr>
            <w:r>
              <w:rPr>
                <w:rFonts w:ascii="Arial" w:cs="Arial" w:eastAsia="Arial" w:hAnsi="Arial"/>
                <w:sz w:val="16"/>
                <w:szCs w:val="16"/>
                <w:color w:val="auto"/>
              </w:rPr>
              <w:t>Total inventory and other deferred costs</w:t>
            </w:r>
          </w:p>
        </w:tc>
        <w:tc>
          <w:tcPr>
            <w:tcW w:w="23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4,656</w:t>
            </w:r>
          </w:p>
        </w:tc>
        <w:tc>
          <w:tcPr>
            <w:tcW w:w="2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5,939</w:t>
            </w: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Depreciation and amortization expense for the three months ended September 30, 2025 and 2024 was $2.4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$2.8 million, and was $7.5 million and $8.4 million for the nine months ended September 30, 2025 and 2024, respectively. Accumulated depreciation and amortization was $53.3 million and $46.0 million as of September 30, 2025 and December 31, 2024, respectively.</w:t>
      </w:r>
    </w:p>
    <w:p>
      <w:pPr>
        <w:spacing w:after="0" w:line="13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as of September 30, 2025 and December 31, 2024, and is included in other long-term assets.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185" w:lineRule="exact"/>
        <w:rPr>
          <w:sz w:val="20"/>
          <w:szCs w:val="20"/>
          <w:color w:val="auto"/>
        </w:rPr>
      </w:pPr>
    </w:p>
    <w:p>
      <w:pPr>
        <w:ind w:left="7840"/>
        <w:spacing w:after="0"/>
        <w:tabs>
          <w:tab w:leader="none" w:pos="9680" w:val="left"/>
        </w:tabs>
        <w:rPr>
          <w:sz w:val="20"/>
          <w:szCs w:val="20"/>
          <w:color w:val="auto"/>
        </w:rPr>
      </w:pPr>
      <w:r>
        <w:rPr>
          <w:rFonts w:ascii="Arial" w:cs="Arial" w:eastAsia="Arial" w:hAnsi="Arial"/>
          <w:sz w:val="14"/>
          <w:szCs w:val="14"/>
          <w:b w:val="1"/>
          <w:bCs w:val="1"/>
          <w:color w:val="auto"/>
        </w:rPr>
        <w:t>September 30, 2025</w:t>
      </w:r>
      <w:r>
        <w:rPr>
          <w:sz w:val="20"/>
          <w:szCs w:val="20"/>
          <w:color w:val="auto"/>
        </w:rPr>
        <w:tab/>
      </w:r>
      <w:r>
        <w:rPr>
          <w:rFonts w:ascii="Arial" w:cs="Arial" w:eastAsia="Arial" w:hAnsi="Arial"/>
          <w:sz w:val="14"/>
          <w:szCs w:val="14"/>
          <w:b w:val="1"/>
          <w:bCs w:val="1"/>
          <w:color w:val="auto"/>
        </w:rPr>
        <w:t>December 31, 2024</w:t>
      </w:r>
    </w:p>
    <w:p>
      <w:pPr>
        <w:sectPr>
          <w:pgSz w:w="11900" w:h="16838" w:orient="portrait"/>
          <w:cols w:equalWidth="0" w:num="1">
            <w:col w:w="11240"/>
          </w:cols>
          <w:pgMar w:left="320" w:top="778" w:right="3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Loans—current portion (Note 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 Development Fees received from Tempus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Employee ESPP contributions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Total accrued and other 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Borders>
              <w:top w:val="single" w:sz="8" w:color="auto"/>
            </w:tcBorders>
            <w:gridSpan w:val="2"/>
          </w:tcPr>
          <w:p>
            <w:pPr>
              <w:jc w:val="right"/>
              <w:ind w:right="404"/>
              <w:spacing w:after="0" w:line="168"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79"/>
              <w:spacing w:after="0" w:line="168" w:lineRule="exact"/>
              <w:rPr>
                <w:sz w:val="20"/>
                <w:szCs w:val="20"/>
                <w:color w:val="auto"/>
              </w:rPr>
            </w:pPr>
            <w:r>
              <w:rPr>
                <w:rFonts w:ascii="Arial" w:cs="Arial" w:eastAsia="Arial" w:hAnsi="Arial"/>
                <w:sz w:val="16"/>
                <w:szCs w:val="16"/>
                <w:color w:val="auto"/>
              </w:rPr>
              <w:t>6,807</w:t>
            </w:r>
          </w:p>
        </w:tc>
        <w:tc>
          <w:tcPr>
            <w:tcW w:w="700" w:type="dxa"/>
            <w:vAlign w:val="bottom"/>
            <w:tcBorders>
              <w:top w:val="single" w:sz="8" w:color="auto"/>
            </w:tcBorders>
          </w:tcPr>
          <w:p>
            <w:pPr>
              <w:jc w:val="right"/>
              <w:ind w:right="399"/>
              <w:spacing w:after="0" w:line="168"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39"/>
              <w:spacing w:after="0" w:line="168" w:lineRule="exact"/>
              <w:rPr>
                <w:sz w:val="20"/>
                <w:szCs w:val="20"/>
                <w:color w:val="auto"/>
              </w:rPr>
            </w:pPr>
            <w:r>
              <w:rPr>
                <w:rFonts w:ascii="Arial" w:cs="Arial" w:eastAsia="Arial" w:hAnsi="Arial"/>
                <w:sz w:val="16"/>
                <w:szCs w:val="16"/>
                <w:color w:val="auto"/>
              </w:rPr>
              <w:t>8,544</w:t>
            </w: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6,900</w:t>
            </w:r>
          </w:p>
        </w:tc>
        <w:tc>
          <w:tcPr>
            <w:tcW w:w="70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7,696</w:t>
            </w: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1,473</w:t>
            </w:r>
          </w:p>
        </w:tc>
        <w:tc>
          <w:tcPr>
            <w:tcW w:w="70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1,669</w:t>
            </w: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3,500</w:t>
            </w:r>
          </w:p>
        </w:tc>
        <w:tc>
          <w:tcPr>
            <w:tcW w:w="70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1,400</w:t>
            </w: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737</w:t>
            </w:r>
          </w:p>
        </w:tc>
        <w:tc>
          <w:tcPr>
            <w:tcW w:w="70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301</w:t>
            </w:r>
          </w:p>
        </w:tc>
      </w:tr>
      <w:tr>
        <w:trPr>
          <w:trHeight w:val="203"/>
        </w:trPr>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4,135</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2,019</w:t>
            </w:r>
          </w:p>
        </w:tc>
      </w:tr>
      <w:tr>
        <w:trPr>
          <w:trHeight w:val="183"/>
        </w:trPr>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23,552</w:t>
            </w:r>
          </w:p>
        </w:tc>
        <w:tc>
          <w:tcPr>
            <w:tcW w:w="70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21,629</w:t>
            </w: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720"/>
            <w:col w:w="3500"/>
          </w:cols>
          <w:pgMar w:left="320" w:top="778"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181"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September 30, 2025 and December 31, 2024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01"/>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Fair Value</w:t>
            </w:r>
          </w:p>
        </w:tc>
      </w:tr>
      <w:tr>
        <w:trPr>
          <w:trHeight w:val="171"/>
        </w:trPr>
        <w:tc>
          <w:tcPr>
            <w:tcW w:w="516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r>
      <w:tr>
        <w:trPr>
          <w:trHeight w:val="183"/>
        </w:trPr>
        <w:tc>
          <w:tcPr>
            <w:tcW w:w="51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w:t>
            </w:r>
          </w:p>
        </w:tc>
        <w:tc>
          <w:tcPr>
            <w:tcW w:w="2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2,552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2,552</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14,118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14,118</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paper</w:t>
            </w: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33,308</w:t>
            </w:r>
          </w:p>
        </w:tc>
        <w:tc>
          <w:tcPr>
            <w:tcW w:w="1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33,303</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3"/>
        </w:trPr>
        <w:tc>
          <w:tcPr>
            <w:tcW w:w="5160" w:type="dxa"/>
            <w:vAlign w:val="bottom"/>
          </w:tcPr>
          <w:p>
            <w:pPr>
              <w:ind w:left="200"/>
              <w:spacing w:after="0" w:line="183" w:lineRule="exact"/>
              <w:rPr>
                <w:sz w:val="20"/>
                <w:szCs w:val="20"/>
                <w:color w:val="auto"/>
              </w:rPr>
            </w:pPr>
            <w:r>
              <w:rPr>
                <w:rFonts w:ascii="Arial" w:cs="Arial" w:eastAsia="Arial" w:hAnsi="Arial"/>
                <w:sz w:val="16"/>
                <w:szCs w:val="16"/>
                <w:color w:val="auto"/>
              </w:rPr>
              <w:t>Total cash and cash equivalents</w:t>
            </w:r>
          </w:p>
        </w:tc>
        <w:tc>
          <w:tcPr>
            <w:tcW w:w="260" w:type="dxa"/>
            <w:vAlign w:val="bottom"/>
          </w:tcPr>
          <w:p>
            <w:pPr>
              <w:spacing w:after="0"/>
              <w:rPr>
                <w:sz w:val="15"/>
                <w:szCs w:val="15"/>
                <w:color w:val="auto"/>
              </w:rPr>
            </w:pPr>
          </w:p>
        </w:tc>
        <w:tc>
          <w:tcPr>
            <w:tcW w:w="9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49,978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49,973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15,420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15,419</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U.S. agency securities</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U.S. government securities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84,136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84,204</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3"/>
        </w:trPr>
        <w:tc>
          <w:tcPr>
            <w:tcW w:w="516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100,475</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73</w:t>
            </w: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100,542</w:t>
            </w: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r>
      <w:tr>
        <w:trPr>
          <w:trHeight w:val="183"/>
        </w:trPr>
        <w:tc>
          <w:tcPr>
            <w:tcW w:w="5160" w:type="dxa"/>
            <w:vAlign w:val="bottom"/>
          </w:tcPr>
          <w:p>
            <w:pPr>
              <w:ind w:left="280"/>
              <w:spacing w:after="0" w:line="169" w:lineRule="exact"/>
              <w:rPr>
                <w:sz w:val="20"/>
                <w:szCs w:val="20"/>
                <w:color w:val="auto"/>
              </w:rPr>
            </w:pPr>
            <w:r>
              <w:rPr>
                <w:rFonts w:ascii="Arial" w:cs="Arial" w:eastAsia="Arial" w:hAnsi="Arial"/>
                <w:sz w:val="16"/>
                <w:szCs w:val="16"/>
                <w:color w:val="auto"/>
              </w:rPr>
              <w:t>Total assets measured at fair value</w:t>
            </w:r>
          </w:p>
        </w:tc>
        <w:tc>
          <w:tcPr>
            <w:tcW w:w="26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150,453</w:t>
            </w:r>
          </w:p>
        </w:tc>
        <w:tc>
          <w:tcPr>
            <w:tcW w:w="2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73</w:t>
            </w:r>
          </w:p>
        </w:tc>
        <w:tc>
          <w:tcPr>
            <w:tcW w:w="32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(11)</w:t>
            </w:r>
          </w:p>
        </w:tc>
        <w:tc>
          <w:tcPr>
            <w:tcW w:w="120" w:type="dxa"/>
            <w:vAlign w:val="bottom"/>
          </w:tcPr>
          <w:p>
            <w:pPr>
              <w:spacing w:after="0"/>
              <w:rPr>
                <w:sz w:val="15"/>
                <w:szCs w:val="15"/>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ind w:right="40"/>
              <w:spacing w:after="0" w:line="169" w:lineRule="exact"/>
              <w:rPr>
                <w:sz w:val="20"/>
                <w:szCs w:val="20"/>
                <w:color w:val="auto"/>
              </w:rPr>
            </w:pPr>
            <w:r>
              <w:rPr>
                <w:rFonts w:ascii="Arial" w:cs="Arial" w:eastAsia="Arial" w:hAnsi="Arial"/>
                <w:sz w:val="16"/>
                <w:szCs w:val="16"/>
                <w:color w:val="auto"/>
              </w:rPr>
              <w:t>150,515</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6"/>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01"/>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Fair Value</w:t>
            </w:r>
          </w:p>
        </w:tc>
      </w:tr>
      <w:tr>
        <w:trPr>
          <w:trHeight w:val="171"/>
        </w:trPr>
        <w:tc>
          <w:tcPr>
            <w:tcW w:w="516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r>
      <w:tr>
        <w:trPr>
          <w:trHeight w:val="183"/>
        </w:trPr>
        <w:tc>
          <w:tcPr>
            <w:tcW w:w="51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w:t>
            </w:r>
          </w:p>
        </w:tc>
        <w:tc>
          <w:tcPr>
            <w:tcW w:w="2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1,152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1,152</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44,524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44,524</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39,291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39,285</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U.S. agency securities</w:t>
            </w:r>
          </w:p>
        </w:tc>
        <w:tc>
          <w:tcPr>
            <w:tcW w:w="2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6,453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6,454</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3"/>
        </w:trPr>
        <w:tc>
          <w:tcPr>
            <w:tcW w:w="516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cash and cash equivalents</w:t>
            </w: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91,420</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91,415</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8,697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8,697</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U.S. agency securities</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2,330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2,330</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U.S. government securities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82,042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82,069</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3"/>
        </w:trPr>
        <w:tc>
          <w:tcPr>
            <w:tcW w:w="516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93,567</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w:t>
            </w: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93,594</w:t>
            </w: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r>
      <w:tr>
        <w:trPr>
          <w:trHeight w:val="183"/>
        </w:trPr>
        <w:tc>
          <w:tcPr>
            <w:tcW w:w="5160" w:type="dxa"/>
            <w:vAlign w:val="bottom"/>
          </w:tcPr>
          <w:p>
            <w:pPr>
              <w:ind w:left="280"/>
              <w:spacing w:after="0" w:line="169" w:lineRule="exact"/>
              <w:rPr>
                <w:sz w:val="20"/>
                <w:szCs w:val="20"/>
                <w:color w:val="auto"/>
              </w:rPr>
            </w:pPr>
            <w:r>
              <w:rPr>
                <w:rFonts w:ascii="Arial" w:cs="Arial" w:eastAsia="Arial" w:hAnsi="Arial"/>
                <w:sz w:val="16"/>
                <w:szCs w:val="16"/>
                <w:color w:val="auto"/>
              </w:rPr>
              <w:t>Total assets measured at fair value</w:t>
            </w:r>
          </w:p>
        </w:tc>
        <w:tc>
          <w:tcPr>
            <w:tcW w:w="26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184,987</w:t>
            </w:r>
          </w:p>
        </w:tc>
        <w:tc>
          <w:tcPr>
            <w:tcW w:w="2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c>
          <w:tcPr>
            <w:tcW w:w="32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c>
          <w:tcPr>
            <w:tcW w:w="120" w:type="dxa"/>
            <w:vAlign w:val="bottom"/>
          </w:tcPr>
          <w:p>
            <w:pPr>
              <w:spacing w:after="0"/>
              <w:rPr>
                <w:sz w:val="15"/>
                <w:szCs w:val="15"/>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ind w:right="40"/>
              <w:spacing w:after="0" w:line="169" w:lineRule="exact"/>
              <w:rPr>
                <w:sz w:val="20"/>
                <w:szCs w:val="20"/>
                <w:color w:val="auto"/>
              </w:rPr>
            </w:pPr>
            <w:r>
              <w:rPr>
                <w:rFonts w:ascii="Arial" w:cs="Arial" w:eastAsia="Arial" w:hAnsi="Arial"/>
                <w:sz w:val="16"/>
                <w:szCs w:val="16"/>
                <w:color w:val="auto"/>
              </w:rPr>
              <w:t>185,009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-2313940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-2313940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-2313940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-2313940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-153670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-153670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-153670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-153670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amortized costs and fair value of marketable debt securities (excluding cash and money market funds) by contractual maturity, at September 30, 2025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jc w:val="right"/>
              <w:ind w:right="1061"/>
              <w:spacing w:after="0"/>
              <w:rPr>
                <w:sz w:val="20"/>
                <w:szCs w:val="20"/>
                <w:color w:val="auto"/>
              </w:rPr>
            </w:pPr>
            <w:r>
              <w:rPr>
                <w:rFonts w:ascii="Arial" w:cs="Arial" w:eastAsia="Arial" w:hAnsi="Arial"/>
                <w:sz w:val="14"/>
                <w:szCs w:val="14"/>
                <w:b w:val="1"/>
                <w:bCs w:val="1"/>
                <w:color w:val="auto"/>
              </w:rPr>
              <w:t>September 30, 2025</w:t>
            </w:r>
          </w:p>
        </w:tc>
      </w:tr>
      <w:tr>
        <w:trPr>
          <w:trHeight w:val="155"/>
        </w:trPr>
        <w:tc>
          <w:tcPr>
            <w:tcW w:w="44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83"/>
              <w:spacing w:after="0" w:line="155" w:lineRule="exact"/>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Fair Value</w:t>
            </w:r>
          </w:p>
        </w:tc>
      </w:tr>
      <w:tr>
        <w:trPr>
          <w:trHeight w:val="18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Less than 1 year</w:t>
            </w:r>
          </w:p>
        </w:tc>
        <w:tc>
          <w:tcPr>
            <w:tcW w:w="3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124,825</w:t>
            </w:r>
          </w:p>
        </w:tc>
        <w:tc>
          <w:tcPr>
            <w:tcW w:w="4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124,883</w:t>
            </w: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1 to 5 years</w:t>
            </w: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8,958</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8,962</w:t>
            </w:r>
          </w:p>
        </w:tc>
      </w:tr>
      <w:tr>
        <w:trPr>
          <w:trHeight w:val="203"/>
        </w:trPr>
        <w:tc>
          <w:tcPr>
            <w:tcW w:w="448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3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43"/>
              <w:spacing w:after="0" w:line="169" w:lineRule="exact"/>
              <w:rPr>
                <w:sz w:val="20"/>
                <w:szCs w:val="20"/>
                <w:color w:val="auto"/>
              </w:rPr>
            </w:pPr>
            <w:r>
              <w:rPr>
                <w:rFonts w:ascii="Arial" w:cs="Arial" w:eastAsia="Arial" w:hAnsi="Arial"/>
                <w:sz w:val="16"/>
                <w:szCs w:val="16"/>
                <w:color w:val="auto"/>
              </w:rPr>
              <w:t>133,783</w:t>
            </w:r>
          </w:p>
        </w:tc>
        <w:tc>
          <w:tcPr>
            <w:tcW w:w="44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133,845</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ind w:right="60" w:firstLine="749"/>
        <w:spacing w:after="0" w:line="266" w:lineRule="auto"/>
        <w:rPr>
          <w:sz w:val="20"/>
          <w:szCs w:val="20"/>
          <w:color w:val="auto"/>
        </w:rPr>
      </w:pPr>
      <w:r>
        <w:rPr>
          <w:rFonts w:ascii="Arial" w:cs="Arial" w:eastAsia="Arial" w:hAnsi="Arial"/>
          <w:sz w:val="16"/>
          <w:szCs w:val="16"/>
          <w:color w:val="auto"/>
        </w:rPr>
        <w:t>Unrealized losses have not been recognized as losses in the consolidated statements of operations as the Company neither intends to sell, nor anticipates that it is more likely than not that the Company will be required to sell the securities before recovery of their amortized cost basis. The declines in fair value are due primarily to changes in market interest rates, rather than credit losses.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Black-Scholes option-pricing model was used to estimate fair value of the warrants issued to Tempus AI, Inc. ("Tempus") at the date of issuance, November 28, 2023, and at each subsequent balance sheet date prior to their exercise in full in August 2024. Assumptions used are listed below, which are Level 3 fair value inputs. Expected term was equal to the then-remaining contractual periods of each of the two warrants. Expected volatility was based on the Company's actual historical volatility over the expected terms of the warrants. The risk-free interest rate was based on the U.S. Treasury yield curve over the expected terms of the warrants. Refer to Note 8. Related Party Transactions for further information about the warrants issued to Tempus.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610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140" w:type="dxa"/>
            <w:vAlign w:val="bottom"/>
            <w:tcBorders>
              <w:top w:val="single" w:sz="8" w:color="0000FF"/>
            </w:tcBorders>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02"/>
              <w:spacing w:after="0"/>
              <w:rPr>
                <w:sz w:val="20"/>
                <w:szCs w:val="20"/>
                <w:color w:val="auto"/>
              </w:rPr>
            </w:pPr>
            <w:r>
              <w:rPr>
                <w:rFonts w:ascii="Arial" w:cs="Arial" w:eastAsia="Arial" w:hAnsi="Arial"/>
                <w:sz w:val="14"/>
                <w:szCs w:val="14"/>
                <w:b w:val="1"/>
                <w:bCs w:val="1"/>
                <w:color w:val="auto"/>
              </w:rPr>
              <w:t>August 16, 2024</w:t>
            </w:r>
          </w:p>
        </w:tc>
        <w:tc>
          <w:tcPr>
            <w:tcW w:w="140" w:type="dxa"/>
            <w:vAlign w:val="bottom"/>
          </w:tcPr>
          <w:p>
            <w:pPr>
              <w:spacing w:after="0"/>
              <w:rPr>
                <w:sz w:val="24"/>
                <w:szCs w:val="24"/>
                <w:color w:val="auto"/>
              </w:rPr>
            </w:pPr>
          </w:p>
        </w:tc>
        <w:tc>
          <w:tcPr>
            <w:tcW w:w="158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rPr>
              <w:t>As of June 30, 2024</w:t>
            </w:r>
          </w:p>
        </w:tc>
        <w:tc>
          <w:tcPr>
            <w:tcW w:w="200" w:type="dxa"/>
            <w:vAlign w:val="bottom"/>
          </w:tcPr>
          <w:p>
            <w:pPr>
              <w:spacing w:after="0"/>
              <w:rPr>
                <w:sz w:val="24"/>
                <w:szCs w:val="24"/>
                <w:color w:val="auto"/>
              </w:rPr>
            </w:pPr>
          </w:p>
        </w:tc>
        <w:tc>
          <w:tcPr>
            <w:tcW w:w="166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As of March 31, 2024</w:t>
            </w: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Exercise Date</w:t>
            </w:r>
          </w:p>
        </w:tc>
        <w:tc>
          <w:tcPr>
            <w:tcW w:w="1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6100" w:type="dxa"/>
            <w:vAlign w:val="bottom"/>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1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Expected term (in years)</w:t>
            </w: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0.50</w:t>
            </w:r>
          </w:p>
        </w:tc>
        <w:tc>
          <w:tcPr>
            <w:tcW w:w="9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- 1.50</w:t>
            </w:r>
          </w:p>
        </w:tc>
        <w:tc>
          <w:tcPr>
            <w:tcW w:w="20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479"/>
              <w:spacing w:after="0" w:line="183" w:lineRule="exact"/>
              <w:rPr>
                <w:sz w:val="20"/>
                <w:szCs w:val="20"/>
                <w:color w:val="auto"/>
              </w:rPr>
            </w:pPr>
            <w:r>
              <w:rPr>
                <w:rFonts w:ascii="Arial" w:cs="Arial" w:eastAsia="Arial" w:hAnsi="Arial"/>
                <w:sz w:val="16"/>
                <w:szCs w:val="16"/>
                <w:color w:val="auto"/>
              </w:rPr>
              <w:t>0.75 - 1.75</w:t>
            </w:r>
          </w:p>
        </w:tc>
        <w:tc>
          <w:tcPr>
            <w:tcW w:w="0" w:type="dxa"/>
            <w:vAlign w:val="bottom"/>
          </w:tcPr>
          <w:p>
            <w:pPr>
              <w:spacing w:after="0"/>
              <w:rPr>
                <w:sz w:val="1"/>
                <w:szCs w:val="1"/>
                <w:color w:val="auto"/>
              </w:rPr>
            </w:pPr>
          </w:p>
        </w:tc>
      </w:tr>
      <w:tr>
        <w:trPr>
          <w:trHeight w:val="189"/>
        </w:trPr>
        <w:tc>
          <w:tcPr>
            <w:tcW w:w="6100" w:type="dxa"/>
            <w:vAlign w:val="bottom"/>
            <w:gridSpan w:val="2"/>
          </w:tcPr>
          <w:p>
            <w:pPr>
              <w:spacing w:after="0"/>
              <w:rPr>
                <w:sz w:val="20"/>
                <w:szCs w:val="20"/>
                <w:color w:val="auto"/>
              </w:rPr>
            </w:pPr>
            <w:r>
              <w:rPr>
                <w:rFonts w:ascii="Arial" w:cs="Arial" w:eastAsia="Arial" w:hAnsi="Arial"/>
                <w:sz w:val="16"/>
                <w:szCs w:val="16"/>
                <w:color w:val="auto"/>
              </w:rPr>
              <w:t>Volatility</w:t>
            </w:r>
          </w:p>
        </w:tc>
        <w:tc>
          <w:tcPr>
            <w:tcW w:w="140" w:type="dxa"/>
            <w:vAlign w:val="bottom"/>
          </w:tcPr>
          <w:p>
            <w:pPr>
              <w:spacing w:after="0"/>
              <w:rPr>
                <w:sz w:val="16"/>
                <w:szCs w:val="16"/>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79.67%</w:t>
            </w:r>
          </w:p>
        </w:tc>
        <w:tc>
          <w:tcPr>
            <w:tcW w:w="900" w:type="dxa"/>
            <w:vAlign w:val="bottom"/>
          </w:tcPr>
          <w:p>
            <w:pPr>
              <w:ind w:left="20"/>
              <w:spacing w:after="0"/>
              <w:rPr>
                <w:sz w:val="20"/>
                <w:szCs w:val="20"/>
                <w:color w:val="auto"/>
              </w:rPr>
            </w:pPr>
            <w:r>
              <w:rPr>
                <w:rFonts w:ascii="Arial" w:cs="Arial" w:eastAsia="Arial" w:hAnsi="Arial"/>
                <w:sz w:val="16"/>
                <w:szCs w:val="16"/>
                <w:color w:val="auto"/>
              </w:rPr>
              <w:t>- 99.80%</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103.9</w:t>
            </w:r>
          </w:p>
        </w:tc>
        <w:tc>
          <w:tcPr>
            <w:tcW w:w="1060" w:type="dxa"/>
            <w:vAlign w:val="bottom"/>
          </w:tcPr>
          <w:p>
            <w:pPr>
              <w:ind w:left="20"/>
              <w:spacing w:after="0"/>
              <w:rPr>
                <w:sz w:val="20"/>
                <w:szCs w:val="20"/>
                <w:color w:val="auto"/>
              </w:rPr>
            </w:pPr>
            <w:r>
              <w:rPr>
                <w:rFonts w:ascii="Arial" w:cs="Arial" w:eastAsia="Arial" w:hAnsi="Arial"/>
                <w:sz w:val="16"/>
                <w:szCs w:val="16"/>
                <w:color w:val="auto"/>
              </w:rPr>
              <w:t>- 106.3%</w:t>
            </w:r>
          </w:p>
        </w:tc>
        <w:tc>
          <w:tcPr>
            <w:tcW w:w="0" w:type="dxa"/>
            <w:vAlign w:val="bottom"/>
          </w:tcPr>
          <w:p>
            <w:pPr>
              <w:spacing w:after="0"/>
              <w:rPr>
                <w:sz w:val="1"/>
                <w:szCs w:val="1"/>
                <w:color w:val="auto"/>
              </w:rPr>
            </w:pPr>
          </w:p>
        </w:tc>
      </w:tr>
      <w:tr>
        <w:trPr>
          <w:trHeight w:val="189"/>
        </w:trPr>
        <w:tc>
          <w:tcPr>
            <w:tcW w:w="6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- 5.33%</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1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- 5.21%</w:t>
            </w:r>
          </w:p>
        </w:tc>
        <w:tc>
          <w:tcPr>
            <w:tcW w:w="0" w:type="dxa"/>
            <w:vAlign w:val="bottom"/>
          </w:tcPr>
          <w:p>
            <w:pPr>
              <w:spacing w:after="0"/>
              <w:rPr>
                <w:sz w:val="1"/>
                <w:szCs w:val="1"/>
                <w:color w:val="auto"/>
              </w:rPr>
            </w:pPr>
          </w:p>
        </w:tc>
      </w:tr>
      <w:tr>
        <w:trPr>
          <w:trHeight w:val="189"/>
        </w:trPr>
        <w:tc>
          <w:tcPr>
            <w:tcW w:w="610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140" w:type="dxa"/>
            <w:vAlign w:val="bottom"/>
          </w:tcPr>
          <w:p>
            <w:pPr>
              <w:spacing w:after="0"/>
              <w:rPr>
                <w:sz w:val="16"/>
                <w:szCs w:val="16"/>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580" w:type="dxa"/>
            <w:vAlign w:val="bottom"/>
            <w:gridSpan w:val="2"/>
          </w:tcPr>
          <w:p>
            <w:pPr>
              <w:jc w:val="center"/>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center"/>
              <w:ind w:right="7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fair value of Tempus Warrants (in thousands)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28,302</w:t>
            </w:r>
          </w:p>
        </w:tc>
        <w:tc>
          <w:tcPr>
            <w:tcW w:w="820" w:type="dxa"/>
            <w:vAlign w:val="bottom"/>
            <w:gridSpan w:val="2"/>
            <w:shd w:val="clear" w:color="auto" w:fill="CFF0FC"/>
          </w:tcPr>
          <w:p>
            <w:pPr>
              <w:jc w:val="right"/>
              <w:ind w:right="5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2,288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following table sets forth a summary of the changes in fair value of the Tempus Warrants, which are classified as Level 3 financial instruments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vMerge w:val="restart"/>
          </w:tcPr>
          <w:p>
            <w:pPr>
              <w:spacing w:after="0"/>
              <w:rPr>
                <w:sz w:val="20"/>
                <w:szCs w:val="20"/>
                <w:color w:val="auto"/>
              </w:rPr>
            </w:pPr>
            <w:r>
              <w:rPr>
                <w:rFonts w:ascii="Arial" w:cs="Arial" w:eastAsia="Arial" w:hAnsi="Arial"/>
                <w:sz w:val="16"/>
                <w:szCs w:val="16"/>
                <w:b w:val="1"/>
                <w:bCs w:val="1"/>
                <w:color w:val="auto"/>
              </w:rPr>
              <w:t>Warrant Liabilities</w:t>
            </w:r>
          </w:p>
        </w:tc>
        <w:tc>
          <w:tcPr>
            <w:tcW w:w="1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680" w:type="dxa"/>
            <w:vAlign w:val="bottom"/>
            <w:vMerge w:val="continue"/>
          </w:tcPr>
          <w:p>
            <w:pPr>
              <w:spacing w:after="0"/>
              <w:rPr>
                <w:sz w:val="14"/>
                <w:szCs w:val="14"/>
                <w:color w:val="auto"/>
              </w:rPr>
            </w:pPr>
          </w:p>
        </w:tc>
        <w:tc>
          <w:tcPr>
            <w:tcW w:w="1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September 30, 2024</w:t>
            </w: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Beginning balance</w:t>
            </w:r>
          </w:p>
        </w:tc>
        <w:tc>
          <w:tcPr>
            <w:tcW w:w="160" w:type="dxa"/>
            <w:vAlign w:val="bottom"/>
            <w:tcBorders>
              <w:lef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2,288</w:t>
            </w:r>
          </w:p>
        </w:tc>
        <w:tc>
          <w:tcPr>
            <w:tcW w:w="340" w:type="dxa"/>
            <w:vAlign w:val="bottom"/>
            <w:gridSpan w:val="2"/>
            <w:shd w:val="clear" w:color="auto" w:fill="CFF0FC"/>
          </w:tcPr>
          <w:p>
            <w:pPr>
              <w:jc w:val="right"/>
              <w:ind w:right="48"/>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10,027</w:t>
            </w:r>
          </w:p>
        </w:tc>
        <w:tc>
          <w:tcPr>
            <w:tcW w:w="0" w:type="dxa"/>
            <w:vAlign w:val="bottom"/>
          </w:tcPr>
          <w:p>
            <w:pPr>
              <w:spacing w:after="0"/>
              <w:rPr>
                <w:sz w:val="1"/>
                <w:szCs w:val="1"/>
                <w:color w:val="auto"/>
              </w:rPr>
            </w:pPr>
          </w:p>
        </w:tc>
      </w:tr>
      <w:tr>
        <w:trPr>
          <w:trHeight w:val="175"/>
        </w:trPr>
        <w:tc>
          <w:tcPr>
            <w:tcW w:w="7680" w:type="dxa"/>
            <w:vAlign w:val="bottom"/>
          </w:tcPr>
          <w:p>
            <w:pPr>
              <w:spacing w:after="0" w:line="175" w:lineRule="exact"/>
              <w:rPr>
                <w:sz w:val="20"/>
                <w:szCs w:val="20"/>
                <w:color w:val="auto"/>
              </w:rPr>
            </w:pPr>
            <w:r>
              <w:rPr>
                <w:rFonts w:ascii="Arial" w:cs="Arial" w:eastAsia="Arial" w:hAnsi="Arial"/>
                <w:sz w:val="16"/>
                <w:szCs w:val="16"/>
                <w:color w:val="auto"/>
              </w:rPr>
              <w:t>Change in fair value—recognized as loss within Other income (expense), net in the consolidated</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20"/>
                <w:szCs w:val="20"/>
                <w:color w:val="auto"/>
              </w:rPr>
            </w:pPr>
            <w:r>
              <w:rPr>
                <w:rFonts w:ascii="Arial" w:cs="Arial" w:eastAsia="Arial" w:hAnsi="Arial"/>
                <w:sz w:val="16"/>
                <w:szCs w:val="16"/>
                <w:color w:val="auto"/>
              </w:rPr>
              <w:t>statements of operations</w:t>
            </w:r>
          </w:p>
        </w:tc>
        <w:tc>
          <w:tcPr>
            <w:tcW w:w="16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26,014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18,275</w:t>
            </w:r>
          </w:p>
        </w:tc>
        <w:tc>
          <w:tcPr>
            <w:tcW w:w="0" w:type="dxa"/>
            <w:vAlign w:val="bottom"/>
          </w:tcPr>
          <w:p>
            <w:pPr>
              <w:spacing w:after="0"/>
              <w:rPr>
                <w:sz w:val="1"/>
                <w:szCs w:val="1"/>
                <w:color w:val="auto"/>
              </w:rPr>
            </w:pPr>
          </w:p>
        </w:tc>
      </w:tr>
      <w:tr>
        <w:trPr>
          <w:trHeight w:val="189"/>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Derecognition of warrant liabilities due to exercise in full</w:t>
            </w:r>
          </w:p>
        </w:tc>
        <w:tc>
          <w:tcPr>
            <w:tcW w:w="160" w:type="dxa"/>
            <w:vAlign w:val="bottom"/>
            <w:tcBorders>
              <w:left w:val="single" w:sz="8" w:color="CFF0FC"/>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(28,302)</w:t>
            </w:r>
          </w:p>
        </w:tc>
        <w:tc>
          <w:tcPr>
            <w:tcW w:w="180" w:type="dxa"/>
            <w:vAlign w:val="bottom"/>
            <w:tcBorders>
              <w:bottom w:val="single" w:sz="8" w:color="CFF0FC"/>
              <w:right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(28,302)</w:t>
            </w:r>
          </w:p>
        </w:tc>
        <w:tc>
          <w:tcPr>
            <w:tcW w:w="0" w:type="dxa"/>
            <w:vAlign w:val="bottom"/>
          </w:tcPr>
          <w:p>
            <w:pPr>
              <w:spacing w:after="0"/>
              <w:rPr>
                <w:sz w:val="1"/>
                <w:szCs w:val="1"/>
                <w:color w:val="auto"/>
              </w:rPr>
            </w:pPr>
          </w:p>
        </w:tc>
      </w:tr>
      <w:tr>
        <w:trPr>
          <w:trHeight w:val="183"/>
        </w:trPr>
        <w:tc>
          <w:tcPr>
            <w:tcW w:w="7680" w:type="dxa"/>
            <w:vAlign w:val="bottom"/>
          </w:tcPr>
          <w:p>
            <w:pPr>
              <w:spacing w:after="0" w:line="169" w:lineRule="exact"/>
              <w:rPr>
                <w:sz w:val="20"/>
                <w:szCs w:val="20"/>
                <w:color w:val="auto"/>
              </w:rPr>
            </w:pPr>
            <w:r>
              <w:rPr>
                <w:rFonts w:ascii="Arial" w:cs="Arial" w:eastAsia="Arial" w:hAnsi="Arial"/>
                <w:sz w:val="16"/>
                <w:szCs w:val="16"/>
                <w:color w:val="auto"/>
              </w:rPr>
              <w:t>Ending balance</w:t>
            </w: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1560" w:type="dxa"/>
            <w:vAlign w:val="bottom"/>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48"/>
              <w:spacing w:after="0" w:line="169"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6"/>
                <w:szCs w:val="16"/>
                <w:b w:val="1"/>
                <w:bCs w:val="1"/>
                <w:color w:val="auto"/>
              </w:rPr>
              <w:t>Note 6. 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680" w:type="dxa"/>
            <w:vAlign w:val="bottom"/>
          </w:tcPr>
          <w:p>
            <w:pPr>
              <w:ind w:left="760"/>
              <w:spacing w:after="0"/>
              <w:rPr>
                <w:sz w:val="20"/>
                <w:szCs w:val="20"/>
                <w:color w:val="auto"/>
              </w:rPr>
            </w:pPr>
            <w:r>
              <w:rPr>
                <w:rFonts w:ascii="Arial" w:cs="Arial" w:eastAsia="Arial" w:hAnsi="Arial"/>
                <w:sz w:val="16"/>
                <w:szCs w:val="16"/>
                <w:color w:val="auto"/>
              </w:rPr>
              <w:t>Amounts outstanding under loans are as follows (in thousands):</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Principal</w:t>
            </w:r>
          </w:p>
        </w:tc>
        <w:tc>
          <w:tcPr>
            <w:tcW w:w="160" w:type="dxa"/>
            <w:vAlign w:val="bottom"/>
            <w:tcBorders>
              <w:lef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2,451</w:t>
            </w:r>
          </w:p>
        </w:tc>
        <w:tc>
          <w:tcPr>
            <w:tcW w:w="340" w:type="dxa"/>
            <w:vAlign w:val="bottom"/>
            <w:gridSpan w:val="2"/>
            <w:shd w:val="clear" w:color="auto" w:fill="CFF0FC"/>
          </w:tcPr>
          <w:p>
            <w:pPr>
              <w:jc w:val="right"/>
              <w:ind w:right="8"/>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6"/>
                <w:szCs w:val="16"/>
                <w:color w:val="auto"/>
              </w:rPr>
              <w:t>Less: unamortized discount</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carrying amount</w:t>
            </w:r>
          </w:p>
        </w:tc>
        <w:tc>
          <w:tcPr>
            <w:tcW w:w="160" w:type="dxa"/>
            <w:vAlign w:val="bottom"/>
            <w:tcBorders>
              <w:left w:val="single" w:sz="8" w:color="CFF0FC"/>
            </w:tcBorders>
            <w:shd w:val="clear" w:color="auto" w:fill="CFF0FC"/>
          </w:tcPr>
          <w:p>
            <w:pPr>
              <w:spacing w:after="0"/>
              <w:rPr>
                <w:sz w:val="15"/>
                <w:szCs w:val="15"/>
                <w:color w:val="auto"/>
              </w:rPr>
            </w:pPr>
          </w:p>
        </w:tc>
        <w:tc>
          <w:tcPr>
            <w:tcW w:w="15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2,316</w:t>
            </w:r>
          </w:p>
        </w:tc>
        <w:tc>
          <w:tcPr>
            <w:tcW w:w="18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Long-term portion (included in other long-term liabilities)</w:t>
            </w:r>
          </w:p>
        </w:tc>
        <w:tc>
          <w:tcPr>
            <w:tcW w:w="160" w:type="dxa"/>
            <w:vAlign w:val="bottom"/>
            <w:tcBorders>
              <w:lef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843</w:t>
            </w:r>
          </w:p>
        </w:tc>
        <w:tc>
          <w:tcPr>
            <w:tcW w:w="340" w:type="dxa"/>
            <w:vAlign w:val="bottom"/>
            <w:gridSpan w:val="2"/>
            <w:shd w:val="clear" w:color="auto" w:fill="CFF0FC"/>
          </w:tcPr>
          <w:p>
            <w:pPr>
              <w:jc w:val="right"/>
              <w:ind w:right="8"/>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-1508125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Software Loans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July 2022, the Company entered into a secured payment agreement with a financing entity to finance the purchase of internal use software licenses and related ongoing support from a vendor. As of December 31, 2024, $0.4 million was outstanding, which was waived entirely in January 2025 as part of a settlement agreement with the vendor related to a service claim on the ongoing support component of the agreement. The $0.4 million settlement was recognized as a gain and presented as an offset to maintenance costs upon the settlement, included as part of selling, general and administrative in the consolidated statements of operations.</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January 2025, the Company entered into another secured payment agreement to finance the purchase of $2.8 million of internal use software licenses and related ongoing support (the "January 2025 Agreement"). The Company agreed to repay the financed amount in three payments of $0.7 million in February of 2025, $1.2 million in February 2026, and $0.9 million in February 2027. The financing entity and vendor are not related. The payment agreement is noninterest bearing and the Company concluded that the stated zero interest rate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8.9% and was used to establish the present value of the payment agreement.</w:t>
      </w:r>
    </w:p>
    <w:p>
      <w:pPr>
        <w:spacing w:after="0" w:line="34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total initial present value of the January 2025 Agreement was $2.6 million. The discount of $0.2 million is being recognized as interest expense in the consolidated statements of operations over the life of the payment agreement. The first repayment of $0.7 million was billed in March 2025 and paid in April 2025. Interest expense for the three and nine months ended September 30, 2025 was immaterial.</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 Equipment Loan</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November 2023, the Company purchased lab equipment from one of its main vendors for $3.4 million. Extended payment terms were provided to the Company through a financial solutions partner of the vendor. Terms included a 30% down payment and 24 equal monthly payments for the remaining balance, with such monthly payments commencing in January 2024 and the last payment due in January 2026, and no interest or financing charges. Title for the lab equipment transferred immediately upon delivery to the Company. The financial solutions partner retains a security interest until payoff is complete at the end of 2025. The purchase price for the lab equipment was equal to the cash price and thus the impact of imputing interest would have been de minimis. Repayments during the three months ended September 30, 2025 and 2024 were $0.4 million and $0.3 million, respectively, and were $1.0 million and $0.8 million during the nine months ended September 30, 2025 and 2024,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19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2021, the Company entered into a noncancelable operating lease for approximately 100,000 square feet in Fremont, California used for laboratory operations and its corporate headquarters. The lease term is 13.5 years and commenced in October 2022. The Company gained early access to the premises for the purpose of constructing and installing tenant improvements, for which the landlord contributed $15.1 million. Such contributions were accounted for as lease incentives and are recognized as reductions to lease expense over the lease term. The lease expires at the end of March 2036 and includes two options to extend the term for a period of five-years per option at market rates. The Company determined the extension options are not reasonably certain to be exercised. The lease includes escalating rent payments.</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has a noncancelable operating lease expiring in November 2027 for 31,280 square feet in Menlo Park, California previously used for laboratory operations and its former corporate headquarters. The lease includes escalating rent payments. The Company moved all laboratory operations to the Fremont facility during the third quarter of 2023, resulting in a lease impairment charge at that time. The Company is actively marketing the vacated Menlo Park space for sublease.</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has noncancelable operating leases for data center space expiring between 2025 and 2026. The leases include renewal options that the Company determined are not reasonably certain to be exercised. Separately, the Company also has various other short-term leases.</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of September 30, 2025, operating leases had a weighted-average remaining lease term of 9.5 years and a weighted-average discount rate of 10.6%. Discount rates are based on estimates of the Company's incremental borrowing rate, as the discount rates implicit in the leases cannot be readily determined. Future lease payments under operating leases as of September 30, 2025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Amount</w:t>
            </w:r>
          </w:p>
        </w:tc>
      </w:tr>
      <w:tr>
        <w:trPr>
          <w:trHeight w:val="183"/>
        </w:trPr>
        <w:tc>
          <w:tcPr>
            <w:tcW w:w="9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2025 (remaining three months)</w:t>
            </w:r>
          </w:p>
        </w:tc>
        <w:tc>
          <w:tcPr>
            <w:tcW w:w="38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1,832</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2026</w:t>
            </w:r>
          </w:p>
        </w:tc>
        <w:tc>
          <w:tcPr>
            <w:tcW w:w="380" w:type="dxa"/>
            <w:vAlign w:val="bottom"/>
          </w:tcPr>
          <w:p>
            <w:pPr>
              <w:spacing w:after="0"/>
              <w:rPr>
                <w:sz w:val="16"/>
                <w:szCs w:val="16"/>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7,230</w:t>
            </w:r>
          </w:p>
        </w:tc>
      </w:tr>
      <w:tr>
        <w:trPr>
          <w:trHeight w:val="189"/>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7,189</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2028</w:t>
            </w:r>
          </w:p>
        </w:tc>
        <w:tc>
          <w:tcPr>
            <w:tcW w:w="380" w:type="dxa"/>
            <w:vAlign w:val="bottom"/>
          </w:tcPr>
          <w:p>
            <w:pPr>
              <w:spacing w:after="0"/>
              <w:rPr>
                <w:sz w:val="16"/>
                <w:szCs w:val="16"/>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5,215</w:t>
            </w:r>
          </w:p>
        </w:tc>
      </w:tr>
      <w:tr>
        <w:trPr>
          <w:trHeight w:val="189"/>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2029</w:t>
            </w: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5,371</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2030 and thereafter</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37,426</w:t>
            </w:r>
          </w:p>
        </w:tc>
      </w:tr>
      <w:tr>
        <w:trPr>
          <w:trHeight w:val="183"/>
        </w:trPr>
        <w:tc>
          <w:tcPr>
            <w:tcW w:w="9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38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64,263</w:t>
            </w:r>
          </w:p>
        </w:tc>
      </w:tr>
      <w:tr>
        <w:trPr>
          <w:trHeight w:val="189"/>
        </w:trPr>
        <w:tc>
          <w:tcPr>
            <w:tcW w:w="9240" w:type="dxa"/>
            <w:vAlign w:val="bottom"/>
          </w:tcPr>
          <w:p>
            <w:pPr>
              <w:ind w:left="180"/>
              <w:spacing w:after="0"/>
              <w:rPr>
                <w:sz w:val="20"/>
                <w:szCs w:val="20"/>
                <w:color w:val="auto"/>
              </w:rPr>
            </w:pPr>
            <w:r>
              <w:rPr>
                <w:rFonts w:ascii="Arial" w:cs="Arial" w:eastAsia="Arial" w:hAnsi="Arial"/>
                <w:sz w:val="16"/>
                <w:szCs w:val="16"/>
                <w:color w:val="auto"/>
              </w:rPr>
              <w:t>Less: imputed interest</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(24,705)</w:t>
            </w:r>
          </w:p>
        </w:tc>
      </w:tr>
      <w:tr>
        <w:trPr>
          <w:trHeight w:val="183"/>
        </w:trPr>
        <w:tc>
          <w:tcPr>
            <w:tcW w:w="9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Present value of future minimum lease payments</w:t>
            </w:r>
          </w:p>
        </w:tc>
        <w:tc>
          <w:tcPr>
            <w:tcW w:w="38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39,558</w:t>
            </w:r>
          </w:p>
        </w:tc>
      </w:tr>
      <w:tr>
        <w:trPr>
          <w:trHeight w:val="189"/>
        </w:trPr>
        <w:tc>
          <w:tcPr>
            <w:tcW w:w="9240" w:type="dxa"/>
            <w:vAlign w:val="bottom"/>
          </w:tcPr>
          <w:p>
            <w:pPr>
              <w:ind w:left="180"/>
              <w:spacing w:after="0"/>
              <w:rPr>
                <w:sz w:val="20"/>
                <w:szCs w:val="20"/>
                <w:color w:val="auto"/>
              </w:rPr>
            </w:pPr>
            <w:r>
              <w:rPr>
                <w:rFonts w:ascii="Arial" w:cs="Arial" w:eastAsia="Arial" w:hAnsi="Arial"/>
                <w:sz w:val="16"/>
                <w:szCs w:val="16"/>
                <w:color w:val="auto"/>
              </w:rPr>
              <w:t>Less: current portion of operating lease liability (included in accrued and other current liabilities)</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(6,900)</w:t>
            </w:r>
          </w:p>
        </w:tc>
      </w:tr>
      <w:tr>
        <w:trPr>
          <w:trHeight w:val="223"/>
        </w:trPr>
        <w:tc>
          <w:tcPr>
            <w:tcW w:w="92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Long-term operating lease liabilities</w:t>
            </w:r>
          </w:p>
        </w:tc>
        <w:tc>
          <w:tcPr>
            <w:tcW w:w="38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32,658</w:t>
            </w:r>
          </w:p>
        </w:tc>
      </w:tr>
    </w:tbl>
    <w:p>
      <w:pPr>
        <w:spacing w:after="0" w:line="16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consolidated statements of cash flows, for the nine months ended September 30, 2025 and 2024, was $6.2 million and $6.1 million, respectively.</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Components of lease costs were as follows (in thousands):</w:t>
      </w:r>
    </w:p>
    <w:p>
      <w:pPr>
        <w:spacing w:after="0" w:line="185" w:lineRule="exact"/>
        <w:rPr>
          <w:sz w:val="20"/>
          <w:szCs w:val="20"/>
          <w:color w:val="auto"/>
        </w:rPr>
      </w:pPr>
    </w:p>
    <w:tbl>
      <w:tblPr>
        <w:tblLayout w:type="fixed"/>
        <w:tblInd w:w="5780" w:type="dxa"/>
        <w:tblCellMar>
          <w:top w:w="0" w:type="dxa"/>
          <w:left w:w="0" w:type="dxa"/>
          <w:bottom w:w="0" w:type="dxa"/>
          <w:right w:w="0" w:type="dxa"/>
        </w:tblCellMar>
      </w:tblPr>
      <w:tr>
        <w:trPr>
          <w:trHeight w:val="171"/>
        </w:trPr>
        <w:tc>
          <w:tcPr>
            <w:tcW w:w="26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Three Months Ended September 30,</w:t>
            </w:r>
          </w:p>
        </w:tc>
        <w:tc>
          <w:tcPr>
            <w:tcW w:w="27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12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4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3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4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p>
      <w:pPr>
        <w:spacing w:after="0"/>
        <w:rPr>
          <w:sz w:val="20"/>
          <w:szCs w:val="20"/>
          <w:color w:val="auto"/>
        </w:rPr>
      </w:pPr>
      <w:r>
        <w:rPr>
          <w:rFonts w:ascii="Arial" w:cs="Arial" w:eastAsia="Arial" w:hAnsi="Arial"/>
          <w:sz w:val="16"/>
          <w:szCs w:val="16"/>
          <w:color w:val="auto"/>
        </w:rPr>
        <w:t>Lease cost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lease cost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Short-term lease cost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Variable lease cost</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1,460</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1,503</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4,409</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4,535</w:t>
            </w: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54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197</w:t>
            </w:r>
          </w:p>
        </w:tc>
      </w:tr>
      <w:tr>
        <w:trPr>
          <w:trHeight w:val="203"/>
        </w:trPr>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537</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513</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1,444</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1,539</w:t>
            </w:r>
          </w:p>
        </w:tc>
      </w:tr>
      <w:tr>
        <w:trPr>
          <w:trHeight w:val="183"/>
        </w:trPr>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1,998</w:t>
            </w:r>
          </w:p>
        </w:tc>
        <w:tc>
          <w:tcPr>
            <w:tcW w:w="5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2,017</w:t>
            </w:r>
          </w:p>
        </w:tc>
        <w:tc>
          <w:tcPr>
            <w:tcW w:w="54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5,856</w:t>
            </w:r>
          </w:p>
        </w:tc>
        <w:tc>
          <w:tcPr>
            <w:tcW w:w="54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6,271</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-393700</wp:posOffset>
            </wp:positionV>
            <wp:extent cx="713232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-145415</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460"/>
          </w:cols>
          <w:pgMar w:left="320" w:top="778" w:right="339" w:bottom="1440" w:gutter="0" w:footer="0" w:header="0"/>
          <w:type w:val="continuous"/>
        </w:sectPr>
      </w:pPr>
    </w:p>
    <w:p>
      <w:pPr>
        <w:spacing w:after="0" w:line="12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September 2025, the Company entered into an agreement to lease lab equipment for 36 months with 33 monthly payments of $71,479, commencing in January 2026. The Company classified this lease as a finance lease as the agreement contains an early buyout option which the Company is reasonably certain to exercise. Pursuant to the early buyout option, the Company can purchase the equipment and simultaneously terminate the agreement by paying the purchase price of $2.1 million in January 2026. The purchase price was recognized as part of right-of-use ("ROU") finance lease assets and finance lease liabilities. As of September 30, 2025, finance lease ROU assets and ROU liabilities were $3.3 million and $3.2 million, respectively. As of December 31, 2024, the Company had no finance leases. Finance lease ROU assets are classified as long-term assets and are reported within the other long-term assets line in the consolidated balance sheets. Finance lease ROU liabilities with payments due within one year are classified as short-term liabilities and reported within the accrued and other current liabilities line in the consolidated balance sheets. Finance lease ROU liabilities with payments due beyond one year are classified as long-term liabilities and reported with the other long-term liabilities line in the consolidated balance sheets.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Related Party Transactions</w:t>
      </w:r>
    </w:p>
    <w:p>
      <w:pPr>
        <w:spacing w:after="0" w:line="194" w:lineRule="exact"/>
        <w:rPr>
          <w:sz w:val="20"/>
          <w:szCs w:val="20"/>
          <w:color w:val="auto"/>
        </w:rPr>
      </w:pPr>
    </w:p>
    <w:p>
      <w:pPr>
        <w:jc w:val="both"/>
        <w:ind w:right="20" w:firstLine="749"/>
        <w:spacing w:after="0" w:line="304" w:lineRule="auto"/>
        <w:rPr>
          <w:sz w:val="20"/>
          <w:szCs w:val="20"/>
          <w:color w:val="auto"/>
        </w:rPr>
      </w:pPr>
      <w:r>
        <w:rPr>
          <w:rFonts w:ascii="Arial" w:cs="Arial" w:eastAsia="Arial" w:hAnsi="Arial"/>
          <w:sz w:val="16"/>
          <w:szCs w:val="16"/>
          <w:color w:val="auto"/>
        </w:rPr>
        <w:t>The Company determined that Tempus and Merck &amp; Co., Inc. (“Merck”) are related parties because they own more than 10% of the Company's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Tempus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Tempus acquired its ownership stake in August 2024 by exercising the Tempus Warrants and purchasing additional shares under the Investment Agreement (defined below).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 of Tempus Agreement</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November 2023, the Company entered into a Commercialization and Reference Laboratory Agreement (as amended by Amendment No. 1, dated August 16, 2024, Amendment No. 2, dated September 20, 2024, Amendment No. 3, dated December 13, 2024, Amendment No. 4, dated July 8, 2025 and Amendment No. 5, dated September 11, 2025, collectively, the “Tempus Agreement”) with Tempus pursuant to which Tempus markets the Company's NeXT Personal Dx test in the United States. The Company performs tests ordered by patients through Tempus and the Company bills the patients or payors. The Company compensates Tempus for orders obtained and results delivered on a per-test basis. The term of the Tempus Agreement is six years, which may be extended for successive one-year terms. Either party may terminate the Tempus Agreement for convenience upon 30 months' prior written notice.</w:t>
      </w:r>
    </w:p>
    <w:p>
      <w:pPr>
        <w:spacing w:after="0" w:line="33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Under the Tempus Agreement, the Company conducted development activities to analytically validate NeXT Personal Dx in three indications: breast cancer, lung cancer and immuno-oncology monitoring. In consideration of the Company performing such development activities, in addition to the activation and first milestone fees, Tempus agreed to pay the Company a second milestone fee of $6.0 million (the "Market Development Fee"), payable in six equal quarterly installments.</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Separately, the parties are performing co-promotion activities, and the Company is compensating Tempus for promotional and commercialization services through the end of 2026.</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Tempus Agreement also granted Tempus access to initial and longitudinal genomic data derived from performance of the tests and Tempus will have the right to use such data. If Tempus licenses such data to a third party and Tempus recognizes revenue from such license, Tempus will pay the Company a percentage of its gross revenues attributable to such license that is in the range of 10% to 20%. Such revenue share shall be payable during the term of the agreement and for 10 years thereafter. There was no revenue share recognized during the three and nine months ended September 30, 2025.</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Additionally, as partial consideration of Tempus' obligations to the Company under the Tempus Agreement, the Company issued warrants to Tempus. See "Tempus Warrants" section below.</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July 2025, the Company and Tempus entered into an amendment to the Tempus Agreement pursuant to which the Company authorized Tempus to market NeXT Personal Dx in a fourth indication, colorectal cancer, on the same terms as Tempus’ marketing of the other indications covered by the Tempus Agreement and the parties extended the term of the Tempus Agreement through November 25, 2029.</w:t>
      </w:r>
    </w:p>
    <w:p>
      <w:pPr>
        <w:spacing w:after="0" w:line="10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the amendment extends the time period to December 31, 2028, during which the Company will not allow any third party (other than an acquiror of the Company or any affiliates of such acquiror) to market NeXT Personal Dx in any of the indications and Tempus will not market another tumor-informed molecular residual disease assay indicated for use in such indications (whether its own or that of a third party), in each case subject to certain exceptions and to the extent they do not expire earlier (the “Exclusivity Period”).</w:t>
      </w:r>
    </w:p>
    <w:p>
      <w:pPr>
        <w:spacing w:after="0" w:line="11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amendment modified the term of certain customary standstill restrictions agreed to by Tempus in the Tempus Agreement such that they will automatically expire on the earlier of (i) June 4, 2027 and (ii) the expiration or termination of the Exclusivity Period.</w:t>
      </w:r>
    </w:p>
    <w:p>
      <w:pPr>
        <w:spacing w:after="0" w:line="7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September 2025, the Company and Tempus entered into an amendment to the Tempus Agreement, pursuant to which the existing standstill was amended to allow Tempus to acquire shares of the Company's common stock in open market purchases as long as Tempus's beneficial ownership of the Company's common stock does not exceed 19.99%.</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consideration of Tempus’ obligations to Personalis under the Tempus Agreement, on November 28, 2023, the Company issued to Tempus two warrants to purchase up to 9,218,800 shares of Personalis common stock at an average exercise price of $2.00 per share (the “Tempus Warrants”). In August 2024, concurrently with the execution of the Tempus Investment Agreement (described below), Tempus exercised in full the Tempus Warrants for $18.4 million in cash.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Tempus Warrants included a provision under which the total number of shares issuable upon settlement were subject to adjustment, which caused the Tempus Warrants to be classified as liability instruments while outstanding and subject to remeasurement at each balance sheet date, with changes in fair value recognized as other income (expense), net in the consolidated statements of operations. Fair values of the warrants were estimated using the Black-Scholes option-pricing model. See Note 5, Fair Value Measurements for discussion of inputs used in the measurements of the Tempus Warrants and the resulting noncash loss recognized in the consolidated statements of operations. During the three and nine months ended September 30, 2024, the Company recognized noncash losses of $26.0 million and $18.3 million, respectively, for the change in fair value of the Tempus Warrants.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Agreement with Tempus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 August 2024, the Company entered into an investment agreement (the "Tempus Investment Agreement") with Tempus under which the Company issued and sold 3,500,000 shares of common stock at a price per share of $5.07 and received $17.7 million of cash from the sale of the shares.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Tempus Agreement on the Financial Statements</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Market Development Fee for the second milestone is recorded as a liability when received and offset against promotional fees as they are paid by the Company to Tempus. As of September 30, 2025, all of the $6.0 million Market Development Fee for the second milestone has been received.</w:t>
      </w:r>
    </w:p>
    <w:p>
      <w:pPr>
        <w:spacing w:after="0" w:line="11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Amounts of transactions with Tempus during each income statement period presented, along with amounts due from or to Tempus as of each balance sheet date,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Income Statement</w:t>
            </w: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tcPr>
          <w:p>
            <w:pPr>
              <w:jc w:val="right"/>
              <w:ind w:right="543"/>
              <w:spacing w:after="0" w:line="147" w:lineRule="exact"/>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September 30, 2025</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168"/>
        </w:trPr>
        <w:tc>
          <w:tcPr>
            <w:tcW w:w="620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Orders and results delivery fees and net promotional fees — Selling, general and</w:t>
            </w: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administrative expenses</w:t>
            </w:r>
          </w:p>
        </w:tc>
        <w:tc>
          <w:tcPr>
            <w:tcW w:w="7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1,208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2,718</w:t>
            </w:r>
          </w:p>
        </w:tc>
        <w:tc>
          <w:tcPr>
            <w:tcW w:w="0" w:type="dxa"/>
            <w:vAlign w:val="bottom"/>
          </w:tcPr>
          <w:p>
            <w:pPr>
              <w:spacing w:after="0"/>
              <w:rPr>
                <w:sz w:val="1"/>
                <w:szCs w:val="1"/>
                <w:color w:val="auto"/>
              </w:rPr>
            </w:pPr>
          </w:p>
        </w:tc>
      </w:tr>
      <w:tr>
        <w:trPr>
          <w:trHeight w:val="634"/>
        </w:trPr>
        <w:tc>
          <w:tcPr>
            <w:tcW w:w="6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Balance Sheet</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September 30, 2025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Accrued and other current liabilities:</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120"/>
              <w:spacing w:after="0"/>
              <w:rPr>
                <w:sz w:val="20"/>
                <w:szCs w:val="20"/>
                <w:color w:val="auto"/>
              </w:rPr>
            </w:pPr>
            <w:r>
              <w:rPr>
                <w:rFonts w:ascii="Arial" w:cs="Arial" w:eastAsia="Arial" w:hAnsi="Arial"/>
                <w:sz w:val="16"/>
                <w:szCs w:val="16"/>
                <w:color w:val="auto"/>
              </w:rPr>
              <w:t>Unamortized Market Development Fees</w:t>
            </w:r>
          </w:p>
        </w:tc>
        <w:tc>
          <w:tcPr>
            <w:tcW w:w="7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43"/>
              <w:spacing w:after="0"/>
              <w:rPr>
                <w:sz w:val="20"/>
                <w:szCs w:val="20"/>
                <w:color w:val="auto"/>
              </w:rPr>
            </w:pPr>
            <w:r>
              <w:rPr>
                <w:rFonts w:ascii="Arial" w:cs="Arial" w:eastAsia="Arial" w:hAnsi="Arial"/>
                <w:sz w:val="16"/>
                <w:szCs w:val="16"/>
                <w:color w:val="auto"/>
              </w:rPr>
              <w:t>3,500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189"/>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Accrued payable to Tempus</w:t>
            </w:r>
          </w:p>
        </w:tc>
        <w:tc>
          <w:tcPr>
            <w:tcW w:w="4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22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1,114</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83"/>
        </w:trPr>
        <w:tc>
          <w:tcPr>
            <w:tcW w:w="6200" w:type="dxa"/>
            <w:vAlign w:val="bottom"/>
          </w:tcPr>
          <w:p>
            <w:pPr>
              <w:ind w:left="240"/>
              <w:spacing w:after="0" w:line="169" w:lineRule="exact"/>
              <w:rPr>
                <w:sz w:val="20"/>
                <w:szCs w:val="20"/>
                <w:color w:val="auto"/>
              </w:rPr>
            </w:pPr>
            <w:r>
              <w:rPr>
                <w:rFonts w:ascii="Arial" w:cs="Arial" w:eastAsia="Arial" w:hAnsi="Arial"/>
                <w:sz w:val="16"/>
                <w:szCs w:val="16"/>
                <w:color w:val="auto"/>
              </w:rPr>
              <w:t>Total accrued and other current liabilities</w:t>
            </w:r>
          </w:p>
        </w:tc>
        <w:tc>
          <w:tcPr>
            <w:tcW w:w="700" w:type="dxa"/>
            <w:vAlign w:val="bottom"/>
            <w:gridSpan w:val="2"/>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2240" w:type="dxa"/>
            <w:vAlign w:val="bottom"/>
          </w:tcPr>
          <w:p>
            <w:pPr>
              <w:jc w:val="right"/>
              <w:ind w:right="43"/>
              <w:spacing w:after="0" w:line="169" w:lineRule="exact"/>
              <w:rPr>
                <w:sz w:val="20"/>
                <w:szCs w:val="20"/>
                <w:color w:val="auto"/>
              </w:rPr>
            </w:pPr>
            <w:r>
              <w:rPr>
                <w:rFonts w:ascii="Arial" w:cs="Arial" w:eastAsia="Arial" w:hAnsi="Arial"/>
                <w:sz w:val="16"/>
                <w:szCs w:val="16"/>
                <w:color w:val="auto"/>
              </w:rPr>
              <w:t>4,614</w:t>
            </w:r>
          </w:p>
        </w:tc>
        <w:tc>
          <w:tcPr>
            <w:tcW w:w="3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720" w:type="dxa"/>
            <w:vAlign w:val="bottom"/>
          </w:tcPr>
          <w:p>
            <w:pPr>
              <w:jc w:val="right"/>
              <w:ind w:right="42"/>
              <w:spacing w:after="0" w:line="169" w:lineRule="exact"/>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Unamortized Market Development Fees</w:t>
            </w:r>
          </w:p>
        </w:tc>
        <w:tc>
          <w:tcPr>
            <w:tcW w:w="4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1,050</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183"/>
        </w:trPr>
        <w:tc>
          <w:tcPr>
            <w:tcW w:w="6200" w:type="dxa"/>
            <w:vAlign w:val="bottom"/>
          </w:tcPr>
          <w:p>
            <w:pPr>
              <w:ind w:left="240"/>
              <w:spacing w:after="0" w:line="169" w:lineRule="exact"/>
              <w:rPr>
                <w:sz w:val="20"/>
                <w:szCs w:val="20"/>
                <w:color w:val="auto"/>
              </w:rPr>
            </w:pPr>
            <w:r>
              <w:rPr>
                <w:rFonts w:ascii="Arial" w:cs="Arial" w:eastAsia="Arial" w:hAnsi="Arial"/>
                <w:sz w:val="16"/>
                <w:szCs w:val="16"/>
                <w:color w:val="auto"/>
              </w:rPr>
              <w:t>Total other long-term liabilities</w:t>
            </w:r>
          </w:p>
        </w:tc>
        <w:tc>
          <w:tcPr>
            <w:tcW w:w="700" w:type="dxa"/>
            <w:vAlign w:val="bottom"/>
            <w:gridSpan w:val="2"/>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2240" w:type="dxa"/>
            <w:vAlign w:val="bottom"/>
          </w:tcPr>
          <w:p>
            <w:pPr>
              <w:jc w:val="right"/>
              <w:ind w:right="43"/>
              <w:spacing w:after="0" w:line="169" w:lineRule="exact"/>
              <w:rPr>
                <w:sz w:val="20"/>
                <w:szCs w:val="20"/>
                <w:color w:val="auto"/>
              </w:rPr>
            </w:pPr>
            <w:r>
              <w:rPr>
                <w:rFonts w:ascii="Arial" w:cs="Arial" w:eastAsia="Arial" w:hAnsi="Arial"/>
                <w:sz w:val="16"/>
                <w:szCs w:val="16"/>
                <w:color w:val="auto"/>
              </w:rPr>
              <w:t>1,050</w:t>
            </w:r>
          </w:p>
        </w:tc>
        <w:tc>
          <w:tcPr>
            <w:tcW w:w="3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720" w:type="dxa"/>
            <w:vAlign w:val="bottom"/>
          </w:tcPr>
          <w:p>
            <w:pPr>
              <w:jc w:val="right"/>
              <w:ind w:right="42"/>
              <w:spacing w:after="0" w:line="169" w:lineRule="exact"/>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540"/>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6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6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-1593850</wp:posOffset>
            </wp:positionV>
            <wp:extent cx="1289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-1045210</wp:posOffset>
            </wp:positionV>
            <wp:extent cx="1289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Merck Sharp &amp; Dohme LLC</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Agreement with Merck</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On December 19, 2024, the Company entered into an investment agreement (the "Merck Investment Agreement") with Merck under which the Company issued and sold 14,044,943 shares of common stock at a price per share of $3.56, representing the last reported closing price of the common stock. The Company received $50.0 million of cash from the sale of the shares and incurred $0.3 million of issuance costs directly related to the sale. Pursuant to the terms of the Merck Investment Agreement, the Company agreed to reserve $10.0 million of the proceeds to open an ISO-certified laboratory in a region outside of the United States, with such region mutually agreed upon by the Company and Merck. This cash was not legally restricted under the Merck Investment Agreement and therefore included in cash and cash equivalents as of September 30, 2025 and December 31, 2024.</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Before Merck became a related party in December 2024, the Company entered into a Master Service Agreement (the “Master Agreement”), in June 2017, as amended from time to time, with Merck for the performance of DNA and RNA sequencing analysis and data interpretation services, as well as synthesis and/or analysis of chemical compounds, genetic material and related samples for preclinical research purposes. In February 2024, the Company entered into an amendment whereby Merck engaged the Company to provide clinical laboratory services in connection with Merck's clinical studies.</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During the three and nine months ended September 30, 2025, the Company invoiced $1.0 million and $3.3 million, respectively, pursuant to the terms of the Master Agreement and recorded as revenue in its consolidated statement of operations. As of each of September 30, 2025 and December 31, 2024, $2.5 million was outstanding as a receivable from Merck and included in accounts receivable in the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Stock-Based Compensation</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of common stock reserved for issuance under the Company’s equity incentive plans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21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September 30, 2025</w:t>
            </w:r>
          </w:p>
        </w:tc>
      </w:tr>
      <w:tr>
        <w:trPr>
          <w:trHeight w:val="183"/>
        </w:trPr>
        <w:tc>
          <w:tcPr>
            <w:tcW w:w="9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stock awards</w:t>
            </w:r>
          </w:p>
        </w:tc>
        <w:tc>
          <w:tcPr>
            <w:tcW w:w="214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13,873,027</w:t>
            </w:r>
          </w:p>
        </w:tc>
      </w:tr>
      <w:tr>
        <w:trPr>
          <w:trHeight w:val="189"/>
        </w:trPr>
        <w:tc>
          <w:tcPr>
            <w:tcW w:w="9100" w:type="dxa"/>
            <w:vAlign w:val="bottom"/>
          </w:tcPr>
          <w:p>
            <w:pPr>
              <w:spacing w:after="0"/>
              <w:rPr>
                <w:sz w:val="20"/>
                <w:szCs w:val="20"/>
                <w:color w:val="auto"/>
              </w:rPr>
            </w:pPr>
            <w:r>
              <w:rPr>
                <w:rFonts w:ascii="Arial" w:cs="Arial" w:eastAsia="Arial" w:hAnsi="Arial"/>
                <w:sz w:val="16"/>
                <w:szCs w:val="16"/>
                <w:color w:val="auto"/>
              </w:rPr>
              <w:t>Reserved for future award grants</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4,559,667</w:t>
            </w:r>
          </w:p>
        </w:tc>
      </w:tr>
      <w:tr>
        <w:trPr>
          <w:trHeight w:val="189"/>
        </w:trPr>
        <w:tc>
          <w:tcPr>
            <w:tcW w:w="9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Reserved for future ESPP</w:t>
            </w:r>
          </w:p>
        </w:tc>
        <w:tc>
          <w:tcPr>
            <w:tcW w:w="2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306,323</w:t>
            </w:r>
          </w:p>
        </w:tc>
      </w:tr>
      <w:tr>
        <w:trPr>
          <w:trHeight w:val="183"/>
        </w:trPr>
        <w:tc>
          <w:tcPr>
            <w:tcW w:w="9100" w:type="dxa"/>
            <w:vAlign w:val="bottom"/>
          </w:tcPr>
          <w:p>
            <w:pPr>
              <w:ind w:left="180"/>
              <w:spacing w:after="0" w:line="169" w:lineRule="exact"/>
              <w:rPr>
                <w:sz w:val="20"/>
                <w:szCs w:val="20"/>
                <w:color w:val="auto"/>
              </w:rPr>
            </w:pPr>
            <w:r>
              <w:rPr>
                <w:rFonts w:ascii="Arial" w:cs="Arial" w:eastAsia="Arial" w:hAnsi="Arial"/>
                <w:sz w:val="16"/>
                <w:szCs w:val="16"/>
                <w:color w:val="auto"/>
              </w:rPr>
              <w:t>Total common stock reserved for stock awards</w:t>
            </w:r>
          </w:p>
        </w:tc>
        <w:tc>
          <w:tcPr>
            <w:tcW w:w="214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color w:val="auto"/>
              </w:rPr>
              <w:t>18,739,017</w:t>
            </w:r>
          </w:p>
        </w:tc>
      </w:tr>
      <w:tr>
        <w:trPr>
          <w:trHeight w:val="20"/>
        </w:trPr>
        <w:tc>
          <w:tcPr>
            <w:tcW w:w="9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Service-Based Stock Option Activity</w:t>
      </w:r>
    </w:p>
    <w:p>
      <w:pPr>
        <w:spacing w:after="0" w:line="19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A summary of the Company’s service-based stock option activity (excluding performance-based stock option activity, which is presented separately below) for the nine months ended September 30, 2025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Outstanding Service-Based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46"/>
        </w:trPr>
        <w:tc>
          <w:tcPr>
            <w:tcW w:w="5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81"/>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0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300" w:type="dxa"/>
            <w:vAlign w:val="bottom"/>
          </w:tcPr>
          <w:p>
            <w:pPr>
              <w:jc w:val="right"/>
              <w:ind w:right="261"/>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201"/>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84"/>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78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3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2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Value</w:t>
            </w: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13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8,607,718</w:t>
            </w:r>
          </w:p>
        </w:tc>
        <w:tc>
          <w:tcPr>
            <w:tcW w:w="28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5.07</w:t>
            </w:r>
          </w:p>
        </w:tc>
        <w:tc>
          <w:tcPr>
            <w:tcW w:w="1400" w:type="dxa"/>
            <w:vAlign w:val="bottom"/>
            <w:gridSpan w:val="2"/>
            <w:shd w:val="clear" w:color="auto" w:fill="CFF0FC"/>
          </w:tcPr>
          <w:p>
            <w:pPr>
              <w:jc w:val="right"/>
              <w:ind w:right="48"/>
              <w:spacing w:after="0" w:line="183" w:lineRule="exact"/>
              <w:rPr>
                <w:sz w:val="20"/>
                <w:szCs w:val="20"/>
                <w:color w:val="auto"/>
              </w:rPr>
            </w:pPr>
            <w:r>
              <w:rPr>
                <w:rFonts w:ascii="Arial" w:cs="Arial" w:eastAsia="Arial" w:hAnsi="Arial"/>
                <w:sz w:val="16"/>
                <w:szCs w:val="16"/>
                <w:color w:val="auto"/>
              </w:rPr>
              <w:t>7.64</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21,949</w:t>
            </w: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Options granted</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4,617,500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 exercised</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(118,511)</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Options forfeited or 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(304,948)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3"/>
        </w:trPr>
        <w:tc>
          <w:tcPr>
            <w:tcW w:w="57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Balance—September 30, 2025</w:t>
            </w:r>
          </w:p>
        </w:tc>
        <w:tc>
          <w:tcPr>
            <w:tcW w:w="1300" w:type="dxa"/>
            <w:vAlign w:val="bottom"/>
            <w:tcBorders>
              <w:bottom w:val="single" w:sz="8" w:color="auto"/>
            </w:tcBorders>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12,801,759</w:t>
            </w:r>
          </w:p>
        </w:tc>
        <w:tc>
          <w:tcPr>
            <w:tcW w:w="280" w:type="dxa"/>
            <w:vAlign w:val="bottom"/>
            <w:tcBorders>
              <w:bottom w:val="single" w:sz="8" w:color="CFF0FC"/>
            </w:tcBorders>
            <w:gridSpan w:val="2"/>
            <w:shd w:val="clear" w:color="auto" w:fill="CFF0FC"/>
          </w:tcPr>
          <w:p>
            <w:pPr>
              <w:ind w:left="140"/>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4.71</w:t>
            </w:r>
          </w:p>
        </w:tc>
        <w:tc>
          <w:tcPr>
            <w:tcW w:w="1400" w:type="dxa"/>
            <w:vAlign w:val="bottom"/>
            <w:tcBorders>
              <w:bottom w:val="single" w:sz="8" w:color="CFF0FC"/>
            </w:tcBorders>
            <w:gridSpan w:val="2"/>
            <w:shd w:val="clear" w:color="auto" w:fill="CFF0FC"/>
          </w:tcPr>
          <w:p>
            <w:pPr>
              <w:jc w:val="right"/>
              <w:ind w:right="48"/>
              <w:spacing w:after="0" w:line="169" w:lineRule="exact"/>
              <w:rPr>
                <w:sz w:val="20"/>
                <w:szCs w:val="20"/>
                <w:color w:val="auto"/>
              </w:rPr>
            </w:pPr>
            <w:r>
              <w:rPr>
                <w:rFonts w:ascii="Arial" w:cs="Arial" w:eastAsia="Arial" w:hAnsi="Arial"/>
                <w:sz w:val="16"/>
                <w:szCs w:val="16"/>
                <w:color w:val="auto"/>
              </w:rPr>
              <w:t>7.85</w:t>
            </w:r>
          </w:p>
        </w:tc>
        <w:tc>
          <w:tcPr>
            <w:tcW w:w="300" w:type="dxa"/>
            <w:vAlign w:val="bottom"/>
            <w:tcBorders>
              <w:bottom w:val="single" w:sz="8" w:color="CFF0FC"/>
            </w:tcBorders>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4"/>
              <w:spacing w:after="0" w:line="169" w:lineRule="exact"/>
              <w:rPr>
                <w:sz w:val="20"/>
                <w:szCs w:val="20"/>
                <w:color w:val="auto"/>
              </w:rPr>
            </w:pPr>
            <w:r>
              <w:rPr>
                <w:rFonts w:ascii="Arial" w:cs="Arial" w:eastAsia="Arial" w:hAnsi="Arial"/>
                <w:sz w:val="16"/>
                <w:szCs w:val="16"/>
                <w:color w:val="auto"/>
              </w:rPr>
              <w:t>37,105</w:t>
            </w:r>
          </w:p>
        </w:tc>
      </w:tr>
      <w:tr>
        <w:trPr>
          <w:trHeight w:val="169"/>
        </w:trPr>
        <w:tc>
          <w:tcPr>
            <w:tcW w:w="5780" w:type="dxa"/>
            <w:vAlign w:val="bottom"/>
          </w:tcPr>
          <w:p>
            <w:pPr>
              <w:spacing w:after="0" w:line="169" w:lineRule="exact"/>
              <w:rPr>
                <w:sz w:val="20"/>
                <w:szCs w:val="20"/>
                <w:color w:val="auto"/>
              </w:rPr>
            </w:pPr>
            <w:r>
              <w:rPr>
                <w:rFonts w:ascii="Arial" w:cs="Arial" w:eastAsia="Arial" w:hAnsi="Arial"/>
                <w:sz w:val="16"/>
                <w:szCs w:val="16"/>
                <w:color w:val="auto"/>
              </w:rPr>
              <w:t>Options vested and exercisable as of September 30, 2025</w:t>
            </w:r>
          </w:p>
        </w:tc>
        <w:tc>
          <w:tcPr>
            <w:tcW w:w="130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color w:val="auto"/>
              </w:rPr>
              <w:t>6,602,404</w:t>
            </w:r>
          </w:p>
        </w:tc>
        <w:tc>
          <w:tcPr>
            <w:tcW w:w="280" w:type="dxa"/>
            <w:vAlign w:val="bottom"/>
            <w:gridSpan w:val="2"/>
          </w:tcPr>
          <w:p>
            <w:pPr>
              <w:ind w:left="14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line="169" w:lineRule="exact"/>
              <w:rPr>
                <w:sz w:val="20"/>
                <w:szCs w:val="20"/>
                <w:color w:val="auto"/>
              </w:rPr>
            </w:pPr>
            <w:r>
              <w:rPr>
                <w:rFonts w:ascii="Arial" w:cs="Arial" w:eastAsia="Arial" w:hAnsi="Arial"/>
                <w:sz w:val="16"/>
                <w:szCs w:val="16"/>
                <w:color w:val="auto"/>
              </w:rPr>
              <w:t>5.79</w:t>
            </w:r>
          </w:p>
        </w:tc>
        <w:tc>
          <w:tcPr>
            <w:tcW w:w="1400" w:type="dxa"/>
            <w:vAlign w:val="bottom"/>
            <w:gridSpan w:val="2"/>
          </w:tcPr>
          <w:p>
            <w:pPr>
              <w:jc w:val="right"/>
              <w:ind w:right="48"/>
              <w:spacing w:after="0" w:line="169" w:lineRule="exact"/>
              <w:rPr>
                <w:sz w:val="20"/>
                <w:szCs w:val="20"/>
                <w:color w:val="auto"/>
              </w:rPr>
            </w:pPr>
            <w:r>
              <w:rPr>
                <w:rFonts w:ascii="Arial" w:cs="Arial" w:eastAsia="Arial" w:hAnsi="Arial"/>
                <w:sz w:val="16"/>
                <w:szCs w:val="16"/>
                <w:color w:val="auto"/>
              </w:rPr>
              <w:t>6.68</w:t>
            </w:r>
          </w:p>
        </w:tc>
        <w:tc>
          <w:tcPr>
            <w:tcW w:w="30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line="169" w:lineRule="exact"/>
              <w:rPr>
                <w:sz w:val="20"/>
                <w:szCs w:val="20"/>
                <w:color w:val="auto"/>
              </w:rPr>
            </w:pPr>
            <w:r>
              <w:rPr>
                <w:rFonts w:ascii="Arial" w:cs="Arial" w:eastAsia="Arial" w:hAnsi="Arial"/>
                <w:sz w:val="16"/>
                <w:szCs w:val="16"/>
                <w:color w:val="auto"/>
              </w:rPr>
              <w:t>18,792</w:t>
            </w:r>
          </w:p>
        </w:tc>
      </w:tr>
      <w:tr>
        <w:trPr>
          <w:trHeight w:val="20"/>
        </w:trPr>
        <w:tc>
          <w:tcPr>
            <w:tcW w:w="5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-170815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-153670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6"/>
          <w:szCs w:val="16"/>
          <w:color w:val="auto"/>
        </w:rPr>
        <w:t>The weighted-average grant date fair value of options granted was $4.47 and $3.55 per share for the three months ended September 30, 2025 and 2024 and $3.01 and $1.49 per share for the nine months ended September 30, 2025 and 2024, respectively. As of September 30, 2025, the unrecognized stock-based compensation cost of unvested options was $14.8 million, which is expected to be recognized over a weighted-average period of 2.2 years.</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Service-Based Stock Options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estimated the fair value of service-based stock options using the Black-Scholes option-pricing model. Fair value of stock options is recognized as compensation expense on a straight-line basis over the requisite service periods of the awards. Fair value of stock options was estimated using the following range of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8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8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360" w:type="dxa"/>
            <w:vAlign w:val="bottom"/>
          </w:tcPr>
          <w:p>
            <w:pPr>
              <w:spacing w:after="0"/>
              <w:rPr>
                <w:sz w:val="13"/>
                <w:szCs w:val="13"/>
                <w:color w:val="auto"/>
              </w:rPr>
            </w:pPr>
          </w:p>
        </w:tc>
        <w:tc>
          <w:tcPr>
            <w:tcW w:w="13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3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3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5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Expected term (in years)</w:t>
            </w:r>
          </w:p>
        </w:tc>
        <w:tc>
          <w:tcPr>
            <w:tcW w:w="138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rPr>
              <w:t>6.02 - 6.08</w:t>
            </w:r>
          </w:p>
        </w:tc>
        <w:tc>
          <w:tcPr>
            <w:tcW w:w="1500" w:type="dxa"/>
            <w:vAlign w:val="bottom"/>
            <w:gridSpan w:val="3"/>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rPr>
              <w:t>5.77 - 6.08</w:t>
            </w:r>
          </w:p>
        </w:tc>
        <w:tc>
          <w:tcPr>
            <w:tcW w:w="1500" w:type="dxa"/>
            <w:vAlign w:val="bottom"/>
            <w:gridSpan w:val="3"/>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rPr>
              <w:t>5.50 - 6.08</w:t>
            </w:r>
          </w:p>
        </w:tc>
        <w:tc>
          <w:tcPr>
            <w:tcW w:w="1500" w:type="dxa"/>
            <w:vAlign w:val="bottom"/>
            <w:gridSpan w:val="3"/>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rPr>
              <w:t>5.50 - 6.08</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Volatility</w:t>
            </w:r>
          </w:p>
        </w:tc>
        <w:tc>
          <w:tcPr>
            <w:tcW w:w="560" w:type="dxa"/>
            <w:vAlign w:val="bottom"/>
          </w:tcPr>
          <w:p>
            <w:pPr>
              <w:jc w:val="right"/>
              <w:spacing w:after="0"/>
              <w:rPr>
                <w:sz w:val="20"/>
                <w:szCs w:val="20"/>
                <w:color w:val="auto"/>
              </w:rPr>
            </w:pPr>
            <w:r>
              <w:rPr>
                <w:rFonts w:ascii="Arial" w:cs="Arial" w:eastAsia="Arial" w:hAnsi="Arial"/>
                <w:sz w:val="16"/>
                <w:szCs w:val="16"/>
                <w:color w:val="auto"/>
              </w:rPr>
              <w:t>89.54</w:t>
            </w:r>
          </w:p>
        </w:tc>
        <w:tc>
          <w:tcPr>
            <w:tcW w:w="820" w:type="dxa"/>
            <w:vAlign w:val="bottom"/>
          </w:tcPr>
          <w:p>
            <w:pPr>
              <w:ind w:left="40"/>
              <w:spacing w:after="0"/>
              <w:rPr>
                <w:sz w:val="20"/>
                <w:szCs w:val="20"/>
                <w:color w:val="auto"/>
              </w:rPr>
            </w:pPr>
            <w:r>
              <w:rPr>
                <w:rFonts w:ascii="Arial" w:cs="Arial" w:eastAsia="Arial" w:hAnsi="Arial"/>
                <w:sz w:val="16"/>
                <w:szCs w:val="16"/>
                <w:color w:val="auto"/>
              </w:rPr>
              <w:t>- 90.15%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82.57</w:t>
            </w:r>
          </w:p>
        </w:tc>
        <w:tc>
          <w:tcPr>
            <w:tcW w:w="820" w:type="dxa"/>
            <w:vAlign w:val="bottom"/>
          </w:tcPr>
          <w:p>
            <w:pPr>
              <w:ind w:left="20"/>
              <w:spacing w:after="0"/>
              <w:rPr>
                <w:sz w:val="20"/>
                <w:szCs w:val="20"/>
                <w:color w:val="auto"/>
              </w:rPr>
            </w:pPr>
            <w:r>
              <w:rPr>
                <w:rFonts w:ascii="Arial" w:cs="Arial" w:eastAsia="Arial" w:hAnsi="Arial"/>
                <w:sz w:val="16"/>
                <w:szCs w:val="16"/>
                <w:color w:val="auto"/>
              </w:rPr>
              <w:t>- 83.59%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83.72</w:t>
            </w:r>
          </w:p>
        </w:tc>
        <w:tc>
          <w:tcPr>
            <w:tcW w:w="820" w:type="dxa"/>
            <w:vAlign w:val="bottom"/>
          </w:tcPr>
          <w:p>
            <w:pPr>
              <w:ind w:left="20"/>
              <w:spacing w:after="0"/>
              <w:rPr>
                <w:sz w:val="20"/>
                <w:szCs w:val="20"/>
                <w:color w:val="auto"/>
              </w:rPr>
            </w:pPr>
            <w:r>
              <w:rPr>
                <w:rFonts w:ascii="Arial" w:cs="Arial" w:eastAsia="Arial" w:hAnsi="Arial"/>
                <w:sz w:val="16"/>
                <w:szCs w:val="16"/>
                <w:color w:val="auto"/>
              </w:rPr>
              <w:t>- 90.15%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72.61</w:t>
            </w:r>
          </w:p>
        </w:tc>
        <w:tc>
          <w:tcPr>
            <w:tcW w:w="820" w:type="dxa"/>
            <w:vAlign w:val="bottom"/>
          </w:tcPr>
          <w:p>
            <w:pPr>
              <w:ind w:left="20"/>
              <w:spacing w:after="0"/>
              <w:rPr>
                <w:sz w:val="20"/>
                <w:szCs w:val="20"/>
                <w:color w:val="auto"/>
              </w:rPr>
            </w:pPr>
            <w:r>
              <w:rPr>
                <w:rFonts w:ascii="Arial" w:cs="Arial" w:eastAsia="Arial" w:hAnsi="Arial"/>
                <w:sz w:val="16"/>
                <w:szCs w:val="16"/>
                <w:color w:val="auto"/>
              </w:rPr>
              <w:t>- 83.59%</w:t>
            </w:r>
          </w:p>
        </w:tc>
      </w:tr>
      <w:tr>
        <w:trPr>
          <w:trHeight w:val="18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- 4.16%</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- 4.15%</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3.70</w:t>
            </w:r>
          </w:p>
        </w:tc>
        <w:tc>
          <w:tcPr>
            <w:tcW w:w="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- 4.50%</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- 4.65%</w:t>
            </w:r>
          </w:p>
        </w:tc>
      </w:tr>
      <w:tr>
        <w:trPr>
          <w:trHeight w:val="215"/>
        </w:trPr>
        <w:tc>
          <w:tcPr>
            <w:tcW w:w="5360" w:type="dxa"/>
            <w:vAlign w:val="bottom"/>
          </w:tcPr>
          <w:p>
            <w:pPr>
              <w:spacing w:after="0"/>
              <w:rPr>
                <w:sz w:val="20"/>
                <w:szCs w:val="20"/>
                <w:color w:val="auto"/>
              </w:rPr>
            </w:pPr>
            <w:r>
              <w:rPr>
                <w:rFonts w:ascii="Arial" w:cs="Arial" w:eastAsia="Arial" w:hAnsi="Arial"/>
                <w:sz w:val="16"/>
                <w:szCs w:val="16"/>
                <w:color w:val="auto"/>
              </w:rPr>
              <w:t>Dividend yield</w:t>
            </w:r>
          </w:p>
        </w:tc>
        <w:tc>
          <w:tcPr>
            <w:tcW w:w="560" w:type="dxa"/>
            <w:vAlign w:val="bottom"/>
          </w:tcPr>
          <w:p>
            <w:pPr>
              <w:spacing w:after="0"/>
              <w:rPr>
                <w:sz w:val="18"/>
                <w:szCs w:val="18"/>
                <w:color w:val="auto"/>
              </w:rPr>
            </w:pPr>
          </w:p>
        </w:tc>
        <w:tc>
          <w:tcPr>
            <w:tcW w:w="820" w:type="dxa"/>
            <w:vAlign w:val="bottom"/>
          </w:tcPr>
          <w:p>
            <w:pPr>
              <w:jc w:val="center"/>
              <w:ind w:right="479"/>
              <w:spacing w:after="0"/>
              <w:rPr>
                <w:sz w:val="20"/>
                <w:szCs w:val="20"/>
                <w:color w:val="auto"/>
              </w:rPr>
            </w:pPr>
            <w:r>
              <w:rPr>
                <w:rFonts w:ascii="Arial" w:cs="Arial" w:eastAsia="Arial" w:hAnsi="Arial"/>
                <w:sz w:val="16"/>
                <w:szCs w:val="16"/>
                <w:color w:val="auto"/>
                <w:w w:val="94"/>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ind w:right="479"/>
              <w:spacing w:after="0"/>
              <w:rPr>
                <w:sz w:val="20"/>
                <w:szCs w:val="20"/>
                <w:color w:val="auto"/>
              </w:rPr>
            </w:pPr>
            <w:r>
              <w:rPr>
                <w:rFonts w:ascii="Arial" w:cs="Arial" w:eastAsia="Arial" w:hAnsi="Arial"/>
                <w:sz w:val="16"/>
                <w:szCs w:val="16"/>
                <w:color w:val="auto"/>
                <w:w w:val="94"/>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ind w:right="4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ind w:right="499"/>
              <w:spacing w:after="0"/>
              <w:rPr>
                <w:sz w:val="20"/>
                <w:szCs w:val="20"/>
                <w:color w:val="auto"/>
              </w:rPr>
            </w:pPr>
            <w:r>
              <w:rPr>
                <w:rFonts w:ascii="Arial" w:cs="Arial" w:eastAsia="Arial" w:hAnsi="Arial"/>
                <w:sz w:val="16"/>
                <w:szCs w:val="16"/>
                <w:color w:val="auto"/>
              </w:rPr>
              <w:t>–%</w:t>
            </w:r>
          </w:p>
        </w:tc>
      </w:tr>
      <w:tr>
        <w:trPr>
          <w:trHeight w:val="607"/>
        </w:trPr>
        <w:tc>
          <w:tcPr>
            <w:tcW w:w="5360" w:type="dxa"/>
            <w:vAlign w:val="bottom"/>
          </w:tcPr>
          <w:p>
            <w:pPr>
              <w:spacing w:after="0"/>
              <w:rPr>
                <w:sz w:val="24"/>
                <w:szCs w:val="24"/>
                <w:color w:val="auto"/>
              </w:rPr>
            </w:pPr>
          </w:p>
        </w:tc>
        <w:tc>
          <w:tcPr>
            <w:tcW w:w="560" w:type="dxa"/>
            <w:vAlign w:val="bottom"/>
          </w:tcPr>
          <w:p>
            <w:pPr>
              <w:jc w:val="right"/>
              <w:ind w:right="122"/>
              <w:spacing w:after="0"/>
              <w:rPr>
                <w:sz w:val="20"/>
                <w:szCs w:val="20"/>
                <w:color w:val="auto"/>
              </w:rPr>
            </w:pPr>
            <w:r>
              <w:rPr>
                <w:rFonts w:ascii="Arial" w:cs="Arial" w:eastAsia="Arial" w:hAnsi="Arial"/>
                <w:sz w:val="16"/>
                <w:szCs w:val="16"/>
                <w:color w:val="auto"/>
              </w:rPr>
              <w:t>23</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752"/>
        </w:trPr>
        <w:tc>
          <w:tcPr>
            <w:tcW w:w="5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During 2024, the Company granted performance-based stock options ("PSOs") to the executive leadership team. Vesting of the PSOs is based upon attainment of certain Medicare reimbursement coverages by the end of 2025 and subject to continuous service by the executives. Fair value was estimated using the Black-Scholes option-pricing model. Total grant-date fair value of the PSOs was $0.3 million. As of September 30, 2025, the unrecognized stock-based compensation cost of unvested PSOs was immaterial.</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performance-based stock option activity for the nine months ended September 30, 2025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3"/>
          </w:tcPr>
          <w:p>
            <w:pPr>
              <w:jc w:val="right"/>
              <w:ind w:right="220"/>
              <w:spacing w:after="0"/>
              <w:rPr>
                <w:sz w:val="20"/>
                <w:szCs w:val="20"/>
                <w:color w:val="auto"/>
              </w:rPr>
            </w:pPr>
            <w:r>
              <w:rPr>
                <w:rFonts w:ascii="Arial" w:cs="Arial" w:eastAsia="Arial" w:hAnsi="Arial"/>
                <w:sz w:val="14"/>
                <w:szCs w:val="14"/>
                <w:b w:val="1"/>
                <w:bCs w:val="1"/>
                <w:color w:val="auto"/>
              </w:rPr>
              <w:t>Outstanding Performance-Based Options</w:t>
            </w:r>
          </w:p>
        </w:tc>
        <w:tc>
          <w:tcPr>
            <w:tcW w:w="1160" w:type="dxa"/>
            <w:vAlign w:val="bottom"/>
            <w:tcBorders>
              <w:bottom w:val="single" w:sz="8" w:color="auto"/>
            </w:tcBorders>
          </w:tcPr>
          <w:p>
            <w:pPr>
              <w:spacing w:after="0"/>
              <w:rPr>
                <w:sz w:val="14"/>
                <w:szCs w:val="14"/>
                <w:color w:val="auto"/>
              </w:rPr>
            </w:pPr>
          </w:p>
        </w:tc>
      </w:tr>
      <w:tr>
        <w:trPr>
          <w:trHeight w:val="146"/>
        </w:trPr>
        <w:tc>
          <w:tcPr>
            <w:tcW w:w="5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220" w:type="dxa"/>
            <w:vAlign w:val="bottom"/>
            <w:gridSpan w:val="2"/>
          </w:tcPr>
          <w:p>
            <w:pPr>
              <w:jc w:val="right"/>
              <w:ind w:right="184"/>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Term (in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23"/>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78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22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122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271,500</w:t>
            </w:r>
          </w:p>
        </w:tc>
        <w:tc>
          <w:tcPr>
            <w:tcW w:w="80" w:type="dxa"/>
            <w:vAlign w:val="bottom"/>
            <w:tcBorders>
              <w:bottom w:val="single" w:sz="8" w:color="auto"/>
            </w:tcBorders>
            <w:shd w:val="clear" w:color="auto" w:fill="CFF0FC"/>
          </w:tcPr>
          <w:p>
            <w:pPr>
              <w:spacing w:after="0"/>
              <w:rPr>
                <w:sz w:val="15"/>
                <w:szCs w:val="15"/>
                <w:color w:val="auto"/>
              </w:rPr>
            </w:pPr>
          </w:p>
        </w:tc>
        <w:tc>
          <w:tcPr>
            <w:tcW w:w="900" w:type="dxa"/>
            <w:vAlign w:val="bottom"/>
            <w:gridSpan w:val="2"/>
            <w:shd w:val="clear" w:color="auto" w:fill="CFF0FC"/>
          </w:tcPr>
          <w:p>
            <w:pPr>
              <w:jc w:val="center"/>
              <w:ind w:right="468"/>
              <w:spacing w:after="0" w:line="183" w:lineRule="exact"/>
              <w:rPr>
                <w:sz w:val="20"/>
                <w:szCs w:val="20"/>
                <w:color w:val="auto"/>
              </w:rPr>
            </w:pPr>
            <w:r>
              <w:rPr>
                <w:rFonts w:ascii="Arial" w:cs="Arial" w:eastAsia="Arial" w:hAnsi="Arial"/>
                <w:sz w:val="16"/>
                <w:szCs w:val="16"/>
                <w:color w:val="auto"/>
                <w:w w:val="89"/>
              </w:rPr>
              <w:t>$</w:t>
            </w:r>
          </w:p>
        </w:tc>
        <w:tc>
          <w:tcPr>
            <w:tcW w:w="460" w:type="dxa"/>
            <w:vAlign w:val="bottom"/>
            <w:gridSpan w:val="3"/>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1.61</w:t>
            </w:r>
          </w:p>
        </w:tc>
        <w:tc>
          <w:tcPr>
            <w:tcW w:w="1340" w:type="dxa"/>
            <w:vAlign w:val="bottom"/>
            <w:gridSpan w:val="3"/>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9.20</w:t>
            </w:r>
          </w:p>
        </w:tc>
        <w:tc>
          <w:tcPr>
            <w:tcW w:w="300" w:type="dxa"/>
            <w:vAlign w:val="bottom"/>
            <w:gridSpan w:val="4"/>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1,133</w:t>
            </w:r>
          </w:p>
        </w:tc>
      </w:tr>
      <w:tr>
        <w:trPr>
          <w:trHeight w:val="183"/>
        </w:trPr>
        <w:tc>
          <w:tcPr>
            <w:tcW w:w="5780" w:type="dxa"/>
            <w:vAlign w:val="bottom"/>
          </w:tcPr>
          <w:p>
            <w:pPr>
              <w:spacing w:after="0" w:line="169" w:lineRule="exact"/>
              <w:rPr>
                <w:sz w:val="20"/>
                <w:szCs w:val="20"/>
                <w:color w:val="auto"/>
              </w:rPr>
            </w:pPr>
            <w:r>
              <w:rPr>
                <w:rFonts w:ascii="Arial" w:cs="Arial" w:eastAsia="Arial" w:hAnsi="Arial"/>
                <w:sz w:val="16"/>
                <w:szCs w:val="16"/>
                <w:color w:val="auto"/>
              </w:rPr>
              <w:t>Balance—September 30, 2025</w:t>
            </w:r>
          </w:p>
        </w:tc>
        <w:tc>
          <w:tcPr>
            <w:tcW w:w="12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271,500</w:t>
            </w:r>
          </w:p>
        </w:tc>
        <w:tc>
          <w:tcPr>
            <w:tcW w:w="980" w:type="dxa"/>
            <w:vAlign w:val="bottom"/>
            <w:gridSpan w:val="3"/>
          </w:tcPr>
          <w:p>
            <w:pPr>
              <w:jc w:val="center"/>
              <w:ind w:right="388"/>
              <w:spacing w:after="0" w:line="169" w:lineRule="exact"/>
              <w:rPr>
                <w:sz w:val="20"/>
                <w:szCs w:val="20"/>
                <w:color w:val="auto"/>
              </w:rPr>
            </w:pPr>
            <w:r>
              <w:rPr>
                <w:rFonts w:ascii="Arial" w:cs="Arial" w:eastAsia="Arial" w:hAnsi="Arial"/>
                <w:sz w:val="16"/>
                <w:szCs w:val="16"/>
                <w:color w:val="auto"/>
                <w:w w:val="89"/>
              </w:rPr>
              <w:t>$</w:t>
            </w:r>
          </w:p>
        </w:tc>
        <w:tc>
          <w:tcPr>
            <w:tcW w:w="460" w:type="dxa"/>
            <w:vAlign w:val="bottom"/>
            <w:gridSpan w:val="3"/>
          </w:tcPr>
          <w:p>
            <w:pPr>
              <w:jc w:val="right"/>
              <w:ind w:right="120"/>
              <w:spacing w:after="0" w:line="169" w:lineRule="exact"/>
              <w:rPr>
                <w:sz w:val="20"/>
                <w:szCs w:val="20"/>
                <w:color w:val="auto"/>
              </w:rPr>
            </w:pPr>
            <w:r>
              <w:rPr>
                <w:rFonts w:ascii="Arial" w:cs="Arial" w:eastAsia="Arial" w:hAnsi="Arial"/>
                <w:sz w:val="16"/>
                <w:szCs w:val="16"/>
                <w:color w:val="auto"/>
              </w:rPr>
              <w:t>1.61</w:t>
            </w:r>
          </w:p>
        </w:tc>
        <w:tc>
          <w:tcPr>
            <w:tcW w:w="1340" w:type="dxa"/>
            <w:vAlign w:val="bottom"/>
            <w:gridSpan w:val="3"/>
          </w:tcPr>
          <w:p>
            <w:pPr>
              <w:jc w:val="right"/>
              <w:ind w:right="60"/>
              <w:spacing w:after="0" w:line="169" w:lineRule="exact"/>
              <w:rPr>
                <w:sz w:val="20"/>
                <w:szCs w:val="20"/>
                <w:color w:val="auto"/>
              </w:rPr>
            </w:pPr>
            <w:r>
              <w:rPr>
                <w:rFonts w:ascii="Arial" w:cs="Arial" w:eastAsia="Arial" w:hAnsi="Arial"/>
                <w:sz w:val="16"/>
                <w:szCs w:val="16"/>
                <w:color w:val="auto"/>
              </w:rPr>
              <w:t>8.45</w:t>
            </w:r>
          </w:p>
        </w:tc>
        <w:tc>
          <w:tcPr>
            <w:tcW w:w="30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line="169" w:lineRule="exact"/>
              <w:rPr>
                <w:sz w:val="20"/>
                <w:szCs w:val="20"/>
                <w:color w:val="auto"/>
              </w:rPr>
            </w:pPr>
            <w:r>
              <w:rPr>
                <w:rFonts w:ascii="Arial" w:cs="Arial" w:eastAsia="Arial" w:hAnsi="Arial"/>
                <w:sz w:val="16"/>
                <w:szCs w:val="16"/>
                <w:color w:val="auto"/>
              </w:rPr>
              <w:t>1,334</w:t>
            </w:r>
          </w:p>
        </w:tc>
      </w:tr>
      <w:tr>
        <w:trPr>
          <w:trHeight w:val="20"/>
        </w:trPr>
        <w:tc>
          <w:tcPr>
            <w:tcW w:w="5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57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Options vested and exercisable as of September 30, 2025</w:t>
            </w:r>
          </w:p>
        </w:tc>
        <w:tc>
          <w:tcPr>
            <w:tcW w:w="8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43"/>
              <w:spacing w:after="0" w:line="169" w:lineRule="exact"/>
              <w:rPr>
                <w:sz w:val="20"/>
                <w:szCs w:val="20"/>
                <w:color w:val="auto"/>
              </w:rPr>
            </w:pPr>
            <w:r>
              <w:rPr>
                <w:rFonts w:ascii="Arial" w:cs="Arial" w:eastAsia="Arial" w:hAnsi="Arial"/>
                <w:sz w:val="16"/>
                <w:szCs w:val="16"/>
                <w:color w:val="auto"/>
              </w:rPr>
              <w:t>—</w:t>
            </w:r>
          </w:p>
        </w:tc>
      </w:tr>
      <w:tr>
        <w:trPr>
          <w:trHeight w:val="370"/>
        </w:trPr>
        <w:tc>
          <w:tcPr>
            <w:tcW w:w="5780" w:type="dxa"/>
            <w:vAlign w:val="bottom"/>
          </w:tcPr>
          <w:p>
            <w:pPr>
              <w:spacing w:after="0"/>
              <w:rPr>
                <w:sz w:val="20"/>
                <w:szCs w:val="20"/>
                <w:color w:val="auto"/>
              </w:rPr>
            </w:pPr>
            <w:r>
              <w:rPr>
                <w:rFonts w:ascii="Arial" w:cs="Arial" w:eastAsia="Arial" w:hAnsi="Arial"/>
                <w:sz w:val="16"/>
                <w:szCs w:val="16"/>
                <w:i w:val="1"/>
                <w:iCs w:val="1"/>
                <w:color w:val="auto"/>
              </w:rPr>
              <w:t>Restricted Stock Units ("RSU") Activity and Valuation</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4"/>
        </w:trPr>
        <w:tc>
          <w:tcPr>
            <w:tcW w:w="8440" w:type="dxa"/>
            <w:vAlign w:val="bottom"/>
            <w:gridSpan w:val="9"/>
          </w:tcPr>
          <w:p>
            <w:pPr>
              <w:ind w:left="760"/>
              <w:spacing w:after="0"/>
              <w:rPr>
                <w:sz w:val="20"/>
                <w:szCs w:val="20"/>
                <w:color w:val="auto"/>
              </w:rPr>
            </w:pPr>
            <w:r>
              <w:rPr>
                <w:rFonts w:ascii="Arial" w:cs="Arial" w:eastAsia="Arial" w:hAnsi="Arial"/>
                <w:sz w:val="16"/>
                <w:szCs w:val="16"/>
                <w:color w:val="auto"/>
              </w:rPr>
              <w:t>A summary of the Company’s RSU activity for the nine months ended September 30, 2025 is as follows: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6"/>
        </w:trPr>
        <w:tc>
          <w:tcPr>
            <w:tcW w:w="5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2"/>
          </w:tcPr>
          <w:p>
            <w:pPr>
              <w:jc w:val="right"/>
              <w:ind w:right="683"/>
              <w:spacing w:after="0"/>
              <w:rPr>
                <w:sz w:val="20"/>
                <w:szCs w:val="20"/>
                <w:color w:val="auto"/>
              </w:rPr>
            </w:pPr>
            <w:r>
              <w:rPr>
                <w:rFonts w:ascii="Arial" w:cs="Arial" w:eastAsia="Arial" w:hAnsi="Arial"/>
                <w:sz w:val="14"/>
                <w:szCs w:val="14"/>
                <w:b w:val="1"/>
                <w:bCs w:val="1"/>
                <w:color w:val="auto"/>
              </w:rPr>
              <w:t>Unvested Service-Based Restricted Stock Units</w:t>
            </w:r>
          </w:p>
        </w:tc>
      </w:tr>
      <w:tr>
        <w:trPr>
          <w:trHeight w:val="146"/>
        </w:trPr>
        <w:tc>
          <w:tcPr>
            <w:tcW w:w="5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Grant Date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578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4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8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433,484</w:t>
            </w:r>
          </w:p>
        </w:tc>
        <w:tc>
          <w:tcPr>
            <w:tcW w:w="460" w:type="dxa"/>
            <w:vAlign w:val="bottom"/>
            <w:gridSpan w:val="3"/>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47"/>
              <w:spacing w:after="0" w:line="183" w:lineRule="exact"/>
              <w:rPr>
                <w:sz w:val="20"/>
                <w:szCs w:val="20"/>
                <w:color w:val="auto"/>
              </w:rPr>
            </w:pPr>
            <w:r>
              <w:rPr>
                <w:rFonts w:ascii="Arial" w:cs="Arial" w:eastAsia="Arial" w:hAnsi="Arial"/>
                <w:sz w:val="16"/>
                <w:szCs w:val="16"/>
                <w:color w:val="auto"/>
              </w:rPr>
              <w:t>6.34</w:t>
            </w:r>
          </w:p>
        </w:tc>
        <w:tc>
          <w:tcPr>
            <w:tcW w:w="100" w:type="dxa"/>
            <w:vAlign w:val="bottom"/>
            <w:shd w:val="clear" w:color="auto" w:fill="CFF0FC"/>
          </w:tcPr>
          <w:p>
            <w:pPr>
              <w:spacing w:after="0"/>
              <w:rPr>
                <w:sz w:val="15"/>
                <w:szCs w:val="15"/>
                <w:color w:val="auto"/>
              </w:rPr>
            </w:pPr>
          </w:p>
        </w:tc>
        <w:tc>
          <w:tcPr>
            <w:tcW w:w="200" w:type="dxa"/>
            <w:vAlign w:val="bottom"/>
            <w:gridSpan w:val="3"/>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2,506</w:t>
            </w: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RSUs vested</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color w:val="auto"/>
              </w:rPr>
              <w:t>(197,819)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47"/>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1,023</w:t>
            </w:r>
          </w:p>
        </w:tc>
      </w:tr>
      <w:tr>
        <w:trPr>
          <w:trHeight w:val="189"/>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RSUs forfeited</w:t>
            </w:r>
          </w:p>
        </w:tc>
        <w:tc>
          <w:tcPr>
            <w:tcW w:w="8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rPr>
              <w:t>(10,897)</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CFF0FC"/>
            </w:tcBorders>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r>
      <w:tr>
        <w:trPr>
          <w:trHeight w:val="182"/>
        </w:trPr>
        <w:tc>
          <w:tcPr>
            <w:tcW w:w="5780" w:type="dxa"/>
            <w:vAlign w:val="bottom"/>
          </w:tcPr>
          <w:p>
            <w:pPr>
              <w:spacing w:after="0" w:line="169" w:lineRule="exact"/>
              <w:rPr>
                <w:sz w:val="20"/>
                <w:szCs w:val="20"/>
                <w:color w:val="auto"/>
              </w:rPr>
            </w:pPr>
            <w:r>
              <w:rPr>
                <w:rFonts w:ascii="Arial" w:cs="Arial" w:eastAsia="Arial" w:hAnsi="Arial"/>
                <w:sz w:val="16"/>
                <w:szCs w:val="16"/>
                <w:color w:val="auto"/>
              </w:rPr>
              <w:t>Balance—September 30, 2025</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224,768</w:t>
            </w:r>
          </w:p>
        </w:tc>
        <w:tc>
          <w:tcPr>
            <w:tcW w:w="460" w:type="dxa"/>
            <w:vAlign w:val="bottom"/>
            <w:gridSpan w:val="3"/>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7"/>
              <w:spacing w:after="0" w:line="169" w:lineRule="exact"/>
              <w:rPr>
                <w:sz w:val="20"/>
                <w:szCs w:val="20"/>
                <w:color w:val="auto"/>
              </w:rPr>
            </w:pPr>
            <w:r>
              <w:rPr>
                <w:rFonts w:ascii="Arial" w:cs="Arial" w:eastAsia="Arial" w:hAnsi="Arial"/>
                <w:sz w:val="16"/>
                <w:szCs w:val="16"/>
                <w:color w:val="auto"/>
              </w:rPr>
              <w:t>3.61</w:t>
            </w:r>
          </w:p>
        </w:tc>
        <w:tc>
          <w:tcPr>
            <w:tcW w:w="100" w:type="dxa"/>
            <w:vAlign w:val="bottom"/>
          </w:tcPr>
          <w:p>
            <w:pPr>
              <w:spacing w:after="0"/>
              <w:rPr>
                <w:sz w:val="15"/>
                <w:szCs w:val="15"/>
                <w:color w:val="auto"/>
              </w:rPr>
            </w:pPr>
          </w:p>
        </w:tc>
        <w:tc>
          <w:tcPr>
            <w:tcW w:w="200" w:type="dxa"/>
            <w:vAlign w:val="bottom"/>
            <w:gridSpan w:val="3"/>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60" w:type="dxa"/>
            <w:vAlign w:val="bottom"/>
          </w:tcPr>
          <w:p>
            <w:pPr>
              <w:jc w:val="right"/>
              <w:ind w:right="43"/>
              <w:spacing w:after="0" w:line="169" w:lineRule="exact"/>
              <w:rPr>
                <w:sz w:val="20"/>
                <w:szCs w:val="20"/>
                <w:color w:val="auto"/>
              </w:rPr>
            </w:pPr>
            <w:r>
              <w:rPr>
                <w:rFonts w:ascii="Arial" w:cs="Arial" w:eastAsia="Arial" w:hAnsi="Arial"/>
                <w:sz w:val="16"/>
                <w:szCs w:val="16"/>
                <w:color w:val="auto"/>
              </w:rPr>
              <w:t>1,465</w:t>
            </w:r>
          </w:p>
        </w:tc>
      </w:tr>
      <w:tr>
        <w:trPr>
          <w:trHeight w:val="20"/>
        </w:trPr>
        <w:tc>
          <w:tcPr>
            <w:tcW w:w="5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-1653540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-1637030</wp:posOffset>
            </wp:positionV>
            <wp:extent cx="85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-153670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5"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As of September 30, 2025, the unrecognized stock-based compensation cost of unvested RSUs was $0.5 million, which is expected to be recognized over a weighted-average period of 1.0 year.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RSU Activity</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March 2025, the Company granted performance-based RSUs ("PSUs") to the executive leadership team. A percentage of the number of RSUs will vest based upon achieving the Company's operational target as of the end of 2026, and subject to continuous service by the executives throughout March 2028. Fifty percent of the aggregate number of achieved PSUs (if any) will vest upon certification in March 2027, with the remaining fifty percent vesting in March 2028. The total grant-date fair value of the PSUs was $2.1 million. As of September 30, 2025, the Company no longer considered the achievement of the operational target to be probable. Accordingly, the Company reversed previously recognized stock-based compensation expense and no stock-based compensation cost was recognized for the nine months ended September 30, 2025.</w:t>
      </w:r>
    </w:p>
    <w:p>
      <w:pPr>
        <w:spacing w:after="0" w:line="3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PSUs activity for the nine months ended September 30, 2025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60" w:type="dxa"/>
            <w:vAlign w:val="bottom"/>
            <w:tcBorders>
              <w:bottom w:val="single" w:sz="8" w:color="auto"/>
            </w:tcBorders>
            <w:gridSpan w:val="7"/>
          </w:tcPr>
          <w:p>
            <w:pPr>
              <w:jc w:val="right"/>
              <w:ind w:right="504"/>
              <w:spacing w:after="0"/>
              <w:rPr>
                <w:sz w:val="20"/>
                <w:szCs w:val="20"/>
                <w:color w:val="auto"/>
              </w:rPr>
            </w:pPr>
            <w:r>
              <w:rPr>
                <w:rFonts w:ascii="Arial" w:cs="Arial" w:eastAsia="Arial" w:hAnsi="Arial"/>
                <w:sz w:val="14"/>
                <w:szCs w:val="14"/>
                <w:b w:val="1"/>
                <w:bCs w:val="1"/>
                <w:color w:val="auto"/>
              </w:rPr>
              <w:t>Unvested Performance-Based Restricted Stock Units</w:t>
            </w:r>
          </w:p>
        </w:tc>
      </w:tr>
      <w:tr>
        <w:trPr>
          <w:trHeight w:val="146"/>
        </w:trPr>
        <w:tc>
          <w:tcPr>
            <w:tcW w:w="4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224"/>
              <w:spacing w:after="0" w:line="147"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62"/>
        </w:trPr>
        <w:tc>
          <w:tcPr>
            <w:tcW w:w="4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44"/>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20" w:type="dxa"/>
            <w:vAlign w:val="bottom"/>
          </w:tcPr>
          <w:p>
            <w:pPr>
              <w:jc w:val="right"/>
              <w:ind w:right="38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64"/>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364"/>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430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2280" w:type="dxa"/>
            <w:vAlign w:val="bottom"/>
          </w:tcPr>
          <w:p>
            <w:pPr>
              <w:spacing w:after="0"/>
              <w:rPr>
                <w:sz w:val="14"/>
                <w:szCs w:val="14"/>
                <w:color w:val="auto"/>
              </w:rPr>
            </w:pPr>
          </w:p>
        </w:tc>
        <w:tc>
          <w:tcPr>
            <w:tcW w:w="15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2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w:t>
            </w:r>
          </w:p>
        </w:tc>
      </w:tr>
      <w:tr>
        <w:trPr>
          <w:trHeight w:val="189"/>
        </w:trPr>
        <w:tc>
          <w:tcPr>
            <w:tcW w:w="4300" w:type="dxa"/>
            <w:vAlign w:val="bottom"/>
          </w:tcPr>
          <w:p>
            <w:pPr>
              <w:ind w:left="120"/>
              <w:spacing w:after="0"/>
              <w:rPr>
                <w:sz w:val="20"/>
                <w:szCs w:val="20"/>
                <w:color w:val="auto"/>
              </w:rPr>
            </w:pPr>
            <w:r>
              <w:rPr>
                <w:rFonts w:ascii="Arial" w:cs="Arial" w:eastAsia="Arial" w:hAnsi="Arial"/>
                <w:sz w:val="16"/>
                <w:szCs w:val="16"/>
                <w:color w:val="auto"/>
              </w:rPr>
              <w:t>PSUs granted</w:t>
            </w:r>
          </w:p>
        </w:tc>
        <w:tc>
          <w:tcPr>
            <w:tcW w:w="3800" w:type="dxa"/>
            <w:vAlign w:val="bottom"/>
            <w:gridSpan w:val="2"/>
          </w:tcPr>
          <w:p>
            <w:pPr>
              <w:jc w:val="right"/>
              <w:ind w:right="64"/>
              <w:spacing w:after="0"/>
              <w:rPr>
                <w:sz w:val="20"/>
                <w:szCs w:val="20"/>
                <w:color w:val="auto"/>
              </w:rPr>
            </w:pPr>
            <w:r>
              <w:rPr>
                <w:rFonts w:ascii="Arial" w:cs="Arial" w:eastAsia="Arial" w:hAnsi="Arial"/>
                <w:sz w:val="16"/>
                <w:szCs w:val="16"/>
                <w:color w:val="auto"/>
              </w:rPr>
              <w:t>575,000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3.63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Balance—September 30, 2025</w:t>
            </w:r>
          </w:p>
        </w:tc>
        <w:tc>
          <w:tcPr>
            <w:tcW w:w="228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6"/>
                <w:szCs w:val="16"/>
                <w:color w:val="auto"/>
              </w:rPr>
              <w:t>575,000</w:t>
            </w:r>
          </w:p>
        </w:tc>
        <w:tc>
          <w:tcPr>
            <w:tcW w:w="340" w:type="dxa"/>
            <w:vAlign w:val="bottom"/>
            <w:tcBorders>
              <w:top w:val="single" w:sz="8" w:color="CFF0FC"/>
              <w:bottom w:val="single" w:sz="8" w:color="CFF0FC"/>
            </w:tcBorders>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CFF0FC"/>
              <w:bottom w:val="single" w:sz="8" w:color="CFF0FC"/>
            </w:tcBorders>
            <w:shd w:val="clear" w:color="auto" w:fill="CFF0FC"/>
          </w:tcPr>
          <w:p>
            <w:pPr>
              <w:jc w:val="right"/>
              <w:ind w:right="44"/>
              <w:spacing w:after="0" w:line="169" w:lineRule="exact"/>
              <w:rPr>
                <w:sz w:val="20"/>
                <w:szCs w:val="20"/>
                <w:color w:val="auto"/>
              </w:rPr>
            </w:pPr>
            <w:r>
              <w:rPr>
                <w:rFonts w:ascii="Arial" w:cs="Arial" w:eastAsia="Arial" w:hAnsi="Arial"/>
                <w:sz w:val="16"/>
                <w:szCs w:val="16"/>
                <w:color w:val="auto"/>
              </w:rPr>
              <w:t>3.63</w:t>
            </w:r>
          </w:p>
        </w:tc>
        <w:tc>
          <w:tcPr>
            <w:tcW w:w="320" w:type="dxa"/>
            <w:vAlign w:val="bottom"/>
            <w:tcBorders>
              <w:top w:val="single" w:sz="8" w:color="CFF0FC"/>
              <w:bottom w:val="single" w:sz="8" w:color="CFF0FC"/>
            </w:tcBorders>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CFF0FC"/>
              <w:bottom w:val="single" w:sz="8" w:color="CFF0FC"/>
            </w:tcBorders>
            <w:shd w:val="clear" w:color="auto" w:fill="CFF0FC"/>
          </w:tcPr>
          <w:p>
            <w:pPr>
              <w:jc w:val="right"/>
              <w:ind w:right="44"/>
              <w:spacing w:after="0" w:line="169" w:lineRule="exact"/>
              <w:rPr>
                <w:sz w:val="20"/>
                <w:szCs w:val="20"/>
                <w:color w:val="auto"/>
              </w:rPr>
            </w:pPr>
            <w:r>
              <w:rPr>
                <w:rFonts w:ascii="Arial" w:cs="Arial" w:eastAsia="Arial" w:hAnsi="Arial"/>
                <w:sz w:val="16"/>
                <w:szCs w:val="16"/>
                <w:color w:val="auto"/>
              </w:rPr>
              <w:t>3,749</w:t>
            </w:r>
          </w:p>
        </w:tc>
      </w:tr>
      <w:tr>
        <w:trPr>
          <w:trHeight w:val="788"/>
        </w:trPr>
        <w:tc>
          <w:tcPr>
            <w:tcW w:w="4300" w:type="dxa"/>
            <w:vAlign w:val="bottom"/>
          </w:tcPr>
          <w:p>
            <w:pPr>
              <w:spacing w:after="0"/>
              <w:rPr>
                <w:sz w:val="24"/>
                <w:szCs w:val="24"/>
                <w:color w:val="auto"/>
              </w:rPr>
            </w:pPr>
          </w:p>
        </w:tc>
        <w:tc>
          <w:tcPr>
            <w:tcW w:w="2280" w:type="dxa"/>
            <w:vAlign w:val="bottom"/>
          </w:tcPr>
          <w:p>
            <w:pPr>
              <w:jc w:val="right"/>
              <w:ind w:right="779"/>
              <w:spacing w:after="0"/>
              <w:rPr>
                <w:sz w:val="20"/>
                <w:szCs w:val="20"/>
                <w:color w:val="auto"/>
              </w:rPr>
            </w:pPr>
            <w:r>
              <w:rPr>
                <w:rFonts w:ascii="Arial" w:cs="Arial" w:eastAsia="Arial" w:hAnsi="Arial"/>
                <w:sz w:val="16"/>
                <w:szCs w:val="16"/>
                <w:color w:val="auto"/>
              </w:rPr>
              <w:t>24</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51"/>
        </w:trPr>
        <w:tc>
          <w:tcPr>
            <w:tcW w:w="43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-1028065</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-1010920</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-1156970</wp:posOffset>
            </wp:positionV>
            <wp:extent cx="102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During the nine months ended September 30, 2025 and 2024, 193,738 and 391,415 shares of common stock were purchased under the Employee Stock Purchase Plan ("ESPP"), respectively. The fair value of stock purchase rights granted under the ESPP was estimated using the following range of assumptions: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39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Three and Nine Months Ended September 30,</w:t>
            </w:r>
          </w:p>
        </w:tc>
      </w:tr>
      <w:tr>
        <w:trPr>
          <w:trHeight w:val="155"/>
        </w:trPr>
        <w:tc>
          <w:tcPr>
            <w:tcW w:w="7320" w:type="dxa"/>
            <w:vAlign w:val="bottom"/>
          </w:tcPr>
          <w:p>
            <w:pPr>
              <w:spacing w:after="0"/>
              <w:rPr>
                <w:sz w:val="13"/>
                <w:szCs w:val="13"/>
                <w:color w:val="auto"/>
              </w:rPr>
            </w:pPr>
          </w:p>
        </w:tc>
        <w:tc>
          <w:tcPr>
            <w:tcW w:w="1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73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Expected term (in years)</w:t>
            </w:r>
          </w:p>
        </w:tc>
        <w:tc>
          <w:tcPr>
            <w:tcW w:w="18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8"/>
              </w:rPr>
              <w:t>0.5</w:t>
            </w:r>
          </w:p>
        </w:tc>
        <w:tc>
          <w:tcPr>
            <w:tcW w:w="2040" w:type="dxa"/>
            <w:vAlign w:val="bottom"/>
            <w:gridSpan w:val="2"/>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w w:val="98"/>
              </w:rPr>
              <w:t>0.5</w:t>
            </w:r>
          </w:p>
        </w:tc>
      </w:tr>
      <w:tr>
        <w:trPr>
          <w:trHeight w:val="189"/>
        </w:trPr>
        <w:tc>
          <w:tcPr>
            <w:tcW w:w="7320" w:type="dxa"/>
            <w:vAlign w:val="bottom"/>
          </w:tcPr>
          <w:p>
            <w:pPr>
              <w:spacing w:after="0"/>
              <w:rPr>
                <w:sz w:val="20"/>
                <w:szCs w:val="20"/>
                <w:color w:val="auto"/>
              </w:rPr>
            </w:pPr>
            <w:r>
              <w:rPr>
                <w:rFonts w:ascii="Arial" w:cs="Arial" w:eastAsia="Arial" w:hAnsi="Arial"/>
                <w:sz w:val="16"/>
                <w:szCs w:val="16"/>
                <w:color w:val="auto"/>
              </w:rPr>
              <w:t>Volatility</w:t>
            </w: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92.85%</w:t>
            </w:r>
          </w:p>
        </w:tc>
        <w:tc>
          <w:tcPr>
            <w:tcW w:w="2040" w:type="dxa"/>
            <w:vAlign w:val="bottom"/>
            <w:gridSpan w:val="2"/>
          </w:tcPr>
          <w:p>
            <w:pPr>
              <w:jc w:val="center"/>
              <w:ind w:left="79"/>
              <w:spacing w:after="0"/>
              <w:rPr>
                <w:sz w:val="20"/>
                <w:szCs w:val="20"/>
                <w:color w:val="auto"/>
              </w:rPr>
            </w:pPr>
            <w:r>
              <w:rPr>
                <w:rFonts w:ascii="Arial" w:cs="Arial" w:eastAsia="Arial" w:hAnsi="Arial"/>
                <w:sz w:val="16"/>
                <w:szCs w:val="16"/>
                <w:color w:val="auto"/>
              </w:rPr>
              <w:t>61.35%</w:t>
            </w:r>
          </w:p>
        </w:tc>
      </w:tr>
      <w:tr>
        <w:trPr>
          <w:trHeight w:val="18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4.22%</w:t>
            </w:r>
          </w:p>
        </w:tc>
        <w:tc>
          <w:tcPr>
            <w:tcW w:w="204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5.43%</w:t>
            </w:r>
          </w:p>
        </w:tc>
      </w:tr>
      <w:tr>
        <w:trPr>
          <w:trHeight w:val="189"/>
        </w:trPr>
        <w:tc>
          <w:tcPr>
            <w:tcW w:w="7320" w:type="dxa"/>
            <w:vAlign w:val="bottom"/>
          </w:tcPr>
          <w:p>
            <w:pPr>
              <w:spacing w:after="0"/>
              <w:rPr>
                <w:sz w:val="20"/>
                <w:szCs w:val="20"/>
                <w:color w:val="auto"/>
              </w:rPr>
            </w:pPr>
            <w:r>
              <w:rPr>
                <w:rFonts w:ascii="Arial" w:cs="Arial" w:eastAsia="Arial" w:hAnsi="Arial"/>
                <w:sz w:val="16"/>
                <w:szCs w:val="16"/>
                <w:color w:val="auto"/>
              </w:rPr>
              <w:t>Dividend yield</w:t>
            </w:r>
          </w:p>
        </w:tc>
        <w:tc>
          <w:tcPr>
            <w:tcW w:w="1880" w:type="dxa"/>
            <w:vAlign w:val="bottom"/>
          </w:tcPr>
          <w:p>
            <w:pPr>
              <w:jc w:val="center"/>
              <w:spacing w:after="0"/>
              <w:rPr>
                <w:sz w:val="20"/>
                <w:szCs w:val="20"/>
                <w:color w:val="auto"/>
              </w:rPr>
            </w:pPr>
            <w:r>
              <w:rPr>
                <w:rFonts w:ascii="Arial" w:cs="Arial" w:eastAsia="Arial" w:hAnsi="Arial"/>
                <w:sz w:val="16"/>
                <w:szCs w:val="16"/>
                <w:color w:val="auto"/>
                <w:w w:val="94"/>
              </w:rPr>
              <w:t>–%</w:t>
            </w:r>
          </w:p>
        </w:tc>
        <w:tc>
          <w:tcPr>
            <w:tcW w:w="1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Fair value</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1.59</w:t>
            </w:r>
          </w:p>
        </w:tc>
        <w:tc>
          <w:tcPr>
            <w:tcW w:w="2040" w:type="dxa"/>
            <w:vAlign w:val="bottom"/>
            <w:gridSpan w:val="2"/>
            <w:shd w:val="clear" w:color="auto" w:fill="CFF0FC"/>
          </w:tcPr>
          <w:p>
            <w:pPr>
              <w:jc w:val="center"/>
              <w:ind w:left="79"/>
              <w:spacing w:after="0"/>
              <w:rPr>
                <w:sz w:val="20"/>
                <w:szCs w:val="20"/>
                <w:color w:val="auto"/>
              </w:rPr>
            </w:pPr>
            <w:r>
              <w:rPr>
                <w:rFonts w:ascii="Arial" w:cs="Arial" w:eastAsia="Arial" w:hAnsi="Arial"/>
                <w:sz w:val="16"/>
                <w:szCs w:val="16"/>
                <w:color w:val="auto"/>
              </w:rPr>
              <w:t>0.51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5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Service-based stock options</w:t>
            </w:r>
          </w:p>
        </w:tc>
        <w:tc>
          <w:tcPr>
            <w:tcW w:w="380" w:type="dxa"/>
            <w:vAlign w:val="bottom"/>
            <w:gridSpan w:val="2"/>
            <w:shd w:val="clear" w:color="auto" w:fill="CFF0FC"/>
          </w:tcPr>
          <w:p>
            <w:pPr>
              <w:jc w:val="right"/>
              <w:ind w:right="88"/>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1,956</w:t>
            </w:r>
          </w:p>
        </w:tc>
        <w:tc>
          <w:tcPr>
            <w:tcW w:w="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1,267</w:t>
            </w:r>
          </w:p>
        </w:tc>
        <w:tc>
          <w:tcPr>
            <w:tcW w:w="380" w:type="dxa"/>
            <w:vAlign w:val="bottom"/>
            <w:gridSpan w:val="2"/>
            <w:shd w:val="clear" w:color="auto" w:fill="CFF0FC"/>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5,066</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3,719</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Performance-based stock options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77</w:t>
            </w:r>
          </w:p>
        </w:tc>
      </w:tr>
      <w:tr>
        <w:trPr>
          <w:trHeight w:val="18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Service-based RSUs</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202</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1,324</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1,463</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4,056</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Performance-based RSUs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148</w:t>
            </w:r>
          </w:p>
        </w:tc>
        <w:tc>
          <w:tcPr>
            <w:tcW w:w="1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497</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165</w:t>
            </w:r>
          </w:p>
        </w:tc>
      </w:tr>
      <w:tr>
        <w:trPr>
          <w:trHeight w:val="183"/>
        </w:trPr>
        <w:tc>
          <w:tcPr>
            <w:tcW w:w="5700" w:type="dxa"/>
            <w:vAlign w:val="bottom"/>
          </w:tcPr>
          <w:p>
            <w:pPr>
              <w:ind w:left="120"/>
              <w:spacing w:after="0" w:line="169" w:lineRule="exact"/>
              <w:rPr>
                <w:sz w:val="20"/>
                <w:szCs w:val="20"/>
                <w:color w:val="auto"/>
              </w:rPr>
            </w:pPr>
            <w:r>
              <w:rPr>
                <w:rFonts w:ascii="Arial" w:cs="Arial" w:eastAsia="Arial" w:hAnsi="Arial"/>
                <w:sz w:val="16"/>
                <w:szCs w:val="16"/>
                <w:color w:val="auto"/>
              </w:rPr>
              <w:t>Total stock-based compensation expense</w:t>
            </w:r>
          </w:p>
        </w:tc>
        <w:tc>
          <w:tcPr>
            <w:tcW w:w="380" w:type="dxa"/>
            <w:vAlign w:val="bottom"/>
            <w:gridSpan w:val="2"/>
          </w:tcPr>
          <w:p>
            <w:pPr>
              <w:jc w:val="right"/>
              <w:ind w:right="88"/>
              <w:spacing w:after="0" w:line="169"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line="169" w:lineRule="exact"/>
              <w:rPr>
                <w:sz w:val="20"/>
                <w:szCs w:val="20"/>
                <w:color w:val="auto"/>
              </w:rPr>
            </w:pPr>
            <w:r>
              <w:rPr>
                <w:rFonts w:ascii="Arial" w:cs="Arial" w:eastAsia="Arial" w:hAnsi="Arial"/>
                <w:sz w:val="16"/>
                <w:szCs w:val="16"/>
                <w:color w:val="auto"/>
              </w:rPr>
              <w:t>2,082</w:t>
            </w: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line="169" w:lineRule="exact"/>
              <w:rPr>
                <w:sz w:val="20"/>
                <w:szCs w:val="20"/>
                <w:color w:val="auto"/>
              </w:rPr>
            </w:pPr>
            <w:r>
              <w:rPr>
                <w:rFonts w:ascii="Arial" w:cs="Arial" w:eastAsia="Arial" w:hAnsi="Arial"/>
                <w:sz w:val="16"/>
                <w:szCs w:val="16"/>
                <w:color w:val="auto"/>
              </w:rPr>
              <w:t>2,677</w:t>
            </w:r>
          </w:p>
        </w:tc>
        <w:tc>
          <w:tcPr>
            <w:tcW w:w="380" w:type="dxa"/>
            <w:vAlign w:val="bottom"/>
            <w:gridSpan w:val="2"/>
          </w:tcPr>
          <w:p>
            <w:pPr>
              <w:jc w:val="right"/>
              <w:ind w:right="68"/>
              <w:spacing w:after="0" w:line="169"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line="169" w:lineRule="exact"/>
              <w:rPr>
                <w:sz w:val="20"/>
                <w:szCs w:val="20"/>
                <w:color w:val="auto"/>
              </w:rPr>
            </w:pPr>
            <w:r>
              <w:rPr>
                <w:rFonts w:ascii="Arial" w:cs="Arial" w:eastAsia="Arial" w:hAnsi="Arial"/>
                <w:sz w:val="16"/>
                <w:szCs w:val="16"/>
                <w:color w:val="auto"/>
              </w:rPr>
              <w:t>7,131</w:t>
            </w:r>
          </w:p>
        </w:tc>
        <w:tc>
          <w:tcPr>
            <w:tcW w:w="38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line="169" w:lineRule="exact"/>
              <w:rPr>
                <w:sz w:val="20"/>
                <w:szCs w:val="20"/>
                <w:color w:val="auto"/>
              </w:rPr>
            </w:pPr>
            <w:r>
              <w:rPr>
                <w:rFonts w:ascii="Arial" w:cs="Arial" w:eastAsia="Arial" w:hAnsi="Arial"/>
                <w:sz w:val="16"/>
                <w:szCs w:val="16"/>
                <w:color w:val="auto"/>
              </w:rPr>
              <w:t>8,017</w:t>
            </w:r>
          </w:p>
        </w:tc>
      </w:tr>
      <w:tr>
        <w:trPr>
          <w:trHeight w:val="20"/>
        </w:trPr>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-153670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Cost of revenue</w:t>
            </w:r>
          </w:p>
        </w:tc>
        <w:tc>
          <w:tcPr>
            <w:tcW w:w="260" w:type="dxa"/>
            <w:vAlign w:val="bottom"/>
            <w:shd w:val="clear" w:color="auto" w:fill="CFF0FC"/>
          </w:tcPr>
          <w:p>
            <w:pPr>
              <w:jc w:val="right"/>
              <w:ind w:right="82"/>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156</w:t>
            </w:r>
          </w:p>
        </w:tc>
        <w:tc>
          <w:tcPr>
            <w:tcW w:w="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156</w:t>
            </w:r>
          </w:p>
        </w:tc>
        <w:tc>
          <w:tcPr>
            <w:tcW w:w="380" w:type="dxa"/>
            <w:vAlign w:val="bottom"/>
            <w:gridSpan w:val="2"/>
            <w:shd w:val="clear" w:color="auto" w:fill="CFF0FC"/>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537</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463</w:t>
            </w: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6"/>
                <w:szCs w:val="16"/>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698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1,006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2,512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2,999</w:t>
            </w:r>
          </w:p>
        </w:tc>
      </w:tr>
      <w:tr>
        <w:trPr>
          <w:trHeight w:val="189"/>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1,228</w:t>
            </w:r>
          </w:p>
        </w:tc>
        <w:tc>
          <w:tcPr>
            <w:tcW w:w="1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1,515</w:t>
            </w:r>
          </w:p>
        </w:tc>
        <w:tc>
          <w:tcPr>
            <w:tcW w:w="1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4,082</w:t>
            </w:r>
          </w:p>
        </w:tc>
        <w:tc>
          <w:tcPr>
            <w:tcW w:w="1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4,555</w:t>
            </w:r>
          </w:p>
        </w:tc>
      </w:tr>
      <w:tr>
        <w:trPr>
          <w:trHeight w:val="183"/>
        </w:trPr>
        <w:tc>
          <w:tcPr>
            <w:tcW w:w="5820" w:type="dxa"/>
            <w:vAlign w:val="bottom"/>
          </w:tcPr>
          <w:p>
            <w:pPr>
              <w:ind w:left="120"/>
              <w:spacing w:after="0" w:line="169" w:lineRule="exact"/>
              <w:rPr>
                <w:sz w:val="20"/>
                <w:szCs w:val="20"/>
                <w:color w:val="auto"/>
              </w:rPr>
            </w:pPr>
            <w:r>
              <w:rPr>
                <w:rFonts w:ascii="Arial" w:cs="Arial" w:eastAsia="Arial" w:hAnsi="Arial"/>
                <w:sz w:val="16"/>
                <w:szCs w:val="16"/>
                <w:color w:val="auto"/>
              </w:rPr>
              <w:t>Total stock-based compensation expense</w:t>
            </w:r>
          </w:p>
        </w:tc>
        <w:tc>
          <w:tcPr>
            <w:tcW w:w="260" w:type="dxa"/>
            <w:vAlign w:val="bottom"/>
            <w:tcBorders>
              <w:bottom w:val="single" w:sz="8" w:color="auto"/>
            </w:tcBorders>
          </w:tcPr>
          <w:p>
            <w:pPr>
              <w:jc w:val="right"/>
              <w:ind w:right="82"/>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color w:val="auto"/>
              </w:rPr>
              <w:t>2,082</w:t>
            </w:r>
          </w:p>
        </w:tc>
        <w:tc>
          <w:tcPr>
            <w:tcW w:w="380" w:type="dxa"/>
            <w:vAlign w:val="bottom"/>
            <w:tcBorders>
              <w:bottom w:val="single" w:sz="8" w:color="auto"/>
            </w:tcBorders>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color w:val="auto"/>
              </w:rPr>
              <w:t>2,677</w:t>
            </w:r>
          </w:p>
        </w:tc>
        <w:tc>
          <w:tcPr>
            <w:tcW w:w="380" w:type="dxa"/>
            <w:vAlign w:val="bottom"/>
            <w:tcBorders>
              <w:bottom w:val="single" w:sz="8" w:color="auto"/>
            </w:tcBorders>
            <w:gridSpan w:val="2"/>
          </w:tcPr>
          <w:p>
            <w:pPr>
              <w:jc w:val="right"/>
              <w:ind w:right="68"/>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color w:val="auto"/>
              </w:rPr>
              <w:t>7,131</w:t>
            </w:r>
          </w:p>
        </w:tc>
        <w:tc>
          <w:tcPr>
            <w:tcW w:w="38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color w:val="auto"/>
              </w:rPr>
              <w:t>8,017</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Segment and Geographic Information</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operates in one reportable segment, which is providing advanced cancer genomic tests and services for precision oncology applications, personalized testing, and other tests. The Company develops, markets, and sells these tests to pharmaceutical companies, biopharmaceutical companies, diagnostic companies, healthcare providers for cancer patients, universities, non-profits, and government entities. It derives revenue primarily in the United States from the sale of genomic testing services and manages its business activities on a consolidated basis. The Company does not have intra-entity sales or transfers. The Company’s CODM is its CEO, who reviews consolidated operating results, accompanied by disaggregated information about net revenues by customer types, as presented below, to make decisions about allocating resources and assessing performance for the entire Company.</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Consolidated net loss is used to monitor actual performance compared to plans and forecasts. The CODM assesses performance based on revenue growth which is reported on the consolidated statements of operations. The accounting policies of the segment are the same as those described in the summary of significant accounting policies. The measure of segment assets is reported on the consolidated balance sheet as total assets. Substantially all of the Company’s long-lived assets are located in the United States.</w:t>
      </w:r>
    </w:p>
    <w:p>
      <w:pPr>
        <w:spacing w:after="0" w:line="15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attributes revenues to geographic region based on the billing addresses of customers. The following table presents net revenues by geographic region: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2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2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32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United States</w:t>
            </w:r>
          </w:p>
        </w:tc>
        <w:tc>
          <w:tcPr>
            <w:tcW w:w="3800" w:type="dxa"/>
            <w:vAlign w:val="bottom"/>
            <w:gridSpan w:val="2"/>
            <w:shd w:val="clear" w:color="auto" w:fill="CFF0FC"/>
          </w:tcPr>
          <w:p>
            <w:pPr>
              <w:jc w:val="right"/>
              <w:ind w:right="388"/>
              <w:spacing w:after="0" w:line="183" w:lineRule="exact"/>
              <w:rPr>
                <w:sz w:val="20"/>
                <w:szCs w:val="20"/>
                <w:color w:val="auto"/>
              </w:rPr>
            </w:pPr>
            <w:r>
              <w:rPr>
                <w:rFonts w:ascii="Arial" w:cs="Arial" w:eastAsia="Arial" w:hAnsi="Arial"/>
                <w:sz w:val="16"/>
                <w:szCs w:val="16"/>
                <w:color w:val="auto"/>
              </w:rPr>
              <w:t>87%</w:t>
            </w:r>
          </w:p>
        </w:tc>
        <w:tc>
          <w:tcPr>
            <w:tcW w:w="1400" w:type="dxa"/>
            <w:vAlign w:val="bottom"/>
            <w:gridSpan w:val="2"/>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w w:val="99"/>
              </w:rPr>
              <w:t>97%</w:t>
            </w:r>
          </w:p>
        </w:tc>
        <w:tc>
          <w:tcPr>
            <w:tcW w:w="1380" w:type="dxa"/>
            <w:vAlign w:val="bottom"/>
            <w:gridSpan w:val="2"/>
            <w:shd w:val="clear" w:color="auto" w:fill="CFF0FC"/>
          </w:tcPr>
          <w:p>
            <w:pPr>
              <w:jc w:val="right"/>
              <w:ind w:right="388"/>
              <w:spacing w:after="0" w:line="183" w:lineRule="exact"/>
              <w:rPr>
                <w:sz w:val="20"/>
                <w:szCs w:val="20"/>
                <w:color w:val="auto"/>
              </w:rPr>
            </w:pPr>
            <w:r>
              <w:rPr>
                <w:rFonts w:ascii="Arial" w:cs="Arial" w:eastAsia="Arial" w:hAnsi="Arial"/>
                <w:sz w:val="16"/>
                <w:szCs w:val="16"/>
                <w:color w:val="auto"/>
              </w:rPr>
              <w:t>90%</w:t>
            </w:r>
          </w:p>
        </w:tc>
        <w:tc>
          <w:tcPr>
            <w:tcW w:w="1400" w:type="dxa"/>
            <w:vAlign w:val="bottom"/>
            <w:gridSpan w:val="2"/>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w w:val="99"/>
              </w:rPr>
              <w:t>96%</w:t>
            </w:r>
          </w:p>
        </w:tc>
      </w:tr>
      <w:tr>
        <w:trPr>
          <w:trHeight w:val="215"/>
        </w:trPr>
        <w:tc>
          <w:tcPr>
            <w:tcW w:w="3260" w:type="dxa"/>
            <w:vAlign w:val="bottom"/>
          </w:tcPr>
          <w:p>
            <w:pPr>
              <w:spacing w:after="0"/>
              <w:rPr>
                <w:sz w:val="20"/>
                <w:szCs w:val="20"/>
                <w:color w:val="auto"/>
              </w:rPr>
            </w:pPr>
            <w:r>
              <w:rPr>
                <w:rFonts w:ascii="Arial" w:cs="Arial" w:eastAsia="Arial" w:hAnsi="Arial"/>
                <w:sz w:val="16"/>
                <w:szCs w:val="16"/>
                <w:color w:val="auto"/>
              </w:rPr>
              <w:t>Others</w:t>
            </w:r>
          </w:p>
        </w:tc>
        <w:tc>
          <w:tcPr>
            <w:tcW w:w="3800" w:type="dxa"/>
            <w:vAlign w:val="bottom"/>
            <w:gridSpan w:val="2"/>
          </w:tcPr>
          <w:p>
            <w:pPr>
              <w:jc w:val="right"/>
              <w:ind w:right="388"/>
              <w:spacing w:after="0"/>
              <w:rPr>
                <w:sz w:val="20"/>
                <w:szCs w:val="20"/>
                <w:color w:val="auto"/>
              </w:rPr>
            </w:pPr>
            <w:r>
              <w:rPr>
                <w:rFonts w:ascii="Arial" w:cs="Arial" w:eastAsia="Arial" w:hAnsi="Arial"/>
                <w:sz w:val="16"/>
                <w:szCs w:val="16"/>
                <w:color w:val="auto"/>
              </w:rPr>
              <w:t>13%</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rPr>
              <w:t>3%</w:t>
            </w:r>
          </w:p>
        </w:tc>
        <w:tc>
          <w:tcPr>
            <w:tcW w:w="1380" w:type="dxa"/>
            <w:vAlign w:val="bottom"/>
            <w:gridSpan w:val="2"/>
          </w:tcPr>
          <w:p>
            <w:pPr>
              <w:jc w:val="right"/>
              <w:ind w:right="388"/>
              <w:spacing w:after="0"/>
              <w:rPr>
                <w:sz w:val="20"/>
                <w:szCs w:val="20"/>
                <w:color w:val="auto"/>
              </w:rPr>
            </w:pPr>
            <w:r>
              <w:rPr>
                <w:rFonts w:ascii="Arial" w:cs="Arial" w:eastAsia="Arial" w:hAnsi="Arial"/>
                <w:sz w:val="16"/>
                <w:szCs w:val="16"/>
                <w:color w:val="auto"/>
              </w:rPr>
              <w:t>10%</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r>
      <w:tr>
        <w:trPr>
          <w:trHeight w:val="607"/>
        </w:trPr>
        <w:tc>
          <w:tcPr>
            <w:tcW w:w="3260" w:type="dxa"/>
            <w:vAlign w:val="bottom"/>
          </w:tcPr>
          <w:p>
            <w:pPr>
              <w:spacing w:after="0"/>
              <w:rPr>
                <w:sz w:val="24"/>
                <w:szCs w:val="24"/>
                <w:color w:val="auto"/>
              </w:rPr>
            </w:pPr>
          </w:p>
        </w:tc>
        <w:tc>
          <w:tcPr>
            <w:tcW w:w="25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51"/>
        </w:trPr>
        <w:tc>
          <w:tcPr>
            <w:tcW w:w="32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provides information about reported segment revenue, segment loss, and significant segment expenses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jc w:val="right"/>
              <w:ind w:right="82"/>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14,495</w:t>
            </w:r>
          </w:p>
        </w:tc>
        <w:tc>
          <w:tcPr>
            <w:tcW w:w="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25,709</w:t>
            </w:r>
          </w:p>
        </w:tc>
        <w:tc>
          <w:tcPr>
            <w:tcW w:w="380" w:type="dxa"/>
            <w:vAlign w:val="bottom"/>
            <w:gridSpan w:val="2"/>
            <w:shd w:val="clear" w:color="auto" w:fill="CFF0FC"/>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52,303</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67,814</w:t>
            </w: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Payroll and related costs</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16,528</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17,376</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52,589</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51,391</w:t>
            </w: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Lab supplies and outside services</w:t>
            </w:r>
          </w:p>
        </w:tc>
        <w:tc>
          <w:tcPr>
            <w:tcW w:w="26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3,664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1,751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10,595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9,202</w:t>
            </w: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Facility costs</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2,577</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2,539</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7,329</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7,681</w:t>
            </w: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Professional services</w:t>
            </w:r>
          </w:p>
        </w:tc>
        <w:tc>
          <w:tcPr>
            <w:tcW w:w="26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2,969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1,924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8,341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7,320</w:t>
            </w: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Repairs and maintenance</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2,441</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2,076</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6,381</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5,926</w:t>
            </w: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Change in fair value of the Tempus Warrants</w:t>
            </w:r>
          </w:p>
        </w:tc>
        <w:tc>
          <w:tcPr>
            <w:tcW w:w="26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26,014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18,274</w:t>
            </w: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2,405</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2,758</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7,523</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8,398</w:t>
            </w:r>
          </w:p>
        </w:tc>
      </w:tr>
      <w:tr>
        <w:trPr>
          <w:trHeight w:val="189"/>
        </w:trPr>
        <w:tc>
          <w:tcPr>
            <w:tcW w:w="5820" w:type="dxa"/>
            <w:vAlign w:val="bottom"/>
          </w:tcPr>
          <w:p>
            <w:pPr>
              <w:spacing w:after="0" w:line="189"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(a)</w:t>
            </w:r>
          </w:p>
        </w:tc>
        <w:tc>
          <w:tcPr>
            <w:tcW w:w="260" w:type="dxa"/>
            <w:vAlign w:val="bottom"/>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7,243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11,744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22,588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28,360</w:t>
            </w:r>
          </w:p>
        </w:tc>
      </w:tr>
      <w:tr>
        <w:trPr>
          <w:trHeight w:val="189"/>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1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(1,384)</w:t>
            </w:r>
          </w:p>
        </w:tc>
        <w:tc>
          <w:tcPr>
            <w:tcW w:w="1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(5,585)</w:t>
            </w:r>
          </w:p>
        </w:tc>
        <w:tc>
          <w:tcPr>
            <w:tcW w:w="1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(3,879)</w:t>
            </w:r>
          </w:p>
        </w:tc>
      </w:tr>
      <w:tr>
        <w:trPr>
          <w:trHeight w:val="182"/>
        </w:trPr>
        <w:tc>
          <w:tcPr>
            <w:tcW w:w="5820" w:type="dxa"/>
            <w:vAlign w:val="bottom"/>
          </w:tcPr>
          <w:p>
            <w:pPr>
              <w:spacing w:after="0" w:line="169" w:lineRule="exact"/>
              <w:rPr>
                <w:sz w:val="20"/>
                <w:szCs w:val="20"/>
                <w:color w:val="auto"/>
              </w:rPr>
            </w:pPr>
            <w:r>
              <w:rPr>
                <w:rFonts w:ascii="Arial" w:cs="Arial" w:eastAsia="Arial" w:hAnsi="Arial"/>
                <w:sz w:val="16"/>
                <w:szCs w:val="16"/>
                <w:color w:val="auto"/>
              </w:rPr>
              <w:t>Segment and consolidated net loss</w:t>
            </w:r>
          </w:p>
        </w:tc>
        <w:tc>
          <w:tcPr>
            <w:tcW w:w="260" w:type="dxa"/>
            <w:vAlign w:val="bottom"/>
            <w:tcBorders>
              <w:bottom w:val="single" w:sz="8" w:color="auto"/>
            </w:tcBorders>
          </w:tcPr>
          <w:p>
            <w:pPr>
              <w:jc w:val="right"/>
              <w:ind w:right="82"/>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(21,652)</w:t>
            </w:r>
          </w:p>
        </w:tc>
        <w:tc>
          <w:tcPr>
            <w:tcW w:w="380" w:type="dxa"/>
            <w:vAlign w:val="bottom"/>
            <w:tcBorders>
              <w:bottom w:val="single" w:sz="8" w:color="auto"/>
            </w:tcBorders>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(39,089)</w:t>
            </w:r>
          </w:p>
        </w:tc>
        <w:tc>
          <w:tcPr>
            <w:tcW w:w="380" w:type="dxa"/>
            <w:vAlign w:val="bottom"/>
            <w:tcBorders>
              <w:bottom w:val="single" w:sz="8" w:color="auto"/>
            </w:tcBorders>
            <w:gridSpan w:val="2"/>
          </w:tcPr>
          <w:p>
            <w:pPr>
              <w:jc w:val="right"/>
              <w:ind w:right="68"/>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(57,458)</w:t>
            </w:r>
          </w:p>
        </w:tc>
        <w:tc>
          <w:tcPr>
            <w:tcW w:w="38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(64,859)</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0" w:lineRule="exact"/>
        <w:rPr>
          <w:sz w:val="20"/>
          <w:szCs w:val="20"/>
          <w:color w:val="auto"/>
        </w:rPr>
      </w:pPr>
    </w:p>
    <w:p>
      <w:pPr>
        <w:ind w:firstLine="8"/>
        <w:spacing w:after="0" w:line="285" w:lineRule="auto"/>
        <w:tabs>
          <w:tab w:leader="none" w:pos="2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segment items included in segment net loss include materials cost related to cost of revenue, marketing expenses, office expenses, foreign currency exchange gain and losses, and other overhead expenses.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September 30, 2025, the Company was not involved in any material legal proceedings.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79"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3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accordance with the Company's bylaws and/or pursuant to indemnification agreements entered into with directors, officers and certain employees, the Company has indemnification obligations to its directors, officers and employees for claims brought against these persons arising out of certain events or occurrences while they are serving in such a capacity. The Company maintains a director and officer liability insurance coverage to reduce its exposure to such obligations, and payments made under these agreements. To date, there have been no indemnification claims by these directors, officers and employees.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Basic and Diluted Net Loss Per Common Share</w:t>
      </w:r>
    </w:p>
    <w:p>
      <w:pPr>
        <w:spacing w:after="0" w:line="19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stock options, the assumed release of outstanding RSUs, the assumed issuance of common stock under the ESPP. The Company incurred net losses in the periods presented, and as a result, potential common shares from stock options, RSUs, ESPP issuances were not included in the diluted shares used to calculate net loss per share, as their inclusion would have been anti-dilutive.</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(in thousands, except share and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
              <w:spacing w:after="0" w:line="183" w:lineRule="exact"/>
              <w:rPr>
                <w:sz w:val="20"/>
                <w:szCs w:val="20"/>
                <w:color w:val="auto"/>
              </w:rPr>
            </w:pPr>
            <w:r>
              <w:rPr>
                <w:rFonts w:ascii="Arial" w:cs="Arial" w:eastAsia="Arial" w:hAnsi="Arial"/>
                <w:sz w:val="16"/>
                <w:szCs w:val="16"/>
                <w:color w:val="auto"/>
              </w:rPr>
              <w:t>(21,652)</w:t>
            </w:r>
          </w:p>
        </w:tc>
        <w:tc>
          <w:tcPr>
            <w:tcW w:w="34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(39,089)</w:t>
            </w:r>
          </w:p>
        </w:tc>
        <w:tc>
          <w:tcPr>
            <w:tcW w:w="340" w:type="dxa"/>
            <w:vAlign w:val="bottom"/>
            <w:gridSpan w:val="2"/>
            <w:shd w:val="clear" w:color="auto" w:fill="CFF0FC"/>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(57,458)</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(64,859)</w:t>
            </w: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Weighted-average common shares outstanding—basic and diluted</w:t>
            </w:r>
          </w:p>
        </w:tc>
        <w:tc>
          <w:tcPr>
            <w:tcW w:w="2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88,699,131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61,051,350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88,226,838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54,708,205</w:t>
            </w:r>
          </w:p>
        </w:tc>
      </w:tr>
      <w:tr>
        <w:trPr>
          <w:trHeight w:val="209"/>
        </w:trPr>
        <w:tc>
          <w:tcPr>
            <w:tcW w:w="58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Net loss per common share—basic and diluted</w:t>
            </w:r>
          </w:p>
        </w:tc>
        <w:tc>
          <w:tcPr>
            <w:tcW w:w="200" w:type="dxa"/>
            <w:vAlign w:val="bottom"/>
            <w:shd w:val="clear" w:color="auto" w:fill="CFF0FC"/>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
              <w:spacing w:after="0" w:line="169" w:lineRule="exact"/>
              <w:rPr>
                <w:sz w:val="20"/>
                <w:szCs w:val="20"/>
                <w:color w:val="auto"/>
              </w:rPr>
            </w:pPr>
            <w:r>
              <w:rPr>
                <w:rFonts w:ascii="Arial" w:cs="Arial" w:eastAsia="Arial" w:hAnsi="Arial"/>
                <w:sz w:val="16"/>
                <w:szCs w:val="16"/>
                <w:color w:val="auto"/>
              </w:rPr>
              <w:t>(0.24)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(0.64)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4"/>
              <w:spacing w:after="0" w:line="169"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(0.65)</w:t>
            </w:r>
          </w:p>
        </w:tc>
        <w:tc>
          <w:tcPr>
            <w:tcW w:w="3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(1.19)</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tcBorders>
              <w:bottom w:val="single" w:sz="8" w:color="auto"/>
            </w:tcBorders>
          </w:tcPr>
          <w:p>
            <w:pPr>
              <w:jc w:val="right"/>
              <w:ind w:right="465"/>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340" w:type="dxa"/>
            <w:vAlign w:val="bottom"/>
            <w:tcBorders>
              <w:bottom w:val="single" w:sz="8" w:color="auto"/>
            </w:tcBorders>
          </w:tcPr>
          <w:p>
            <w:pPr>
              <w:jc w:val="right"/>
              <w:ind w:right="484"/>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1280" w:type="dxa"/>
            <w:vAlign w:val="bottom"/>
            <w:tcBorders>
              <w:bottom w:val="single" w:sz="8" w:color="auto"/>
            </w:tcBorders>
          </w:tcPr>
          <w:p>
            <w:pPr>
              <w:jc w:val="right"/>
              <w:ind w:right="465"/>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right"/>
              <w:ind w:right="464"/>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Options to purchase common stock</w:t>
            </w:r>
          </w:p>
        </w:tc>
        <w:tc>
          <w:tcPr>
            <w:tcW w:w="2960" w:type="dxa"/>
            <w:vAlign w:val="bottom"/>
            <w:gridSpan w:val="2"/>
            <w:shd w:val="clear" w:color="auto" w:fill="CFF0FC"/>
          </w:tcPr>
          <w:p>
            <w:pPr>
              <w:jc w:val="right"/>
              <w:ind w:right="65"/>
              <w:spacing w:after="0" w:line="183" w:lineRule="exact"/>
              <w:rPr>
                <w:sz w:val="20"/>
                <w:szCs w:val="20"/>
                <w:color w:val="auto"/>
              </w:rPr>
            </w:pPr>
            <w:r>
              <w:rPr>
                <w:rFonts w:ascii="Arial" w:cs="Arial" w:eastAsia="Arial" w:hAnsi="Arial"/>
                <w:sz w:val="16"/>
                <w:szCs w:val="16"/>
                <w:color w:val="auto"/>
              </w:rPr>
              <w:t>13,073,259</w:t>
            </w:r>
          </w:p>
        </w:tc>
        <w:tc>
          <w:tcPr>
            <w:tcW w:w="1460" w:type="dxa"/>
            <w:vAlign w:val="bottom"/>
            <w:gridSpan w:val="2"/>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8,918,477</w:t>
            </w:r>
          </w:p>
        </w:tc>
        <w:tc>
          <w:tcPr>
            <w:tcW w:w="1380" w:type="dxa"/>
            <w:vAlign w:val="bottom"/>
            <w:gridSpan w:val="2"/>
            <w:shd w:val="clear" w:color="auto" w:fill="CFF0FC"/>
          </w:tcPr>
          <w:p>
            <w:pPr>
              <w:jc w:val="right"/>
              <w:ind w:right="45"/>
              <w:spacing w:after="0" w:line="183" w:lineRule="exact"/>
              <w:rPr>
                <w:sz w:val="20"/>
                <w:szCs w:val="20"/>
                <w:color w:val="auto"/>
              </w:rPr>
            </w:pPr>
            <w:r>
              <w:rPr>
                <w:rFonts w:ascii="Arial" w:cs="Arial" w:eastAsia="Arial" w:hAnsi="Arial"/>
                <w:sz w:val="16"/>
                <w:szCs w:val="16"/>
                <w:color w:val="auto"/>
              </w:rPr>
              <w:t>13,073,259</w:t>
            </w:r>
          </w:p>
        </w:tc>
        <w:tc>
          <w:tcPr>
            <w:tcW w:w="1400" w:type="dxa"/>
            <w:vAlign w:val="bottom"/>
            <w:gridSpan w:val="2"/>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8,918,477</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6"/>
                <w:szCs w:val="16"/>
                <w:color w:val="auto"/>
              </w:rPr>
              <w:t>Unvested RSUs</w:t>
            </w:r>
          </w:p>
        </w:tc>
        <w:tc>
          <w:tcPr>
            <w:tcW w:w="2960" w:type="dxa"/>
            <w:vAlign w:val="bottom"/>
            <w:gridSpan w:val="2"/>
          </w:tcPr>
          <w:p>
            <w:pPr>
              <w:jc w:val="right"/>
              <w:ind w:right="65"/>
              <w:spacing w:after="0"/>
              <w:rPr>
                <w:sz w:val="20"/>
                <w:szCs w:val="20"/>
                <w:color w:val="auto"/>
              </w:rPr>
            </w:pPr>
            <w:r>
              <w:rPr>
                <w:rFonts w:ascii="Arial" w:cs="Arial" w:eastAsia="Arial" w:hAnsi="Arial"/>
                <w:sz w:val="16"/>
                <w:szCs w:val="16"/>
                <w:color w:val="auto"/>
              </w:rPr>
              <w:t>799,768</w:t>
            </w:r>
          </w:p>
        </w:tc>
        <w:tc>
          <w:tcPr>
            <w:tcW w:w="1460" w:type="dxa"/>
            <w:vAlign w:val="bottom"/>
            <w:gridSpan w:val="2"/>
          </w:tcPr>
          <w:p>
            <w:pPr>
              <w:jc w:val="right"/>
              <w:ind w:right="44"/>
              <w:spacing w:after="0"/>
              <w:rPr>
                <w:sz w:val="20"/>
                <w:szCs w:val="20"/>
                <w:color w:val="auto"/>
              </w:rPr>
            </w:pPr>
            <w:r>
              <w:rPr>
                <w:rFonts w:ascii="Arial" w:cs="Arial" w:eastAsia="Arial" w:hAnsi="Arial"/>
                <w:sz w:val="16"/>
                <w:szCs w:val="16"/>
                <w:color w:val="auto"/>
              </w:rPr>
              <w:t>701,594</w:t>
            </w:r>
          </w:p>
        </w:tc>
        <w:tc>
          <w:tcPr>
            <w:tcW w:w="1380" w:type="dxa"/>
            <w:vAlign w:val="bottom"/>
            <w:gridSpan w:val="2"/>
          </w:tcPr>
          <w:p>
            <w:pPr>
              <w:jc w:val="right"/>
              <w:ind w:right="45"/>
              <w:spacing w:after="0"/>
              <w:rPr>
                <w:sz w:val="20"/>
                <w:szCs w:val="20"/>
                <w:color w:val="auto"/>
              </w:rPr>
            </w:pPr>
            <w:r>
              <w:rPr>
                <w:rFonts w:ascii="Arial" w:cs="Arial" w:eastAsia="Arial" w:hAnsi="Arial"/>
                <w:sz w:val="16"/>
                <w:szCs w:val="16"/>
                <w:color w:val="auto"/>
              </w:rPr>
              <w:t>799,768</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701,594</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ESPP</w:t>
            </w:r>
          </w:p>
        </w:tc>
        <w:tc>
          <w:tcPr>
            <w:tcW w:w="170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6"/>
                <w:szCs w:val="16"/>
                <w:color w:val="auto"/>
              </w:rPr>
              <w:t>191,736</w:t>
            </w:r>
          </w:p>
        </w:tc>
        <w:tc>
          <w:tcPr>
            <w:tcW w:w="1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192,341</w:t>
            </w:r>
          </w:p>
        </w:tc>
        <w:tc>
          <w:tcPr>
            <w:tcW w:w="10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191,736</w:t>
            </w:r>
          </w:p>
        </w:tc>
        <w:tc>
          <w:tcPr>
            <w:tcW w:w="1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192,341</w:t>
            </w:r>
          </w:p>
        </w:tc>
        <w:tc>
          <w:tcPr>
            <w:tcW w:w="0" w:type="dxa"/>
            <w:vAlign w:val="bottom"/>
          </w:tcPr>
          <w:p>
            <w:pPr>
              <w:spacing w:after="0"/>
              <w:rPr>
                <w:sz w:val="1"/>
                <w:szCs w:val="1"/>
                <w:color w:val="auto"/>
              </w:rPr>
            </w:pPr>
          </w:p>
        </w:tc>
      </w:tr>
      <w:tr>
        <w:trPr>
          <w:trHeight w:val="183"/>
        </w:trPr>
        <w:tc>
          <w:tcPr>
            <w:tcW w:w="4040" w:type="dxa"/>
            <w:vAlign w:val="bottom"/>
          </w:tcPr>
          <w:p>
            <w:pPr>
              <w:ind w:left="120"/>
              <w:spacing w:after="0" w:line="169" w:lineRule="exact"/>
              <w:rPr>
                <w:sz w:val="20"/>
                <w:szCs w:val="20"/>
                <w:color w:val="auto"/>
              </w:rPr>
            </w:pPr>
            <w:r>
              <w:rPr>
                <w:rFonts w:ascii="Arial" w:cs="Arial" w:eastAsia="Arial" w:hAnsi="Arial"/>
                <w:sz w:val="16"/>
                <w:szCs w:val="16"/>
                <w:color w:val="auto"/>
              </w:rPr>
              <w:t>Total</w:t>
            </w:r>
          </w:p>
        </w:tc>
        <w:tc>
          <w:tcPr>
            <w:tcW w:w="2960" w:type="dxa"/>
            <w:vAlign w:val="bottom"/>
            <w:gridSpan w:val="2"/>
          </w:tcPr>
          <w:p>
            <w:pPr>
              <w:jc w:val="right"/>
              <w:ind w:right="65"/>
              <w:spacing w:after="0" w:line="169" w:lineRule="exact"/>
              <w:rPr>
                <w:sz w:val="20"/>
                <w:szCs w:val="20"/>
                <w:color w:val="auto"/>
              </w:rPr>
            </w:pPr>
            <w:r>
              <w:rPr>
                <w:rFonts w:ascii="Arial" w:cs="Arial" w:eastAsia="Arial" w:hAnsi="Arial"/>
                <w:sz w:val="16"/>
                <w:szCs w:val="16"/>
                <w:color w:val="auto"/>
              </w:rPr>
              <w:t>14,064,763</w:t>
            </w:r>
          </w:p>
        </w:tc>
        <w:tc>
          <w:tcPr>
            <w:tcW w:w="1460" w:type="dxa"/>
            <w:vAlign w:val="bottom"/>
            <w:gridSpan w:val="2"/>
          </w:tcPr>
          <w:p>
            <w:pPr>
              <w:jc w:val="right"/>
              <w:ind w:right="44"/>
              <w:spacing w:after="0" w:line="169" w:lineRule="exact"/>
              <w:rPr>
                <w:sz w:val="20"/>
                <w:szCs w:val="20"/>
                <w:color w:val="auto"/>
              </w:rPr>
            </w:pPr>
            <w:r>
              <w:rPr>
                <w:rFonts w:ascii="Arial" w:cs="Arial" w:eastAsia="Arial" w:hAnsi="Arial"/>
                <w:sz w:val="16"/>
                <w:szCs w:val="16"/>
                <w:color w:val="auto"/>
              </w:rPr>
              <w:t>9,812,412</w:t>
            </w:r>
          </w:p>
        </w:tc>
        <w:tc>
          <w:tcPr>
            <w:tcW w:w="1380" w:type="dxa"/>
            <w:vAlign w:val="bottom"/>
            <w:gridSpan w:val="2"/>
          </w:tcPr>
          <w:p>
            <w:pPr>
              <w:jc w:val="right"/>
              <w:ind w:right="45"/>
              <w:spacing w:after="0" w:line="169" w:lineRule="exact"/>
              <w:rPr>
                <w:sz w:val="20"/>
                <w:szCs w:val="20"/>
                <w:color w:val="auto"/>
              </w:rPr>
            </w:pPr>
            <w:r>
              <w:rPr>
                <w:rFonts w:ascii="Arial" w:cs="Arial" w:eastAsia="Arial" w:hAnsi="Arial"/>
                <w:sz w:val="16"/>
                <w:szCs w:val="16"/>
                <w:color w:val="auto"/>
              </w:rPr>
              <w:t>14,064,763</w:t>
            </w:r>
          </w:p>
        </w:tc>
        <w:tc>
          <w:tcPr>
            <w:tcW w:w="1400" w:type="dxa"/>
            <w:vAlign w:val="bottom"/>
            <w:gridSpan w:val="2"/>
          </w:tcPr>
          <w:p>
            <w:pPr>
              <w:jc w:val="right"/>
              <w:ind w:right="44"/>
              <w:spacing w:after="0" w:line="169" w:lineRule="exact"/>
              <w:rPr>
                <w:sz w:val="20"/>
                <w:szCs w:val="20"/>
                <w:color w:val="auto"/>
              </w:rPr>
            </w:pPr>
            <w:r>
              <w:rPr>
                <w:rFonts w:ascii="Arial" w:cs="Arial" w:eastAsia="Arial" w:hAnsi="Arial"/>
                <w:sz w:val="16"/>
                <w:szCs w:val="16"/>
                <w:color w:val="auto"/>
              </w:rPr>
              <w:t>9,812,412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0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0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-1045210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-1045210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-1045210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the related notes and other financial information included elsewhere in this Quarterly Report on Form 10-Q and our Annual Report on Form 10-K for the fiscal year ended December 31, 2024 filed with the Securities and Exchange Commission (the “SEC”) on February 27, 2025 (our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develop, market, and sell advanced cancer genomic tests and services. Our services are used by pharmaceutical companies for translational research, biomarker discovery, the development of personalized cancer therapies, and for clinical trials. Our tests are used by physicians to detect residual or recurrent cancer in patients, monitor cancer response to therapy, and uncover insights for therapy selection. We also provide whole exome and whole genome sequencing (“WGS”) services for other diagnostic companies and population sequencing initiatives.</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Today, our products are routinely used by many of the largest oncology-focused pharmaceutical companies for analysis of patient samples in their clinical trials and drug development programs. Our advanced genomic sequencing and analytics also support the development of personalized neoantigen therapies for cancer and other next-generation cancer immunotherapies. For example, we are providing genomic testing to ModernaTX, Inc. ("Moderna") in its ongoing clinical trials evaluating a personalized cancer therapy. In addition, we partner with diagnostics companies by providing our advanced tumor profiling and analysis capabilities as an input to their products. More recently, we launched new diagnostic offerings for the clinical setting and, in November 2023, entered into an agreement with Tempus AI, Inc. (“Tempus”) to commercialize our NeXT Personal Dx test. We have also pursued non-cancer related business opportunities, specifically within the population sequencing market, by providing WGS services under contract with the U.S. Department of Veterans Affairs Million Veteran Program ("VA MVP").</w:t>
      </w:r>
    </w:p>
    <w:p>
      <w:pPr>
        <w:spacing w:after="0" w:line="15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are working with a growing number of leading cancer centers and world-class academic research institutions to build and publish the clinical evidence-base to support our products and our key indications, as well as to obtain reimbursement coverage from Medicare and other payors. Because of the ultra-high analytical sensitivity of our technology, we are initially focusing on three indications: breast cancer, lung cancer, and immunotherapy (IO) monitoring. We have collaborations with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 and Criterium and the Academic Breast Cancer Consortium, that will focus on building the evidence-base for our technology and these indications.</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work in oncology is underpinned by our experience and capacity for next-generation sequencing at scale. We have the capacity to sequence and analyze over 350 trillion bases of DNA per week in our facility. We believe that our capacity is already larger than most cancer genomics companies, and we continue to build automation and other infrastructure to scale further as demand increases. To date, we have sequenced approximately 552,000 human samples, of which approximately 206,000 were whole human genomes</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2025 Highlights</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Total revenue of $14.5 million decreased $11.2 million, or 44%, during the third quarter of 2025 compared to the third quarter of 2024, primarily due to the expected decline of $4.6 million in revenue from Natera, the expected decrease in population sequencing revenue of $4.2 million, and a decrease in revenue from pharma tests and services, and other customers of $2.5 million.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Key business accomplishments and financial updates in the third quarter of 2025 include:</w:t>
      </w:r>
    </w:p>
    <w:p>
      <w:pPr>
        <w:spacing w:after="0" w:line="181" w:lineRule="exact"/>
        <w:rPr>
          <w:sz w:val="20"/>
          <w:szCs w:val="20"/>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Accelerated Clinical Adoption: Delivered 4,388 clinical tests, demonstrating robust 26% sequential increase over the second quarter of 2025 and a 364% year-over-year growth fueled by increasing physician adoption of the NeXT Personal platform for cancer monitoring</w:t>
      </w:r>
    </w:p>
    <w:p>
      <w:pPr>
        <w:spacing w:after="0" w:line="48"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Submitted for Medicare Lung Cancer Coverage: Submitted a third dossier for Medicare coverage. The Company has three pending indications and remains confident its evidence will meet the standard for coverage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left="1140" w:hanging="383"/>
        <w:spacing w:after="0" w:line="259" w:lineRule="auto"/>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Presented New Lung Cancer Data: Presented positive new data from AstraZeneca's Phase 3 NeoADAURA trial in lung cancer. The findings show NeXT Personal is a strong predictor of patient outcomes and a more sensitive and accurate measure of MRD in the neoadjuvant setting. Data from the LAURA trial was also presented at ESMO that showed NeXT Personal could detect recurrence five months ahead of blinded expert review and NeXT Personal could be utilized for treatment response monitoring in adjuvant lung cancer</w:t>
      </w:r>
    </w:p>
    <w:p>
      <w:pPr>
        <w:spacing w:after="0" w:line="6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Launched Prospective Breast Cancer Utility Study: Launched the CATE clinical trial in collaboration with Yale Cancer Center. The study aims to demonstrate the utility of NeXT Personal in guiding treatment decisions for patients with HR+/HER2- breast cancer to prevent metastatic relapse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derive our revenue primarily from sales of genomic tests and services to the following five customer types:</w:t>
      </w:r>
    </w:p>
    <w:p>
      <w:pPr>
        <w:spacing w:after="0" w:line="181" w:lineRule="exact"/>
        <w:rPr>
          <w:sz w:val="20"/>
          <w:szCs w:val="20"/>
          <w:color w:val="auto"/>
        </w:rPr>
      </w:pPr>
    </w:p>
    <w:p>
      <w:pPr>
        <w:ind w:left="1140" w:hanging="383"/>
        <w:spacing w:after="0" w:line="285"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oncology drug development programs.</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other businesses as an input to their products.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from our partnership with Natera to provide advanced tumor analysis for use in Natera's MRD test currently makes up substantially all of the revenue in this category.</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All of the revenue in this category is from our partnership with the VA MVP.</w:t>
      </w:r>
    </w:p>
    <w:p>
      <w:pPr>
        <w:spacing w:after="0" w:line="115"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Clinical diagnostic </w:t>
      </w:r>
      <w:r>
        <w:rPr>
          <w:rFonts w:ascii="Arial" w:cs="Arial" w:eastAsia="Arial" w:hAnsi="Arial"/>
          <w:sz w:val="16"/>
          <w:szCs w:val="16"/>
          <w:color w:val="auto"/>
        </w:rPr>
        <w:t>includes sales of comprehensive tumor profiling test that is used to help select therapy for a cancer patient and identify</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clinical trials for a patient, and sales of ultra-sensitive, tumor-informed diagnostic tests, ordered by healthcare providers for cancer patients. Revenue in this category is derived from Medicare and private insurance reimbursements. As of September 30, 2025, we have not received Medicare coverage reimbursement for NeXT Personal Dx.</w:t>
      </w:r>
    </w:p>
    <w:p>
      <w:pPr>
        <w:spacing w:after="0" w:line="150"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w:t>
      </w:r>
    </w:p>
    <w:p>
      <w:pPr>
        <w:spacing w:after="0" w:line="19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ability to increase revenue will depend on our ability to further increase sales to these groups of customers and expand our customer base within each group. To do this, we are developing a growing set of state-of-the-art services and products; advancing our operational infrastructure; building our regulatory credentials; focusing our marketing efforts on large pharmaceutical companies; building and publishing the clinical evidence-base to support our products and services in our key indications, pursuing reimbursement coverage from Medicare and other payors; and seeking additional partnerships. We market to biopharma customers and doctors through a small direct sales force. In late 2023, we entered into the Tempus Agreement to commercialize NeXT Personal Dx in the clinical diagnostics market and will be leveraging Tempus' significantly larger sales force as a key vector to grow our clinical diagnostic business. In late 2024, we expanded our collaboration partnership with Tempus to enable Tempus to market and sell NeXT Personal to Tempus' pharmaceutical and biotech customers who wish to bundle MRD testing with other Tempus offerings in a given study. In July 2025, we further expanded our collaboration partnership with Tempus to authorize Tempus to market NeXT Personal Dx for colorectal cancer and extend the term of the Tempus Agreement through November 25, 2029.</w:t>
      </w:r>
    </w:p>
    <w:p>
      <w:pPr>
        <w:spacing w:after="0" w:line="14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have one reportable segment which is providing advanced cancer genomic tests and services for precision oncology applications, personalized testing, and other tests. Most of our revenue to date has been derived from sales in the United States.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7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newer sequencing platforms and new capabilities such as automation of laboratory workflows, processing of diagnostic tests for the clinical market while we work to secure reimbursement, and costs related to our Fremont facility. Over the long-term, we anticipate higher gross margins as growing revenue leads to economies of scale.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9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33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expense our research and development costs in the period in which they are incurred. We expect research and development expenses to increase over time to support the growth of our clinical diagnostic offerings.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39" w:lineRule="exact"/>
        <w:rPr>
          <w:sz w:val="20"/>
          <w:szCs w:val="20"/>
          <w:color w:val="auto"/>
        </w:rPr>
      </w:pPr>
    </w:p>
    <w:p>
      <w:pPr>
        <w:ind w:left="760" w:right="900"/>
        <w:spacing w:after="0" w:line="484" w:lineRule="auto"/>
        <w:rPr>
          <w:sz w:val="20"/>
          <w:szCs w:val="20"/>
          <w:color w:val="auto"/>
        </w:rPr>
      </w:pPr>
      <w:r>
        <w:rPr>
          <w:rFonts w:ascii="Arial" w:cs="Arial" w:eastAsia="Arial" w:hAnsi="Arial"/>
          <w:sz w:val="16"/>
          <w:szCs w:val="16"/>
          <w:color w:val="auto"/>
        </w:rPr>
        <w:t xml:space="preserve">We expect selling, general and administrative expenses to increase over time to support the growth of our clinical diagnostic offerings. </w:t>
      </w:r>
      <w:r>
        <w:rPr>
          <w:rFonts w:ascii="Arial" w:cs="Arial" w:eastAsia="Arial" w:hAnsi="Arial"/>
          <w:sz w:val="16"/>
          <w:szCs w:val="16"/>
          <w:i w:val="1"/>
          <w:iCs w:val="1"/>
          <w:color w:val="auto"/>
        </w:rPr>
        <w:t>Interest Income and Interest Expense</w:t>
      </w:r>
    </w:p>
    <w:p>
      <w:pPr>
        <w:jc w:val="both"/>
        <w:ind w:right="20" w:firstLine="749"/>
        <w:spacing w:after="0" w:line="286" w:lineRule="auto"/>
        <w:rPr>
          <w:sz w:val="20"/>
          <w:szCs w:val="20"/>
          <w:color w:val="auto"/>
        </w:rPr>
      </w:pPr>
      <w:r>
        <w:rPr>
          <w:rFonts w:ascii="Arial" w:cs="Arial" w:eastAsia="Arial" w:hAnsi="Arial"/>
          <w:sz w:val="16"/>
          <w:szCs w:val="16"/>
          <w:color w:val="auto"/>
        </w:rPr>
        <w:t>Interest income consists primarily of interest earned on our cash, cash equivalents, and short-term investments. Interest expense is the recognition of imputed interest on noninterest bearing loans.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Other income (expense), net includes foreign currency exchange gains and losses. Other income (expense), net during the three and nine months ended September 30, 2024 consisted primarily of a noncash loss related to the remeasurement of the warrants issued in connection with our November 2023 agreement with Tempus.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sets forth, for the periods presented, our unaudited consolidated statements of operations and selected financial data (in thousands, except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74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Statements of Operations:</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8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0"/>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47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Revenue </w:t>
            </w:r>
            <w:r>
              <w:rPr>
                <w:rFonts w:ascii="Arial" w:cs="Arial" w:eastAsia="Arial" w:hAnsi="Arial"/>
                <w:sz w:val="21"/>
                <w:szCs w:val="21"/>
                <w:color w:val="auto"/>
                <w:vertAlign w:val="superscript"/>
              </w:rPr>
              <w:t>(1)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14,495</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25,709</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52,303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67,814</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Costs and expenses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Cost of revenue</w:t>
            </w: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12,581</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16,964</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38,426</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45,539</w:t>
            </w:r>
          </w:p>
        </w:tc>
        <w:tc>
          <w:tcPr>
            <w:tcW w:w="0" w:type="dxa"/>
            <w:vAlign w:val="bottom"/>
          </w:tcPr>
          <w:p>
            <w:pPr>
              <w:spacing w:after="0"/>
              <w:rPr>
                <w:sz w:val="1"/>
                <w:szCs w:val="1"/>
                <w:color w:val="auto"/>
              </w:rPr>
            </w:pPr>
          </w:p>
        </w:tc>
      </w:tr>
      <w:tr>
        <w:trPr>
          <w:trHeight w:val="189"/>
        </w:trPr>
        <w:tc>
          <w:tcPr>
            <w:tcW w:w="474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12,171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11,683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37,192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37,411</w:t>
            </w: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ind w:left="100"/>
              <w:spacing w:after="0" w:line="189"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(2)</w:t>
            </w:r>
          </w:p>
        </w:tc>
        <w:tc>
          <w:tcPr>
            <w:tcW w:w="68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13,034</w:t>
            </w:r>
          </w:p>
        </w:tc>
        <w:tc>
          <w:tcPr>
            <w:tcW w:w="1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11,444</w:t>
            </w:r>
          </w:p>
        </w:tc>
        <w:tc>
          <w:tcPr>
            <w:tcW w:w="1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39,476</w:t>
            </w:r>
          </w:p>
        </w:tc>
        <w:tc>
          <w:tcPr>
            <w:tcW w:w="1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35,019</w:t>
            </w:r>
          </w:p>
        </w:tc>
        <w:tc>
          <w:tcPr>
            <w:tcW w:w="0" w:type="dxa"/>
            <w:vAlign w:val="bottom"/>
          </w:tcPr>
          <w:p>
            <w:pPr>
              <w:spacing w:after="0"/>
              <w:rPr>
                <w:sz w:val="1"/>
                <w:szCs w:val="1"/>
                <w:color w:val="auto"/>
              </w:rPr>
            </w:pPr>
          </w:p>
        </w:tc>
      </w:tr>
      <w:tr>
        <w:trPr>
          <w:trHeight w:val="183"/>
        </w:trPr>
        <w:tc>
          <w:tcPr>
            <w:tcW w:w="4740" w:type="dxa"/>
            <w:vAlign w:val="bottom"/>
          </w:tcPr>
          <w:p>
            <w:pPr>
              <w:ind w:left="200"/>
              <w:spacing w:after="0" w:line="183" w:lineRule="exact"/>
              <w:rPr>
                <w:sz w:val="20"/>
                <w:szCs w:val="20"/>
                <w:color w:val="auto"/>
              </w:rPr>
            </w:pPr>
            <w:r>
              <w:rPr>
                <w:rFonts w:ascii="Arial" w:cs="Arial" w:eastAsia="Arial" w:hAnsi="Arial"/>
                <w:sz w:val="16"/>
                <w:szCs w:val="16"/>
                <w:color w:val="auto"/>
              </w:rPr>
              <w:t>Total costs and expenses</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37,786</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40,091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115,094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117,969</w:t>
            </w:r>
          </w:p>
        </w:tc>
        <w:tc>
          <w:tcPr>
            <w:tcW w:w="0" w:type="dxa"/>
            <w:vAlign w:val="bottom"/>
          </w:tcPr>
          <w:p>
            <w:pPr>
              <w:spacing w:after="0"/>
              <w:rPr>
                <w:sz w:val="1"/>
                <w:szCs w:val="1"/>
                <w:color w:val="auto"/>
              </w:rPr>
            </w:pPr>
          </w:p>
        </w:tc>
      </w:tr>
      <w:tr>
        <w:trPr>
          <w:trHeight w:val="183"/>
        </w:trPr>
        <w:tc>
          <w:tcPr>
            <w:tcW w:w="4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from operations</w:t>
            </w: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(23,291)</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(14,382)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(62,791)</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(50,155)</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Interest income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1,680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1,384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5,585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(3)</w:t>
            </w:r>
          </w:p>
        </w:tc>
        <w:tc>
          <w:tcPr>
            <w:tcW w:w="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(26,081)</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(18,544)</w:t>
            </w:r>
          </w:p>
        </w:tc>
        <w:tc>
          <w:tcPr>
            <w:tcW w:w="0" w:type="dxa"/>
            <w:vAlign w:val="bottom"/>
          </w:tcPr>
          <w:p>
            <w:pPr>
              <w:spacing w:after="0"/>
              <w:rPr>
                <w:sz w:val="1"/>
                <w:szCs w:val="1"/>
                <w:color w:val="auto"/>
              </w:rPr>
            </w:pPr>
          </w:p>
        </w:tc>
      </w:tr>
      <w:tr>
        <w:trPr>
          <w:trHeight w:val="183"/>
        </w:trPr>
        <w:tc>
          <w:tcPr>
            <w:tcW w:w="4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before income taxes</w:t>
            </w: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(21,649)</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(39,086)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(57,446)</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(64,845)</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300"/>
              <w:spacing w:after="0" w:line="169" w:lineRule="exact"/>
              <w:rPr>
                <w:sz w:val="20"/>
                <w:szCs w:val="20"/>
                <w:color w:val="auto"/>
              </w:rPr>
            </w:pPr>
            <w:r>
              <w:rPr>
                <w:rFonts w:ascii="Arial" w:cs="Arial" w:eastAsia="Arial" w:hAnsi="Arial"/>
                <w:sz w:val="16"/>
                <w:szCs w:val="16"/>
                <w:color w:val="auto"/>
              </w:rPr>
              <w:t>Net loss</w:t>
            </w: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(21,652)</w:t>
            </w:r>
          </w:p>
        </w:tc>
        <w:tc>
          <w:tcPr>
            <w:tcW w:w="3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(39,089)</w:t>
            </w:r>
          </w:p>
        </w:tc>
        <w:tc>
          <w:tcPr>
            <w:tcW w:w="2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(57,458)</w:t>
            </w:r>
          </w:p>
        </w:tc>
        <w:tc>
          <w:tcPr>
            <w:tcW w:w="4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(64,859)</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tcPr>
          <w:p>
            <w:pPr>
              <w:spacing w:after="0" w:line="170" w:lineRule="exact"/>
              <w:rPr>
                <w:sz w:val="20"/>
                <w:szCs w:val="20"/>
                <w:color w:val="auto"/>
              </w:rPr>
            </w:pPr>
            <w:r>
              <w:rPr>
                <w:rFonts w:ascii="Arial" w:cs="Arial" w:eastAsia="Arial" w:hAnsi="Arial"/>
                <w:sz w:val="16"/>
                <w:szCs w:val="16"/>
                <w:color w:val="auto"/>
              </w:rPr>
              <w:t>Net loss per share, basic and diluted</w:t>
            </w:r>
          </w:p>
        </w:tc>
        <w:tc>
          <w:tcPr>
            <w:tcW w:w="68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70" w:lineRule="exact"/>
              <w:rPr>
                <w:sz w:val="20"/>
                <w:szCs w:val="20"/>
                <w:color w:val="auto"/>
              </w:rPr>
            </w:pPr>
            <w:r>
              <w:rPr>
                <w:rFonts w:ascii="Arial" w:cs="Arial" w:eastAsia="Arial" w:hAnsi="Arial"/>
                <w:sz w:val="16"/>
                <w:szCs w:val="16"/>
                <w:color w:val="auto"/>
              </w:rPr>
              <w:t>(0.24)</w:t>
            </w:r>
          </w:p>
        </w:tc>
        <w:tc>
          <w:tcPr>
            <w:tcW w:w="380" w:type="dxa"/>
            <w:vAlign w:val="bottom"/>
            <w:gridSpan w:val="2"/>
          </w:tcPr>
          <w:p>
            <w:pPr>
              <w:jc w:val="right"/>
              <w:ind w:right="160"/>
              <w:spacing w:after="0" w:line="170"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0" w:lineRule="exact"/>
              <w:rPr>
                <w:sz w:val="20"/>
                <w:szCs w:val="20"/>
                <w:color w:val="auto"/>
              </w:rPr>
            </w:pPr>
            <w:r>
              <w:rPr>
                <w:rFonts w:ascii="Arial" w:cs="Arial" w:eastAsia="Arial" w:hAnsi="Arial"/>
                <w:sz w:val="16"/>
                <w:szCs w:val="16"/>
                <w:color w:val="auto"/>
              </w:rPr>
              <w:t>(0.64)</w:t>
            </w:r>
          </w:p>
        </w:tc>
        <w:tc>
          <w:tcPr>
            <w:tcW w:w="280" w:type="dxa"/>
            <w:vAlign w:val="bottom"/>
            <w:gridSpan w:val="2"/>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0" w:lineRule="exact"/>
              <w:rPr>
                <w:sz w:val="20"/>
                <w:szCs w:val="20"/>
                <w:color w:val="auto"/>
              </w:rPr>
            </w:pPr>
            <w:r>
              <w:rPr>
                <w:rFonts w:ascii="Arial" w:cs="Arial" w:eastAsia="Arial" w:hAnsi="Arial"/>
                <w:sz w:val="16"/>
                <w:szCs w:val="16"/>
                <w:color w:val="auto"/>
              </w:rPr>
              <w:t>(0.65)</w:t>
            </w:r>
          </w:p>
        </w:tc>
        <w:tc>
          <w:tcPr>
            <w:tcW w:w="400" w:type="dxa"/>
            <w:vAlign w:val="bottom"/>
            <w:gridSpan w:val="2"/>
          </w:tcPr>
          <w:p>
            <w:pPr>
              <w:jc w:val="right"/>
              <w:ind w:right="160"/>
              <w:spacing w:after="0" w:line="170"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0" w:lineRule="exact"/>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Weighted-average shares outstanding, basic and diluted</w:t>
            </w:r>
          </w:p>
        </w:tc>
        <w:tc>
          <w:tcPr>
            <w:tcW w:w="6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88,699,131</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61,051,350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88,226,838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54,708,205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-1306195</wp:posOffset>
            </wp:positionV>
            <wp:extent cx="111125"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-1306195</wp:posOffset>
            </wp:positionV>
            <wp:extent cx="111125"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-1306195</wp:posOffset>
            </wp:positionV>
            <wp:extent cx="111125"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-299085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-281940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-299085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-281940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-299085</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-281940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857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857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related party revenue of $1.1 million and $3.5 million for the three and nine months ended September 30, 2025, respectively.</w:t>
      </w:r>
    </w:p>
    <w:p>
      <w:pPr>
        <w:spacing w:after="0" w:line="15" w:lineRule="exact"/>
        <w:rPr>
          <w:rFonts w:ascii="Arial" w:cs="Arial" w:eastAsia="Arial" w:hAnsi="Arial"/>
          <w:sz w:val="14"/>
          <w:szCs w:val="14"/>
          <w:color w:val="auto"/>
        </w:rPr>
      </w:pPr>
    </w:p>
    <w:p>
      <w:pPr>
        <w:ind w:left="260" w:hanging="252"/>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related party sales and marketing expenses of $1.2 million and $2.7 million for the three and nine months ended September 30, 2025, respectively.</w:t>
      </w:r>
    </w:p>
    <w:p>
      <w:pPr>
        <w:spacing w:after="0" w:line="1" w:lineRule="exact"/>
        <w:rPr>
          <w:rFonts w:ascii="Arial" w:cs="Arial" w:eastAsia="Arial" w:hAnsi="Arial"/>
          <w:sz w:val="14"/>
          <w:szCs w:val="14"/>
          <w:color w:val="auto"/>
        </w:rPr>
      </w:pPr>
    </w:p>
    <w:p>
      <w:pPr>
        <w:ind w:right="100" w:firstLine="8"/>
        <w:spacing w:after="0" w:line="264"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related party other expense of $26.0 million and $18.3 million in connection with the change in fair value of Tempus Warrants for the three and nine months ended September 30, 2024,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584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830"/>
        </w:trPr>
        <w:tc>
          <w:tcPr>
            <w:tcW w:w="1140" w:type="dxa"/>
            <w:vAlign w:val="bottom"/>
            <w:tcBorders>
              <w:top w:val="single" w:sz="8" w:color="0000FF"/>
            </w:tcBorders>
          </w:tcPr>
          <w:p>
            <w:pPr>
              <w:spacing w:after="0"/>
              <w:rPr>
                <w:sz w:val="24"/>
                <w:szCs w:val="24"/>
                <w:color w:val="auto"/>
              </w:rPr>
            </w:pPr>
          </w:p>
        </w:tc>
        <w:tc>
          <w:tcPr>
            <w:tcW w:w="4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September 30, 2025</w:t>
            </w: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58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and short-term investments</w:t>
            </w:r>
          </w:p>
        </w:tc>
        <w:tc>
          <w:tcPr>
            <w:tcW w:w="19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150,515</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185,009</w:t>
            </w:r>
          </w:p>
        </w:tc>
      </w:tr>
      <w:tr>
        <w:trPr>
          <w:trHeight w:val="189"/>
        </w:trPr>
        <w:tc>
          <w:tcPr>
            <w:tcW w:w="5840" w:type="dxa"/>
            <w:vAlign w:val="bottom"/>
            <w:gridSpan w:val="2"/>
          </w:tcPr>
          <w:p>
            <w:pPr>
              <w:spacing w:after="0"/>
              <w:rPr>
                <w:sz w:val="20"/>
                <w:szCs w:val="20"/>
                <w:color w:val="auto"/>
              </w:rPr>
            </w:pPr>
            <w:r>
              <w:rPr>
                <w:rFonts w:ascii="Arial" w:cs="Arial" w:eastAsia="Arial" w:hAnsi="Arial"/>
                <w:sz w:val="16"/>
                <w:szCs w:val="16"/>
                <w:color w:val="auto"/>
              </w:rPr>
              <w:t>Working capital</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138,246</w:t>
            </w:r>
          </w:p>
        </w:tc>
        <w:tc>
          <w:tcPr>
            <w:tcW w:w="240" w:type="dxa"/>
            <w:vAlign w:val="bottom"/>
          </w:tcPr>
          <w:p>
            <w:pPr>
              <w:spacing w:after="0"/>
              <w:rPr>
                <w:sz w:val="16"/>
                <w:szCs w:val="16"/>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171,889</w:t>
            </w:r>
          </w:p>
        </w:tc>
      </w:tr>
      <w:tr>
        <w:trPr>
          <w:trHeight w:val="189"/>
        </w:trPr>
        <w:tc>
          <w:tcPr>
            <w:tcW w:w="584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(1)</w:t>
            </w:r>
          </w:p>
        </w:tc>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242,839</w:t>
            </w: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270,268</w:t>
            </w:r>
          </w:p>
        </w:tc>
      </w:tr>
      <w:tr>
        <w:trPr>
          <w:trHeight w:val="189"/>
        </w:trPr>
        <w:tc>
          <w:tcPr>
            <w:tcW w:w="584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2,316</w:t>
            </w:r>
          </w:p>
        </w:tc>
        <w:tc>
          <w:tcPr>
            <w:tcW w:w="240" w:type="dxa"/>
            <w:vAlign w:val="bottom"/>
          </w:tcPr>
          <w:p>
            <w:pPr>
              <w:spacing w:after="0"/>
              <w:rPr>
                <w:sz w:val="16"/>
                <w:szCs w:val="16"/>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1,772</w:t>
            </w:r>
          </w:p>
        </w:tc>
      </w:tr>
      <w:tr>
        <w:trPr>
          <w:trHeight w:val="189"/>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obligations</w:t>
            </w:r>
          </w:p>
        </w:tc>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35,268</w:t>
            </w: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36,185</w:t>
            </w:r>
          </w:p>
        </w:tc>
      </w:tr>
      <w:tr>
        <w:trPr>
          <w:trHeight w:val="189"/>
        </w:trPr>
        <w:tc>
          <w:tcPr>
            <w:tcW w:w="5840" w:type="dxa"/>
            <w:vAlign w:val="bottom"/>
            <w:gridSpan w:val="2"/>
          </w:tcPr>
          <w:p>
            <w:pPr>
              <w:spacing w:after="0" w:line="189" w:lineRule="exact"/>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1"/>
                <w:szCs w:val="21"/>
                <w:color w:val="auto"/>
                <w:vertAlign w:val="superscript"/>
              </w:rPr>
              <w:t>(2)</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71,424</w:t>
            </w:r>
          </w:p>
        </w:tc>
        <w:tc>
          <w:tcPr>
            <w:tcW w:w="240" w:type="dxa"/>
            <w:vAlign w:val="bottom"/>
          </w:tcPr>
          <w:p>
            <w:pPr>
              <w:spacing w:after="0"/>
              <w:rPr>
                <w:sz w:val="16"/>
                <w:szCs w:val="16"/>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67,311</w:t>
            </w:r>
          </w:p>
        </w:tc>
      </w:tr>
      <w:tr>
        <w:trPr>
          <w:trHeight w:val="189"/>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171,415</w:t>
            </w: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202,957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9"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related party accounts receivable of $2.6 million and $2.5 million as of September 30, 2025 and December 31, 2024, respectively.</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related party liabilities of $5.7 million and $2.9 million as of September 30, 2025 and December 31, 2024, respectively.</w:t>
      </w:r>
    </w:p>
    <w:p>
      <w:pPr>
        <w:sectPr>
          <w:pgSz w:w="11900" w:h="16838" w:orient="portrait"/>
          <w:cols w:equalWidth="0" w:num="1">
            <w:col w:w="11240"/>
          </w:cols>
          <w:pgMar w:left="320" w:top="775" w:right="33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3400" w:type="dxa"/>
            <w:vAlign w:val="bottom"/>
            <w:vMerge w:val="restart"/>
          </w:tcPr>
          <w:p>
            <w:pPr>
              <w:spacing w:after="0"/>
              <w:rPr>
                <w:sz w:val="20"/>
                <w:szCs w:val="20"/>
                <w:color w:val="auto"/>
              </w:rPr>
            </w:pPr>
            <w:r>
              <w:rPr>
                <w:rFonts w:ascii="Arial" w:cs="Arial" w:eastAsia="Arial" w:hAnsi="Arial"/>
                <w:sz w:val="16"/>
                <w:szCs w:val="16"/>
                <w:color w:val="auto"/>
              </w:rPr>
              <w:t xml:space="preserve">Pharma tests and services </w:t>
            </w:r>
            <w:r>
              <w:rPr>
                <w:rFonts w:ascii="Arial" w:cs="Arial" w:eastAsia="Arial" w:hAnsi="Arial"/>
                <w:sz w:val="21"/>
                <w:szCs w:val="21"/>
                <w:color w:val="auto"/>
                <w:vertAlign w:val="superscript"/>
              </w:rPr>
              <w:t>(1)</w:t>
            </w:r>
          </w:p>
        </w:tc>
        <w:tc>
          <w:tcPr>
            <w:tcW w:w="1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3"/>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8"/>
        </w:trPr>
        <w:tc>
          <w:tcPr>
            <w:tcW w:w="340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ind w:right="43"/>
              <w:spacing w:after="0" w:line="168" w:lineRule="exact"/>
              <w:rPr>
                <w:sz w:val="20"/>
                <w:szCs w:val="20"/>
                <w:color w:val="auto"/>
              </w:rPr>
            </w:pPr>
            <w:r>
              <w:rPr>
                <w:rFonts w:ascii="Arial" w:cs="Arial" w:eastAsia="Arial" w:hAnsi="Arial"/>
                <w:sz w:val="16"/>
                <w:szCs w:val="16"/>
                <w:color w:val="auto"/>
              </w:rPr>
              <w:t>13,137</w:t>
            </w:r>
          </w:p>
        </w:tc>
        <w:tc>
          <w:tcPr>
            <w:tcW w:w="1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line="168" w:lineRule="exact"/>
              <w:rPr>
                <w:sz w:val="20"/>
                <w:szCs w:val="20"/>
                <w:color w:val="auto"/>
              </w:rPr>
            </w:pPr>
            <w:r>
              <w:rPr>
                <w:rFonts w:ascii="Arial" w:cs="Arial" w:eastAsia="Arial" w:hAnsi="Arial"/>
                <w:sz w:val="16"/>
                <w:szCs w:val="16"/>
                <w:color w:val="auto"/>
              </w:rPr>
              <w:t>15,698</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Enterprise sales</w:t>
            </w: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5,264</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Population sequencing</w:t>
            </w: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4,431</w:t>
            </w:r>
          </w:p>
        </w:tc>
        <w:tc>
          <w:tcPr>
            <w:tcW w:w="0" w:type="dxa"/>
            <w:vAlign w:val="bottom"/>
          </w:tcPr>
          <w:p>
            <w:pPr>
              <w:spacing w:after="0"/>
              <w:rPr>
                <w:sz w:val="1"/>
                <w:szCs w:val="1"/>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Clinical diagnostic</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Pr>
          <w:p>
            <w:pPr>
              <w:spacing w:after="0"/>
              <w:rPr>
                <w:sz w:val="14"/>
                <w:szCs w:val="14"/>
                <w:color w:val="auto"/>
              </w:rPr>
            </w:pPr>
          </w:p>
        </w:tc>
        <w:tc>
          <w:tcPr>
            <w:tcW w:w="192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15"/>
        </w:trPr>
        <w:tc>
          <w:tcPr>
            <w:tcW w:w="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gridSpan w:val="4"/>
            <w:vMerge w:val="restart"/>
          </w:tcPr>
          <w:p>
            <w:pPr>
              <w:jc w:val="right"/>
              <w:ind w:right="541"/>
              <w:spacing w:after="0"/>
              <w:rPr>
                <w:sz w:val="20"/>
                <w:szCs w:val="20"/>
                <w:color w:val="auto"/>
              </w:rPr>
            </w:pPr>
            <w:r>
              <w:rPr>
                <w:rFonts w:ascii="Arial" w:cs="Arial" w:eastAsia="Arial" w:hAnsi="Arial"/>
                <w:sz w:val="14"/>
                <w:szCs w:val="14"/>
                <w:b w:val="1"/>
                <w:bCs w:val="1"/>
                <w:color w:val="auto"/>
              </w:rPr>
              <w:t>September 30,</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8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880" w:type="dxa"/>
            <w:vAlign w:val="bottom"/>
            <w:vMerge w:val="restart"/>
          </w:tcPr>
          <w:p>
            <w:pPr>
              <w:jc w:val="right"/>
              <w:ind w:right="321"/>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3"/>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2024</w:t>
            </w:r>
          </w:p>
        </w:tc>
        <w:tc>
          <w:tcPr>
            <w:tcW w:w="880" w:type="dxa"/>
            <w:vAlign w:val="bottom"/>
            <w:vMerge w:val="restart"/>
          </w:tcPr>
          <w:p>
            <w:pPr>
              <w:jc w:val="center"/>
              <w:ind w:left="28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ind w:right="43"/>
              <w:spacing w:after="0" w:line="168" w:lineRule="exact"/>
              <w:rPr>
                <w:sz w:val="20"/>
                <w:szCs w:val="20"/>
                <w:color w:val="auto"/>
              </w:rPr>
            </w:pPr>
            <w:r>
              <w:rPr>
                <w:rFonts w:ascii="Arial" w:cs="Arial" w:eastAsia="Arial" w:hAnsi="Arial"/>
                <w:sz w:val="16"/>
                <w:szCs w:val="16"/>
                <w:color w:val="auto"/>
              </w:rPr>
              <w:t>37,754</w:t>
            </w:r>
          </w:p>
        </w:tc>
        <w:tc>
          <w:tcPr>
            <w:tcW w:w="100" w:type="dxa"/>
            <w:vAlign w:val="bottom"/>
          </w:tcPr>
          <w:p>
            <w:pPr>
              <w:spacing w:after="0"/>
              <w:rPr>
                <w:sz w:val="14"/>
                <w:szCs w:val="14"/>
                <w:color w:val="auto"/>
              </w:rPr>
            </w:pPr>
          </w:p>
        </w:tc>
        <w:tc>
          <w:tcPr>
            <w:tcW w:w="200" w:type="dxa"/>
            <w:vAlign w:val="bottom"/>
          </w:tcPr>
          <w:p>
            <w:pPr>
              <w:jc w:val="right"/>
              <w:ind w:right="19"/>
              <w:spacing w:after="0" w:line="168"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line="168" w:lineRule="exact"/>
              <w:rPr>
                <w:sz w:val="20"/>
                <w:szCs w:val="20"/>
                <w:color w:val="auto"/>
              </w:rPr>
            </w:pPr>
            <w:r>
              <w:rPr>
                <w:rFonts w:ascii="Arial" w:cs="Arial" w:eastAsia="Arial" w:hAnsi="Arial"/>
                <w:sz w:val="16"/>
                <w:szCs w:val="16"/>
                <w:color w:val="auto"/>
              </w:rPr>
              <w:t>38,707</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80" w:type="dxa"/>
            <w:vAlign w:val="bottom"/>
          </w:tcPr>
          <w:p>
            <w:pPr>
              <w:jc w:val="right"/>
              <w:ind w:right="321"/>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5,430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21,194</w:t>
            </w:r>
          </w:p>
        </w:tc>
        <w:tc>
          <w:tcPr>
            <w:tcW w:w="880" w:type="dxa"/>
            <w:vAlign w:val="bottom"/>
          </w:tcPr>
          <w:p>
            <w:pPr>
              <w:jc w:val="center"/>
              <w:ind w:left="28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9"/>
        </w:trPr>
        <w:tc>
          <w:tcPr>
            <w:tcW w:w="880" w:type="dxa"/>
            <w:vAlign w:val="bottom"/>
          </w:tcPr>
          <w:p>
            <w:pPr>
              <w:jc w:val="right"/>
              <w:ind w:right="321"/>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7,755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7,211</w:t>
            </w:r>
          </w:p>
        </w:tc>
        <w:tc>
          <w:tcPr>
            <w:tcW w:w="880" w:type="dxa"/>
            <w:vAlign w:val="bottom"/>
          </w:tcPr>
          <w:p>
            <w:pPr>
              <w:jc w:val="center"/>
              <w:ind w:left="28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1"/>
        </w:trPr>
        <w:tc>
          <w:tcPr>
            <w:tcW w:w="880" w:type="dxa"/>
            <w:vAlign w:val="bottom"/>
          </w:tcPr>
          <w:p>
            <w:pPr>
              <w:jc w:val="right"/>
              <w:ind w:right="381"/>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583</w:t>
            </w:r>
          </w:p>
        </w:tc>
        <w:tc>
          <w:tcPr>
            <w:tcW w:w="880" w:type="dxa"/>
            <w:vAlign w:val="bottom"/>
          </w:tcPr>
          <w:p>
            <w:pPr>
              <w:jc w:val="center"/>
              <w:ind w:left="281"/>
              <w:spacing w:after="0"/>
              <w:rPr>
                <w:sz w:val="20"/>
                <w:szCs w:val="20"/>
                <w:color w:val="auto"/>
              </w:rPr>
            </w:pPr>
            <w:r>
              <w:rPr>
                <w:rFonts w:ascii="Arial" w:cs="Arial" w:eastAsia="Arial" w:hAnsi="Arial"/>
                <w:sz w:val="16"/>
                <w:szCs w:val="16"/>
                <w:color w:val="auto"/>
                <w:w w:val="99"/>
              </w:rPr>
              <w:t>99%</w:t>
            </w: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6780" w:space="340"/>
            <w:col w:w="4120"/>
          </w:cols>
          <w:pgMar w:left="320" w:top="77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w:t>
            </w:r>
          </w:p>
        </w:tc>
        <w:tc>
          <w:tcPr>
            <w:tcW w:w="1220" w:type="dxa"/>
            <w:vAlign w:val="bottom"/>
            <w:tcBorders>
              <w:bottom w:val="single" w:sz="8" w:color="CFF0FC"/>
            </w:tcBorders>
            <w:shd w:val="clear" w:color="auto" w:fill="CFF0FC"/>
          </w:tcPr>
          <w:p>
            <w:pPr>
              <w:jc w:val="right"/>
              <w:ind w:right="339"/>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119</w:t>
            </w:r>
          </w:p>
        </w:tc>
        <w:tc>
          <w:tcPr>
            <w:tcW w:w="1140" w:type="dxa"/>
            <w:vAlign w:val="bottom"/>
            <w:tcBorders>
              <w:bottom w:val="single" w:sz="8" w:color="CFF0FC"/>
            </w:tcBorders>
            <w:shd w:val="clear" w:color="auto" w:fill="CFF0FC"/>
          </w:tcPr>
          <w:p>
            <w:pPr>
              <w:jc w:val="right"/>
              <w:ind w:right="279"/>
              <w:spacing w:after="0"/>
              <w:rPr>
                <w:sz w:val="20"/>
                <w:szCs w:val="20"/>
                <w:color w:val="auto"/>
              </w:rPr>
            </w:pPr>
            <w:r>
              <w:rPr>
                <w:rFonts w:ascii="Arial" w:cs="Arial" w:eastAsia="Arial" w:hAnsi="Arial"/>
                <w:sz w:val="16"/>
                <w:szCs w:val="16"/>
                <w:color w:val="auto"/>
              </w:rPr>
              <w:t>71%</w:t>
            </w:r>
          </w:p>
        </w:tc>
      </w:tr>
      <w:tr>
        <w:trPr>
          <w:trHeight w:val="183"/>
        </w:trPr>
        <w:tc>
          <w:tcPr>
            <w:tcW w:w="4700" w:type="dxa"/>
            <w:vAlign w:val="bottom"/>
          </w:tcPr>
          <w:p>
            <w:pPr>
              <w:ind w:left="100"/>
              <w:spacing w:after="0" w:line="169" w:lineRule="exact"/>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14,495</w:t>
            </w:r>
          </w:p>
        </w:tc>
        <w:tc>
          <w:tcPr>
            <w:tcW w:w="34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25,709</w:t>
            </w:r>
          </w:p>
        </w:tc>
        <w:tc>
          <w:tcPr>
            <w:tcW w:w="122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(44%)</w:t>
            </w:r>
          </w:p>
        </w:tc>
        <w:tc>
          <w:tcPr>
            <w:tcW w:w="240" w:type="dxa"/>
            <w:vAlign w:val="bottom"/>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52,303</w:t>
            </w:r>
          </w:p>
        </w:tc>
        <w:tc>
          <w:tcPr>
            <w:tcW w:w="34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67,814</w:t>
            </w:r>
          </w:p>
        </w:tc>
        <w:tc>
          <w:tcPr>
            <w:tcW w:w="1140" w:type="dxa"/>
            <w:vAlign w:val="bottom"/>
          </w:tcPr>
          <w:p>
            <w:pPr>
              <w:jc w:val="right"/>
              <w:ind w:right="219"/>
              <w:spacing w:after="0" w:line="169" w:lineRule="exact"/>
              <w:rPr>
                <w:sz w:val="20"/>
                <w:szCs w:val="20"/>
                <w:color w:val="auto"/>
              </w:rPr>
            </w:pPr>
            <w:r>
              <w:rPr>
                <w:rFonts w:ascii="Arial" w:cs="Arial" w:eastAsia="Arial" w:hAnsi="Arial"/>
                <w:sz w:val="16"/>
                <w:szCs w:val="16"/>
                <w:color w:val="auto"/>
              </w:rPr>
              <w:t>(23%)</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-153670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-153670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-153670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-153670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(1) Includes related party revenue of $1.1 million and $3.5 million for the three and nine months ended September 30, 2025, respectively.</w:t>
      </w:r>
    </w:p>
    <w:p>
      <w:pPr>
        <w:spacing w:after="0" w:line="33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customers that made up at least 10% of total revenue in at least one of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82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ModernaTX, Inc.</w:t>
            </w:r>
          </w:p>
        </w:tc>
        <w:tc>
          <w:tcPr>
            <w:tcW w:w="12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19%</w:t>
            </w:r>
          </w:p>
        </w:tc>
        <w:tc>
          <w:tcPr>
            <w:tcW w:w="1400" w:type="dxa"/>
            <w:vAlign w:val="bottom"/>
            <w:gridSpan w:val="2"/>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w w:val="99"/>
              </w:rPr>
              <w:t>33%</w:t>
            </w:r>
          </w:p>
        </w:tc>
        <w:tc>
          <w:tcPr>
            <w:tcW w:w="1380" w:type="dxa"/>
            <w:vAlign w:val="bottom"/>
            <w:gridSpan w:val="2"/>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w w:val="99"/>
              </w:rPr>
              <w:t>25%</w:t>
            </w:r>
          </w:p>
        </w:tc>
        <w:tc>
          <w:tcPr>
            <w:tcW w:w="1400" w:type="dxa"/>
            <w:vAlign w:val="bottom"/>
            <w:gridSpan w:val="2"/>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w w:val="99"/>
              </w:rPr>
              <w:t>28%</w:t>
            </w: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Regeneron Pharmaceuticals</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19%</w:t>
            </w:r>
          </w:p>
        </w:tc>
        <w:tc>
          <w:tcPr>
            <w:tcW w:w="140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w:t>
            </w:r>
          </w:p>
        </w:tc>
        <w:tc>
          <w:tcPr>
            <w:tcW w:w="138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c>
          <w:tcPr>
            <w:tcW w:w="140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w:t>
            </w: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1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11%</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c>
          <w:tcPr>
            <w:tcW w:w="138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5"/>
              </w:rPr>
              <w:t>*</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Natera, Inc.</w:t>
            </w: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20%</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10%</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31%</w:t>
            </w: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Merck &amp; Co., Inc.</w:t>
            </w:r>
          </w:p>
        </w:tc>
        <w:tc>
          <w:tcPr>
            <w:tcW w:w="1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c>
          <w:tcPr>
            <w:tcW w:w="138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5"/>
              </w:rPr>
              <w:t>*</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r>
      <w:tr>
        <w:trPr>
          <w:trHeight w:val="215"/>
        </w:trPr>
        <w:tc>
          <w:tcPr>
            <w:tcW w:w="5820" w:type="dxa"/>
            <w:vAlign w:val="bottom"/>
          </w:tcPr>
          <w:p>
            <w:pPr>
              <w:spacing w:after="0"/>
              <w:rPr>
                <w:sz w:val="20"/>
                <w:szCs w:val="20"/>
                <w:color w:val="auto"/>
              </w:rPr>
            </w:pPr>
            <w:r>
              <w:rPr>
                <w:rFonts w:ascii="Arial" w:cs="Arial" w:eastAsia="Arial" w:hAnsi="Arial"/>
                <w:sz w:val="16"/>
                <w:szCs w:val="16"/>
                <w:color w:val="auto"/>
              </w:rPr>
              <w:t>VA MVP</w:t>
            </w: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17%</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15%</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Pharma tests and services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decreases in pharma tests and services revenue in the third quarter of 2025 and the first nine months of 2025 compared to the same periods of 2024 were primarily due to a decrease in the clinical trial samples processed for Moderna in addition to a small decline in selling prices. We expect variability in revenue from pharmaceutical companies in the future due to the timing of their trial enrollments or project schedules.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Enterprise sales</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decreases in revenue from enterprise sales in the third quarter of 2025 and the first nine months of 2025 were mainly due to the expected decrease in the number of samples processed for Natera compared to the same periods of 2024. Our agreement with Natera included minimum volume commitments through the second quarter of 2025 and we do not expect to continue a long-term commercial relationship with Natera beyond this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Population sequencing</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Revenue recognized each period from population sequencing is impacted by timing of our fulfillment of samples under each annual task order. The decrease in revenue in the third quarter of 2025 compared to the same period of 2024 was due to decreases in the number of samples processed as we fulfilled the annual task order received in September 2024 during the first two quarters of 2025. The increase in revenue in the first nine months of 2025 compared to the same period of 2024 was due to increase in the total number of samples processed.</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annual task order received from the VA MVP in 2024 was $7.5 million. Our contract with the VA MVP does not include specific testing turnaround times. Therefore, we may modulate the volume of samples processed from the VA MVP to accommodate sample volumes from other customers in order to utilize lab capacity efficiently, which may vary from period to period. In August 2025, we received a new annual task order from the VA MVP with a value of up to $13.5 million that is effective on September 30, 2025.</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Clinical diagnostic</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Clinical diagnostic revenue is generated from Medicare and private insurance payors. In January 2024, we received a Medicare coverage determination for NeXT Dx, our ultra-comprehensive tumor genomic profiling assay. The increases in clinical diagnostic revenue in the third quarter of 2025 and in the first nine months of 2025 compared to the same periods of 2024 were mainly attributable to an increase in NeXT Dx test volume and NeXT Personal Dx reimbursements received from certain private payors.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71"/>
        </w:trPr>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ind w:left="240"/>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5"/>
        </w:trPr>
        <w:tc>
          <w:tcPr>
            <w:tcW w:w="5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2024</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3"/>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2024</w:t>
            </w:r>
          </w:p>
        </w:tc>
        <w:tc>
          <w:tcPr>
            <w:tcW w:w="900" w:type="dxa"/>
            <w:vAlign w:val="bottom"/>
          </w:tcPr>
          <w:p>
            <w:pPr>
              <w:spacing w:after="0"/>
              <w:rPr>
                <w:sz w:val="13"/>
                <w:szCs w:val="13"/>
                <w:color w:val="auto"/>
              </w:rPr>
            </w:pPr>
          </w:p>
        </w:tc>
      </w:tr>
      <w:tr>
        <w:trPr>
          <w:trHeight w:val="183"/>
        </w:trPr>
        <w:tc>
          <w:tcPr>
            <w:tcW w:w="5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Cost of revenue</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12,581</w:t>
            </w: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16,964</w:t>
            </w:r>
          </w:p>
        </w:tc>
        <w:tc>
          <w:tcPr>
            <w:tcW w:w="840" w:type="dxa"/>
            <w:vAlign w:val="bottom"/>
            <w:shd w:val="clear" w:color="auto" w:fill="CFF0FC"/>
          </w:tcPr>
          <w:p>
            <w:pPr>
              <w:jc w:val="center"/>
              <w:ind w:left="81"/>
              <w:spacing w:after="0" w:line="183" w:lineRule="exact"/>
              <w:rPr>
                <w:sz w:val="20"/>
                <w:szCs w:val="20"/>
                <w:color w:val="auto"/>
              </w:rPr>
            </w:pPr>
            <w:r>
              <w:rPr>
                <w:rFonts w:ascii="Arial" w:cs="Arial" w:eastAsia="Arial" w:hAnsi="Arial"/>
                <w:sz w:val="16"/>
                <w:szCs w:val="16"/>
                <w:color w:val="auto"/>
              </w:rPr>
              <w:t>(26%)</w:t>
            </w:r>
          </w:p>
        </w:tc>
        <w:tc>
          <w:tcPr>
            <w:tcW w:w="2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38,426</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45,539</w:t>
            </w:r>
          </w:p>
        </w:tc>
        <w:tc>
          <w:tcPr>
            <w:tcW w:w="900" w:type="dxa"/>
            <w:vAlign w:val="bottom"/>
            <w:shd w:val="clear" w:color="auto" w:fill="CFF0FC"/>
          </w:tcPr>
          <w:p>
            <w:pPr>
              <w:jc w:val="center"/>
              <w:ind w:left="41"/>
              <w:spacing w:after="0" w:line="183" w:lineRule="exact"/>
              <w:rPr>
                <w:sz w:val="20"/>
                <w:szCs w:val="20"/>
                <w:color w:val="auto"/>
              </w:rPr>
            </w:pPr>
            <w:r>
              <w:rPr>
                <w:rFonts w:ascii="Arial" w:cs="Arial" w:eastAsia="Arial" w:hAnsi="Arial"/>
                <w:sz w:val="16"/>
                <w:szCs w:val="16"/>
                <w:color w:val="auto"/>
                <w:w w:val="98"/>
              </w:rPr>
              <w:t>(16%)</w:t>
            </w:r>
          </w:p>
        </w:tc>
      </w:tr>
      <w:tr>
        <w:trPr>
          <w:trHeight w:val="189"/>
        </w:trPr>
        <w:tc>
          <w:tcPr>
            <w:tcW w:w="53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6"/>
                <w:szCs w:val="16"/>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12,171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11,683</w:t>
            </w:r>
          </w:p>
        </w:tc>
        <w:tc>
          <w:tcPr>
            <w:tcW w:w="840" w:type="dxa"/>
            <w:vAlign w:val="bottom"/>
          </w:tcPr>
          <w:p>
            <w:pPr>
              <w:jc w:val="center"/>
              <w:ind w:left="81"/>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37,192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37,411</w:t>
            </w:r>
          </w:p>
        </w:tc>
        <w:tc>
          <w:tcPr>
            <w:tcW w:w="900" w:type="dxa"/>
            <w:vAlign w:val="bottom"/>
          </w:tcPr>
          <w:p>
            <w:pPr>
              <w:jc w:val="center"/>
              <w:ind w:left="41"/>
              <w:spacing w:after="0"/>
              <w:rPr>
                <w:sz w:val="20"/>
                <w:szCs w:val="20"/>
                <w:color w:val="auto"/>
              </w:rPr>
            </w:pPr>
            <w:r>
              <w:rPr>
                <w:rFonts w:ascii="Arial" w:cs="Arial" w:eastAsia="Arial" w:hAnsi="Arial"/>
                <w:sz w:val="16"/>
                <w:szCs w:val="16"/>
                <w:color w:val="auto"/>
              </w:rPr>
              <w:t>(1%)</w:t>
            </w:r>
          </w:p>
        </w:tc>
      </w:tr>
      <w:tr>
        <w:trPr>
          <w:trHeight w:val="189"/>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13,034</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11,444</w:t>
            </w:r>
          </w:p>
        </w:tc>
        <w:tc>
          <w:tcPr>
            <w:tcW w:w="84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16"/>
                <w:szCs w:val="16"/>
                <w:color w:val="auto"/>
                <w:w w:val="99"/>
              </w:rPr>
              <w:t>14%</w:t>
            </w:r>
          </w:p>
        </w:tc>
        <w:tc>
          <w:tcPr>
            <w:tcW w:w="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39,476</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35,019</w:t>
            </w:r>
          </w:p>
        </w:tc>
        <w:tc>
          <w:tcPr>
            <w:tcW w:w="900" w:type="dxa"/>
            <w:vAlign w:val="bottom"/>
            <w:tcBorders>
              <w:bottom w:val="single" w:sz="8" w:color="CFF0FC"/>
            </w:tcBorders>
            <w:shd w:val="clear" w:color="auto" w:fill="CFF0FC"/>
          </w:tcPr>
          <w:p>
            <w:pPr>
              <w:jc w:val="center"/>
              <w:ind w:left="41"/>
              <w:spacing w:after="0"/>
              <w:rPr>
                <w:sz w:val="20"/>
                <w:szCs w:val="20"/>
                <w:color w:val="auto"/>
              </w:rPr>
            </w:pPr>
            <w:r>
              <w:rPr>
                <w:rFonts w:ascii="Arial" w:cs="Arial" w:eastAsia="Arial" w:hAnsi="Arial"/>
                <w:sz w:val="16"/>
                <w:szCs w:val="16"/>
                <w:color w:val="auto"/>
              </w:rPr>
              <w:t>13%</w:t>
            </w:r>
          </w:p>
        </w:tc>
      </w:tr>
      <w:tr>
        <w:trPr>
          <w:trHeight w:val="183"/>
        </w:trPr>
        <w:tc>
          <w:tcPr>
            <w:tcW w:w="5300" w:type="dxa"/>
            <w:vAlign w:val="bottom"/>
          </w:tcPr>
          <w:p>
            <w:pPr>
              <w:ind w:left="100"/>
              <w:spacing w:after="0" w:line="169" w:lineRule="exact"/>
              <w:rPr>
                <w:sz w:val="20"/>
                <w:szCs w:val="20"/>
                <w:color w:val="auto"/>
              </w:rPr>
            </w:pPr>
            <w:r>
              <w:rPr>
                <w:rFonts w:ascii="Arial" w:cs="Arial" w:eastAsia="Arial" w:hAnsi="Arial"/>
                <w:sz w:val="16"/>
                <w:szCs w:val="16"/>
                <w:color w:val="auto"/>
              </w:rPr>
              <w:t>Total costs and expenses</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ind w:right="43"/>
              <w:spacing w:after="0" w:line="169" w:lineRule="exact"/>
              <w:rPr>
                <w:sz w:val="20"/>
                <w:szCs w:val="20"/>
                <w:color w:val="auto"/>
              </w:rPr>
            </w:pPr>
            <w:r>
              <w:rPr>
                <w:rFonts w:ascii="Arial" w:cs="Arial" w:eastAsia="Arial" w:hAnsi="Arial"/>
                <w:sz w:val="16"/>
                <w:szCs w:val="16"/>
                <w:color w:val="auto"/>
              </w:rPr>
              <w:t>37,786</w:t>
            </w:r>
          </w:p>
        </w:tc>
        <w:tc>
          <w:tcPr>
            <w:tcW w:w="32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line="169" w:lineRule="exact"/>
              <w:rPr>
                <w:sz w:val="20"/>
                <w:szCs w:val="20"/>
                <w:color w:val="auto"/>
              </w:rPr>
            </w:pPr>
            <w:r>
              <w:rPr>
                <w:rFonts w:ascii="Arial" w:cs="Arial" w:eastAsia="Arial" w:hAnsi="Arial"/>
                <w:sz w:val="16"/>
                <w:szCs w:val="16"/>
                <w:color w:val="auto"/>
              </w:rPr>
              <w:t>40,091</w:t>
            </w:r>
          </w:p>
        </w:tc>
        <w:tc>
          <w:tcPr>
            <w:tcW w:w="840" w:type="dxa"/>
            <w:vAlign w:val="bottom"/>
          </w:tcPr>
          <w:p>
            <w:pPr>
              <w:jc w:val="center"/>
              <w:ind w:left="101"/>
              <w:spacing w:after="0" w:line="169" w:lineRule="exact"/>
              <w:rPr>
                <w:sz w:val="20"/>
                <w:szCs w:val="20"/>
                <w:color w:val="auto"/>
              </w:rPr>
            </w:pPr>
            <w:r>
              <w:rPr>
                <w:rFonts w:ascii="Arial" w:cs="Arial" w:eastAsia="Arial" w:hAnsi="Arial"/>
                <w:sz w:val="16"/>
                <w:szCs w:val="16"/>
                <w:color w:val="auto"/>
              </w:rPr>
              <w:t>(6%)</w:t>
            </w:r>
          </w:p>
        </w:tc>
        <w:tc>
          <w:tcPr>
            <w:tcW w:w="2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43"/>
              <w:spacing w:after="0" w:line="169" w:lineRule="exact"/>
              <w:rPr>
                <w:sz w:val="20"/>
                <w:szCs w:val="20"/>
                <w:color w:val="auto"/>
              </w:rPr>
            </w:pPr>
            <w:r>
              <w:rPr>
                <w:rFonts w:ascii="Arial" w:cs="Arial" w:eastAsia="Arial" w:hAnsi="Arial"/>
                <w:sz w:val="16"/>
                <w:szCs w:val="16"/>
                <w:color w:val="auto"/>
              </w:rPr>
              <w:t>115,094</w:t>
            </w:r>
          </w:p>
        </w:tc>
        <w:tc>
          <w:tcPr>
            <w:tcW w:w="3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line="169" w:lineRule="exact"/>
              <w:rPr>
                <w:sz w:val="20"/>
                <w:szCs w:val="20"/>
                <w:color w:val="auto"/>
              </w:rPr>
            </w:pPr>
            <w:r>
              <w:rPr>
                <w:rFonts w:ascii="Arial" w:cs="Arial" w:eastAsia="Arial" w:hAnsi="Arial"/>
                <w:sz w:val="16"/>
                <w:szCs w:val="16"/>
                <w:color w:val="auto"/>
              </w:rPr>
              <w:t>117,969</w:t>
            </w:r>
          </w:p>
        </w:tc>
        <w:tc>
          <w:tcPr>
            <w:tcW w:w="900" w:type="dxa"/>
            <w:vAlign w:val="bottom"/>
          </w:tcPr>
          <w:p>
            <w:pPr>
              <w:jc w:val="center"/>
              <w:ind w:left="41"/>
              <w:spacing w:after="0" w:line="169" w:lineRule="exact"/>
              <w:rPr>
                <w:sz w:val="20"/>
                <w:szCs w:val="20"/>
                <w:color w:val="auto"/>
              </w:rPr>
            </w:pPr>
            <w:r>
              <w:rPr>
                <w:rFonts w:ascii="Arial" w:cs="Arial" w:eastAsia="Arial" w:hAnsi="Arial"/>
                <w:sz w:val="16"/>
                <w:szCs w:val="16"/>
                <w:color w:val="auto"/>
              </w:rPr>
              <w:t>(2%)</w:t>
            </w:r>
          </w:p>
        </w:tc>
      </w:tr>
      <w:tr>
        <w:trPr>
          <w:trHeight w:val="20"/>
        </w:trPr>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-153670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-153670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-153670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-153670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decreases in cost of revenue in the third quarter of 2025 and in the first nine months of 2025 were primarily due to lower revenue levels. Cost of revenue decreased at a lesser rate as compared to the corresponding revenue decrease in the third quarter of 2025, primarily due to lower fixed overhead absorption, partially offset by increased clinical diagnostic test costs where the corresponding revenue and reimbursement rates were less than the cost to produce the tests.</w:t>
      </w:r>
    </w:p>
    <w:p>
      <w:pPr>
        <w:spacing w:after="0" w:line="137"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Specific components of the decrease in the third quarter of 2025 were a $6.5 million and a $0.3 million decrease in direct material and labor costs, respectively, due to reduced samples processed, and a $0.2 million decrease in depreciation expense, partially offset by a $1.2 million increase in laboratory supplies, a $1.3 million increase in diagnostic test costs and a $0.1 million increase in equipment repairs and maintenance.</w:t>
      </w:r>
    </w:p>
    <w:p>
      <w:pPr>
        <w:spacing w:after="0" w:line="14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Specific components of the decrease in the first nine months of 2025 were a $10.8 million decrease in direct material cost due to reduced samples processed, a $0.6 million decrease in depreciation expenses resulting from capital equipment spend timing and a $0.3 million decrease in facilities costs, partially offset by a $3.1 million increase in diagnostic test costs, a $1.1 million increase in laboratory supplies costs and a $0.4 million increase in equipment repairs and maintenance.</w:t>
      </w:r>
    </w:p>
    <w:p>
      <w:pPr>
        <w:spacing w:after="0" w:line="32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increase in research and development in the third quarter of 2025 compared to the same period of 2024 was primarily due to higher research and development collaboration expenses. The decrease in research and development in the first nine months of 2025 compared to the same period of 2024 was primarily due to timing of internal research and development projects.</w:t>
      </w:r>
    </w:p>
    <w:p>
      <w:pPr>
        <w:spacing w:after="0" w:line="14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Specific components of the increase in the third quarter of 2025 were a $0.1 million increase in lab supplies and a $0.4 million increase in research and development collaboration costs for clinical reimbursement evidence generation.</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Specific components of the decrease in the first nine months of 2025 were a $2.0 million decrease in lab supplies utilized, partially offset by a $1.0 million increase in research and development collaboration costs, a $0.4 million increase in repairs and maintenance, a $0.3 million increase in professional service and a $0.1 million increase in personnel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increases in selling, general and administrative expenses in the third quarter of 2025 and in the first nine months of 2025 compared to the same periods of 2024 were primarily due to expanded marketing programs related to NeXT Personal Dx.</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Specific components of the increase in the third quarter of 2025 were a $0.8 million increase in marketing and marketing related activities such as Tempus' sales &amp; marketing expenses, a $0.7 million increase in professional outside services, a $0.3 million increase in costs for marketing to physicians and a $0.2 million increase in repairs and maintenance, partially offset by a $0.4 million decrease in personnel costs.</w:t>
      </w:r>
    </w:p>
    <w:p>
      <w:pPr>
        <w:spacing w:after="0" w:line="13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Specific components of the increase in the first nine months of 2025 were a $2.6 million increase in marketing and marketing-related expenses such as trade show expenses and Tempus' sales &amp; marketing expenses, a $1.0 million increase in costs for marketing to physicians, a $0.8 million increase in personnel costs, a $0.5 million increase in office expenses and a $0.3 million increase in personnel-related costs, partially offset by a $0.4 million decrease in facilities costs and a $0.3 million decrease in professional service fees.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ind w:left="34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ind w:left="360"/>
              <w:spacing w:after="0"/>
              <w:rPr>
                <w:sz w:val="20"/>
                <w:szCs w:val="20"/>
                <w:color w:val="auto"/>
              </w:rPr>
            </w:pPr>
            <w:r>
              <w:rPr>
                <w:rFonts w:ascii="Arial" w:cs="Arial" w:eastAsia="Arial" w:hAnsi="Arial"/>
                <w:sz w:val="14"/>
                <w:szCs w:val="14"/>
                <w:b w:val="1"/>
                <w:bCs w:val="1"/>
                <w:color w:val="auto"/>
              </w:rPr>
              <w:t>Change</w:t>
            </w:r>
          </w:p>
        </w:tc>
      </w:tr>
      <w:tr>
        <w:trPr>
          <w:trHeight w:val="155"/>
        </w:trPr>
        <w:tc>
          <w:tcPr>
            <w:tcW w:w="3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4"/>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2024</w:t>
            </w:r>
          </w:p>
        </w:tc>
        <w:tc>
          <w:tcPr>
            <w:tcW w:w="1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4"/>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2024</w:t>
            </w:r>
          </w:p>
        </w:tc>
        <w:tc>
          <w:tcPr>
            <w:tcW w:w="1140" w:type="dxa"/>
            <w:vAlign w:val="bottom"/>
          </w:tcPr>
          <w:p>
            <w:pPr>
              <w:spacing w:after="0"/>
              <w:rPr>
                <w:sz w:val="13"/>
                <w:szCs w:val="13"/>
                <w:color w:val="auto"/>
              </w:rPr>
            </w:pPr>
          </w:p>
        </w:tc>
      </w:tr>
      <w:tr>
        <w:trPr>
          <w:trHeight w:val="18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income</w:t>
            </w:r>
          </w:p>
        </w:tc>
        <w:tc>
          <w:tcPr>
            <w:tcW w:w="14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1,680</w:t>
            </w:r>
          </w:p>
        </w:tc>
        <w:tc>
          <w:tcPr>
            <w:tcW w:w="2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1,384</w:t>
            </w:r>
          </w:p>
        </w:tc>
        <w:tc>
          <w:tcPr>
            <w:tcW w:w="12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21%</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5,585</w:t>
            </w:r>
          </w:p>
        </w:tc>
        <w:tc>
          <w:tcPr>
            <w:tcW w:w="3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3,879</w:t>
            </w:r>
          </w:p>
        </w:tc>
        <w:tc>
          <w:tcPr>
            <w:tcW w:w="1140" w:type="dxa"/>
            <w:vAlign w:val="bottom"/>
            <w:shd w:val="clear" w:color="auto" w:fill="CFF0FC"/>
          </w:tcPr>
          <w:p>
            <w:pPr>
              <w:jc w:val="center"/>
              <w:ind w:left="21"/>
              <w:spacing w:after="0" w:line="183" w:lineRule="exact"/>
              <w:rPr>
                <w:sz w:val="20"/>
                <w:szCs w:val="20"/>
                <w:color w:val="auto"/>
              </w:rPr>
            </w:pPr>
            <w:r>
              <w:rPr>
                <w:rFonts w:ascii="Arial" w:cs="Arial" w:eastAsia="Arial" w:hAnsi="Arial"/>
                <w:sz w:val="16"/>
                <w:szCs w:val="16"/>
                <w:color w:val="auto"/>
                <w:w w:val="99"/>
              </w:rPr>
              <w:t>44%</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Interest expense</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814%</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140" w:type="dxa"/>
            <w:vAlign w:val="bottom"/>
          </w:tcPr>
          <w:p>
            <w:pPr>
              <w:jc w:val="center"/>
              <w:ind w:left="21"/>
              <w:spacing w:after="0"/>
              <w:rPr>
                <w:sz w:val="20"/>
                <w:szCs w:val="20"/>
                <w:color w:val="auto"/>
              </w:rPr>
            </w:pPr>
            <w:r>
              <w:rPr>
                <w:rFonts w:ascii="Arial" w:cs="Arial" w:eastAsia="Arial" w:hAnsi="Arial"/>
                <w:sz w:val="16"/>
                <w:szCs w:val="16"/>
                <w:color w:val="auto"/>
                <w:w w:val="97"/>
              </w:rPr>
              <w:t>460%</w:t>
            </w: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(26,081)</w:t>
            </w: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(18,544)</w:t>
            </w:r>
          </w:p>
        </w:tc>
        <w:tc>
          <w:tcPr>
            <w:tcW w:w="1140" w:type="dxa"/>
            <w:vAlign w:val="bottom"/>
            <w:shd w:val="clear" w:color="auto" w:fill="CFF0FC"/>
          </w:tcPr>
          <w:p>
            <w:pPr>
              <w:jc w:val="center"/>
              <w:ind w:left="21"/>
              <w:spacing w:after="0"/>
              <w:rPr>
                <w:sz w:val="20"/>
                <w:szCs w:val="20"/>
                <w:color w:val="auto"/>
              </w:rPr>
            </w:pPr>
            <w:r>
              <w:rPr>
                <w:rFonts w:ascii="Arial" w:cs="Arial" w:eastAsia="Arial" w:hAnsi="Arial"/>
                <w:sz w:val="16"/>
                <w:szCs w:val="16"/>
                <w:color w:val="auto"/>
              </w:rPr>
              <w:t>(99%)</w:t>
            </w:r>
          </w:p>
        </w:tc>
      </w:tr>
    </w:tbl>
    <w:p>
      <w:pPr>
        <w:spacing w:after="0" w:line="16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The increases in interest income in the third quarter of 2025 and the first nine months of 2025 compared to the same periods of 2024 were driven by higher average investment balances, partially offset by decreased yields. Interest expense is the recognition of imputed interest on noninterest bearing loans.</w:t>
      </w:r>
    </w:p>
    <w:p>
      <w:pPr>
        <w:spacing w:after="0" w:line="32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Other income (expense), net, in the third quarter of 2025 and the first nine months of 2025, consisted mainly of foreign currency remeasurements. Other income (expense), net in the third quarter of 2024 and the first nine months of 2024 consisted mainly of a $26.0 million and a $18.3 million noncash loss, respectively, recognized as a result of remeasurement of the Tempus Warrants (classified as liability instruments).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selected financial information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5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and short-term investments</w:t>
            </w:r>
          </w:p>
        </w:tc>
        <w:tc>
          <w:tcPr>
            <w:tcW w:w="19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150,515</w:t>
            </w:r>
          </w:p>
        </w:tc>
        <w:tc>
          <w:tcPr>
            <w:tcW w:w="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185,009</w:t>
            </w: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Contract liabilities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1,457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3,100</w:t>
            </w:r>
          </w:p>
        </w:tc>
      </w:tr>
      <w:tr>
        <w:trPr>
          <w:trHeight w:val="18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1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138,246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171,889</w:t>
            </w:r>
          </w:p>
        </w:tc>
      </w:tr>
    </w:tbl>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From our inception through September 30, 2025, we have funded our operations primarily from net proceeds from issuance of redeemable convertible preferred stock, issuance of common stock through our initial public offering, follow-on equity offerings and our ATM facility (see Note 2, Summary of Significant Accounting Policies, in Part 1, Item 1 of this Form 10-Q in our Consolidated Financial Statements for additional information). Additionally, we have funded our operations from Tempus exercising warrants and purchasing additional shares of our common stock under an investment agreement, and Merck &amp; Co., Inc. (“Merck”) purchasing shares of our common stock under an investment agreement (see Note 8, Related Party Transactions, in Part 1, Item 1 of this Form 10-Q in our Consolidated Financial Statements for additional information), as well as cash from operations and debt financings. As of September 30, 2025, we had cash and cash equivalents of $50.0 million and short-term investments of $100.5 million.</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sales agreement prospectus supplement in December 2024, pursuant to which we may offer and sell up to $50.0 million of shares of our common stock through our ATM facility, of which approximately $32.0 million remains available for sale as of September 30, 2025.The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 Our ability to raise additional capital may be adversely impacted by potential worsening global economic conditions and the recent disruptions to, and volatility in, the credit and financial markets in the United States and worldwide resulting from tariffs, other restrictive trade policies, the current administration’s focus on reducing government research spending and federal cost-cutting initiatives, actual or perceived changes in interest rates and inflation, and other macroeconomic factors. If we are unable to raise additional capital when needed or on favorable terms, our business, results of operations and financial condition would be adversely affected.</w:t>
      </w:r>
    </w:p>
    <w:p>
      <w:pPr>
        <w:spacing w:after="0" w:line="353"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ind w:right="581"/>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auto"/>
            </w:tcBorders>
          </w:tcPr>
          <w:p>
            <w:pPr>
              <w:spacing w:after="0"/>
              <w:rPr>
                <w:sz w:val="14"/>
                <w:szCs w:val="14"/>
                <w:color w:val="auto"/>
              </w:rPr>
            </w:pPr>
          </w:p>
        </w:tc>
      </w:tr>
      <w:tr>
        <w:trPr>
          <w:trHeight w:val="156"/>
        </w:trPr>
        <w:tc>
          <w:tcPr>
            <w:tcW w:w="6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3"/>
                <w:szCs w:val="13"/>
                <w:color w:val="auto"/>
              </w:rPr>
            </w:pPr>
          </w:p>
        </w:tc>
      </w:tr>
      <w:tr>
        <w:trPr>
          <w:trHeight w:val="183"/>
        </w:trPr>
        <w:tc>
          <w:tcPr>
            <w:tcW w:w="6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(52,700)</w:t>
            </w:r>
          </w:p>
        </w:tc>
        <w:tc>
          <w:tcPr>
            <w:tcW w:w="4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(37,354)</w:t>
            </w:r>
          </w:p>
        </w:tc>
        <w:tc>
          <w:tcPr>
            <w:tcW w:w="50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21"/>
              <w:spacing w:after="0" w:line="183" w:lineRule="exact"/>
              <w:rPr>
                <w:sz w:val="20"/>
                <w:szCs w:val="20"/>
                <w:color w:val="auto"/>
              </w:rPr>
            </w:pPr>
            <w:r>
              <w:rPr>
                <w:rFonts w:ascii="Arial" w:cs="Arial" w:eastAsia="Arial" w:hAnsi="Arial"/>
                <w:sz w:val="16"/>
                <w:szCs w:val="16"/>
                <w:color w:val="auto"/>
              </w:rPr>
              <w:t>(15,346)</w:t>
            </w:r>
          </w:p>
        </w:tc>
        <w:tc>
          <w:tcPr>
            <w:tcW w:w="70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41%</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(8,886)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201"/>
              <w:spacing w:after="0"/>
              <w:rPr>
                <w:sz w:val="20"/>
                <w:szCs w:val="20"/>
                <w:color w:val="auto"/>
              </w:rPr>
            </w:pPr>
            <w:r>
              <w:rPr>
                <w:rFonts w:ascii="Arial" w:cs="Arial" w:eastAsia="Arial" w:hAnsi="Arial"/>
                <w:sz w:val="16"/>
                <w:szCs w:val="16"/>
                <w:color w:val="auto"/>
              </w:rPr>
              <w:t>697</w:t>
            </w:r>
          </w:p>
        </w:tc>
        <w:tc>
          <w:tcPr>
            <w:tcW w:w="700" w:type="dxa"/>
            <w:vAlign w:val="bottom"/>
          </w:tcPr>
          <w:p>
            <w:pPr>
              <w:jc w:val="center"/>
              <w:spacing w:after="0"/>
              <w:rPr>
                <w:sz w:val="20"/>
                <w:szCs w:val="20"/>
                <w:color w:val="auto"/>
              </w:rPr>
            </w:pPr>
            <w:r>
              <w:rPr>
                <w:rFonts w:ascii="Arial" w:cs="Arial" w:eastAsia="Arial" w:hAnsi="Arial"/>
                <w:sz w:val="16"/>
                <w:szCs w:val="16"/>
                <w:color w:val="auto"/>
              </w:rPr>
              <w:t>(8%)</w:t>
            </w:r>
          </w:p>
        </w:tc>
      </w:tr>
      <w:tr>
        <w:trPr>
          <w:trHeight w:val="18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19,443</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65,071</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rPr>
              <w:t>(45,628)</w:t>
            </w:r>
          </w:p>
        </w:tc>
        <w:tc>
          <w:tcPr>
            <w:tcW w:w="7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(70%)</w:t>
            </w:r>
          </w:p>
        </w:tc>
      </w:tr>
    </w:tbl>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increase in cash used in operating activities was primarily due to working capital needs and lower revenue with reduced gross margin.</w:t>
      </w:r>
    </w:p>
    <w:p>
      <w:pPr>
        <w:spacing w:after="0" w:line="19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decrease in cash used in investing activities was due to a $5.0 million decrease in investment of our cash into short-term investments, partially offset by a $4.3 million increase in capital expenditures.</w:t>
      </w:r>
    </w:p>
    <w:p>
      <w:pPr>
        <w:spacing w:after="0" w:line="115"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The decrease in cash provided by financing activities was due to a $12.2 million lower net proceeds from sales of common stock under our ATM facility, a $35.5 million decrease from the proceeds of the Tempus warrant exercise and stock sale and a $0.9 million higher repayments of loans, partially offset by a $2.6 million increase in the loan receipts and $0.4 million higher proceeds from our employee stock purchase program.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material cash requirements in the short- and long-term consist primarily of variable costs of revenue, operating expenditures, capital expenditures, property leases, and other spend. We plan to fund our material cash requirements with our existing cash and cash equivalents and short-term investments, which amounted to $150.5 million as of September 30, 2025,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i w:val="1"/>
          <w:iCs w:val="1"/>
          <w:color w:val="auto"/>
        </w:rPr>
        <w:t>Variable costs of revenue</w:t>
      </w:r>
      <w:r>
        <w:rPr>
          <w:rFonts w:ascii="Arial" w:cs="Arial" w:eastAsia="Arial" w:hAnsi="Arial"/>
          <w:sz w:val="16"/>
          <w:szCs w:val="16"/>
          <w:color w:val="auto"/>
        </w:rPr>
        <w:t>. 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increase in 2025 in order to support the planned increase in clinical test volumes ahead of planned Medicare reimbursement.</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Operating expenditures</w:t>
      </w:r>
      <w:r>
        <w:rPr>
          <w:rFonts w:ascii="Arial" w:cs="Arial" w:eastAsia="Arial" w:hAnsi="Arial"/>
          <w:sz w:val="16"/>
          <w:szCs w:val="16"/>
          <w:color w:val="auto"/>
        </w:rPr>
        <w:t>. Our primary use of cash relates to employee compensation, spend on professional services, spend related to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development projects, and other costs to support our research and development and selling, general and administrative functions. We currently expect our spending in all of these areas to increase slightly above the levels in 2024. On a long-term basis, we manage future cash requirements relative to our long-term business plans.</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are expected to increase from 2024 levels as we expect to expand NeXT Personal Dx capacity. Going</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our capital expenditures are expected to consist primarily of laboratory equipment and computer equipment. We currently expect capital expenditures to be approximately $7.0 million in 2025 and between $13.0 million to $14.0 million in each of the years 2026 and 2027.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i w:val="1"/>
          <w:iCs w:val="1"/>
          <w:color w:val="auto"/>
        </w:rPr>
        <w:t xml:space="preserve">Property leases. </w:t>
      </w:r>
      <w:r>
        <w:rPr>
          <w:rFonts w:ascii="Arial" w:cs="Arial" w:eastAsia="Arial" w:hAnsi="Arial"/>
          <w:sz w:val="16"/>
          <w:szCs w:val="16"/>
          <w:color w:val="auto"/>
        </w:rPr>
        <w:t>Our noncancelable operating lease payments were $64.3 million as of September 30,2025. The timing of these future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year, can be found in Note 7, Leases, in Part I, Item 1 of this Form 10-Q in the Consolidated Financial Statements.</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As of September 30, 2025, we have an outstanding noninterest bearing loan that was used to finance the purchase of lab equipment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licenses. We owe a total of $2.5 million, of which the majority is payable in the next twelve months. Further discussion of the loan can be found in Note 6, Loans, in Part I, Item 1 of this Form 10-Q in the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financial statements are prepared in accordance with U.S. GAAP. The preparation of our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leases, and common stock warrants have the greatest potential impact on our financial statements. Therefore, we consider these to be our critical accounting policies and estimates.</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2024 under the caption “Critical Accounting Policies and Estimates” in Management’s Discussion and Analysis of Financial Condition and Results of Operations, set forth in Part II, Item 7.</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9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See the section titled “Recent Accounting Pronouncements” in Note 2, Summary of Significant Accounting Policies, in Part I, Item 1 of this Form 10-Q in the Consolidated Financial Statements for additional information.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CEO and CFO have concluded that as of September 30, 2025,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From time to time, we may be a party or subject to various legal proceedings and claims which arise in the ordinary course of business. The outcome of any legal proceeding or claim is inherently uncertain and subject to unascertainable damages or other remedies.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Note 11, Commitments and Contingencies, in Part I, Item 1 of this Form 10-Q in the Consolidated Financial Statements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2024 (Annual Report), which was filed with the SEC on February 27, 2025; provided, however, no asterisk is included if the only changes are to reflect our most recently reported financial information and/or one or more insignificant changes.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have incurred net losses since our inception. For the year ended December 31, 2024, we had a net loss of $81.0 million. For the nine months ended September 30, 2025, we had a net loss of $57.5 million. As of September 30, 2025, we had an accumulated deficit of $607.4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58"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or if we are unable to generate sufficient reimbursement or coverage by insurance or governmental payors for our products, we may fail to generate sufficient revenue to achieve profitability and sustain our business.</w:t>
      </w:r>
    </w:p>
    <w:p>
      <w:pPr>
        <w:spacing w:after="0" w:line="12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generation of sufficient reimbursement or coverage by insurance or governmental payors for our products;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73"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recruitment, hiring, and retention of our commercial team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educate our customers and potential customers of the utility of the comprehensiveness of our services and of testing patients at multiple time points;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continue to fund sales and marketing activities;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services are considered superior to those of our competitors;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enforcing and defending intellectual property rights and claims.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that employ various approaches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educate our customers and potential customers on the benefits of our comprehensive tests compared to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Some of our present or potential competitors, including Adela, Inc., Caris Life Sciences, Inc., DELFI Diagnostics, Inc., Exact Sciences Corporation, Foresight Diagnostics Inc. (“Foresight”), Foundation Medicine, Inc., GRAIL, Inc., Guardant Health, Inc., Haystack Oncology, Inc., which was acquired by Quest Diagnostics Incorporated in June 2023, Laboratory Corporation of America Holdings, MedGenome Inc., Myriad Genetics, Inc.("Myriad"), Natera, NeoGenomics, Inc., Predicine, Inc., SAGA Diagnostics AB, and Veracyte,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year ended December 31, 2024, revenue under our agreement accounted for 30% of our total revenue. See “—We have derived a substantial portion of our revenue from DNA sequencing and data analysis services provided to Natera. We do not expect to have a long-term commercial relationship with Natera beyond 2025 and, if we are unable to grow our customer base and diversify our revenue concentration, our business, financial condition, revenue and other operating results, and cash flows may be materially harmed.” Further, we have partnered with Tempus to expand the sales and marketing of our NeXT Personal Dx tests in four indications and Tempus could in the future develop tests that compete directly or indirectly with our tests or partner with our competitors. If Tempus were to develop competitive tests or partner with our competitors, we or Tempus may terminate the agreement and, upon termination of the agreement, we may be unable to expand our sales force timely to replace the Tempus sales and marketing efforts, which could adversely impact our business or affect our ability to commercialize our services and products. In addition, our present or potential competitors may be acquired by, receive investments from, or enter into other commercial relationships with larger, more well-established and well-financed companies. We may also have disputes with our present or potential competitors.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Others may develop lower-priced, less complex products and services that pharmaceutical companies could view as functionally equivalent to our current or planned future services, and our competitors may develop services with the same attributes and features as our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0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spacing w:after="0" w:line="12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Additionally, projects related to cancer diagnostics and particularly genomics have in the past received, and may in the future receive,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14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derive a substantial portion of our revenue from Moderna, and in the past have derived a substantial portion of our revenue from two other large customers.*</w:t>
      </w:r>
    </w:p>
    <w:p>
      <w:pPr>
        <w:spacing w:after="0" w:line="13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have derived a significant portion of our revenue from Moderna, which accounted for 25% of our revenue for the nine months ended September 30, 2025. We previously derived a significant portion of our revenue from the VA MVP and Natera, which accounted for 15% and 10% of our revenue for the nine months ended September 30, 2025, respectively. Our top five customers, including Moderna, Natera and the VA MVP, accounted for 65% of our revenue for the nine months ended September 30, 2025. There are inherent risks whenever a large percentage of revenue is concentrated with a limited number of customers. While we have attempted to grow our customer base and diversify our revenue concentration beyond Moderna,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See “— We derive a substantial portion of our revenue from DNA sequencing and data analysis services that we provide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Moderna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credit risk. The failure of these customers to pay their balances, or any customer to pay future outstanding balances, would result in an operating expense and reduce our cash flows.</w:t>
      </w:r>
    </w:p>
    <w:p>
      <w:pPr>
        <w:spacing w:after="0" w:line="131"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have derived a substantial portion of our revenue from DNA sequencing and data analysis services provided to Natera. We do not expect to have a long-term commercial relationship with Natera beyond 2025 and, if we are unable to grow our customer base and diversify our revenue concentration, our business, financial condition, revenue and other operating results, and cash flows may be materially harmed.*</w:t>
      </w:r>
    </w:p>
    <w:p>
      <w:pPr>
        <w:spacing w:after="0" w:line="12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test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revenue under our agreement with Natera accounted for 31% of our total revenue for the nine months ended September 30, 2024 and only 10% of our total revenue for the nine months ended September 30, 2025. In December 2024, we amended our agreement with Natera to extend minimum volume commitments through the second quarter of 2025. We do not expect to have a long-term commercial relationship with Natera beyond 2025, as we are aware that Natera plans to bring such services in-house in lieu of purchasing such services from us. We are also aware of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Our agreement with Natera requires us to achieve certain quality and turnaround time metrics for Natera samples. Recently, the volumes of samples sent to us by Natera have fluctuated significantly and may continue to do so for the remainder of the term of the agreement, which could cause us to experience difficulty in achieving such metrics from time to time, or to meet our other obligations under our agreement.</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Additionally, Natera or other customers may allege that any failures to achieve the required metrics are a breach of our agreement and seek to terminate our agreement prior to its expiration and/or pursue any remedies available to it under the agreement, at law or in equity. Relatedly, we have incurred expenses in connection with our scale-up activities under our agreement with Natera, and we may incur additional expenses in the future to increase our laboratory’s capacity to process increased sample volumes from our other customers. Our activities under our agreement with Natera have had, and activities with our other customers may in the future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our NeXT Personal test is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or not renewed after expiration, and we are unable to grow our customer base and diversify our revenue concentration timely, our business, financial condition, revenue and other operating results, and cash flows may be materially harmed.</w:t>
      </w:r>
    </w:p>
    <w:p>
      <w:pPr>
        <w:spacing w:after="0" w:line="163"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derive a substantial portion of our revenue from DNA sequencing and data analysis services that we provide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spacing w:after="0" w:line="12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derive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In September 2022, we entered into a new contract with the VA MVP to continue providing them WGS services and received an initial task order with a value of up to $10.0 million (the "2022 VA MVP Agreement"). The performance period under the new contract includes a base period of one year, with four one-year renewal option periods that may be exercised upon discretion of the VA MVP. In August 2025, we received a fourth task order with a value of up to $13.5 million. There is no guarantee that the VA MVP will exercise any subsequent renewal option.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annual orders received in subsequent years (other than 2025) had values of $10.0 million, or less, which represents a substantial decline. We have no certainty that funding will be made available for our services, or that the VA MVP will honor its payment obligations under the current contract and task order, or award any future contracts, contract renewals or contracted orders to us. The priorities of the VA, the VA MVP, or the U.S. government may change, including in response to a health epidemic, pandemic or federal cost-cutting initiatives such as those recently announced and enacted by the current administration. Future task orders from the VA MVP for our DNA sequencing and data analysis services may be reduced or eliminated as a result of reductions in government research spending and federal cost-cutting initiatives.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For example, in March 2020, the VA MVP announced that it was suspending sample collection due to the COVID-19 pandemic. In addition, we believe the COVID-19 pandemic may have been a contributing factor to the reduction in values of contracted orders received in 2021 and later years compared to the September 2020 contract order, as the VA MVP delayed new enrollment and also may have needed to divert resources to respond to the pandemic. Another health epidemic or pandemic may negatively impact the value of any potential new VA MVP contract or order.</w:t>
      </w:r>
    </w:p>
    <w:p>
      <w:pPr>
        <w:spacing w:after="0" w:line="337"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including Moderna.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spacing w:after="0" w:line="15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4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Building our clinical laboratory business is subject to a number of reimbursement challenges and we may not be able to establish the medical necessity of our tests for coverage or reimbursement rates that cover our costs.</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coverage and reimbursement status of newly-approved or cleared laboratory developed tests, including our NeXT Dx and NeXT Personal Dx products, is uncertain. We are seeking reimbursement for our NeXT Dx and NeXT Personal Dx tests,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not medically necessary, or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January 2024, we announced that we received a final Medicare coverage determination for our NeXT Dx offering, extended retroactively to August 29, 2023. While we estimate that approximately half of new solid tumor cancer cases will be diagnosed in patients covered by Medicare, the Medicare coverage determination may not be indicative of our ability to obtain coverage with other payors. Even if favorable coverage and reimbursement status is attained for one or more of our products, less favorable coverage policies and reimbursement rates may be implemented in the future.</w:t>
      </w:r>
    </w:p>
    <w:p>
      <w:pPr>
        <w:spacing w:after="0" w:line="139"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are pursuing a partner-centric strategy and have key relationships with Tempus, Myriad, Moderna and Merck, among others. These and any other partnering and/or collaboration arrangements that we have entered into or may enter into in the future may not be successful, or may terminate, which could adversely impact our business or affect our ability to develop and commercialize our services and products.</w:t>
      </w:r>
    </w:p>
    <w:p>
      <w:pPr>
        <w:spacing w:after="0" w:line="14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strategic alliances with Moderna and Merck; and our collaborations with Tempus; Myriad; ClearNote Health, Inc.;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 and Criterium and the Academic Breast Cancer Consortium); and Yale Cancer Center or may enter into may not be successful. The success of our collaboration arrangements will depend heavily on the efforts and activities of our collaborators. Collaborations are subject to numerous risks, which include that.</w:t>
      </w:r>
    </w:p>
    <w:p>
      <w:pPr>
        <w:spacing w:after="0" w:line="75" w:lineRule="exact"/>
        <w:rPr>
          <w:sz w:val="20"/>
          <w:szCs w:val="20"/>
          <w:color w:val="auto"/>
        </w:rPr>
      </w:pPr>
    </w:p>
    <w:p>
      <w:pPr>
        <w:jc w:val="both"/>
        <w:ind w:left="1140" w:right="20" w:hanging="383"/>
        <w:spacing w:after="0" w:line="266"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6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25"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6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73" w:lineRule="exact"/>
        <w:rPr>
          <w:sz w:val="20"/>
          <w:szCs w:val="20"/>
          <w:color w:val="auto"/>
        </w:rPr>
      </w:pPr>
    </w:p>
    <w:p>
      <w:pPr>
        <w:ind w:left="1140" w:right="20" w:hanging="383"/>
        <w:spacing w:after="0" w:line="285" w:lineRule="auto"/>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 and</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or our collaborators may request or require us to expand our facilities and/or establish new facilities domestically and/or internationally, which may significantly increase our expenses and divert resources and management’s attention. See “</w:t>
      </w:r>
      <w:r>
        <w:rPr>
          <w:rFonts w:ascii="Arial" w:cs="Arial" w:eastAsia="Arial" w:hAnsi="Arial"/>
          <w:sz w:val="16"/>
          <w:szCs w:val="16"/>
          <w:b w:val="1"/>
          <w:bCs w:val="1"/>
          <w:i w:val="1"/>
          <w:iCs w:val="1"/>
          <w:color w:val="auto"/>
        </w:rPr>
        <w:t>—</w:t>
      </w:r>
      <w:r>
        <w:rPr>
          <w:rFonts w:ascii="Arial" w:cs="Arial" w:eastAsia="Arial" w:hAnsi="Arial"/>
          <w:sz w:val="16"/>
          <w:szCs w:val="16"/>
          <w:color w:val="auto"/>
        </w:rPr>
        <w:t>We may need to continue to invest in our infrastructure in advance of increased demand for our services; our failure to accurately forecast demand would have a negative impact on our business and our ability to achieve and sustain profitability.” and “</w:t>
      </w:r>
      <w:r>
        <w:rPr>
          <w:rFonts w:ascii="Arial" w:cs="Arial" w:eastAsia="Arial" w:hAnsi="Arial"/>
          <w:sz w:val="16"/>
          <w:szCs w:val="16"/>
          <w:b w:val="1"/>
          <w:bCs w:val="1"/>
          <w:i w:val="1"/>
          <w:iCs w:val="1"/>
          <w:color w:val="auto"/>
        </w:rPr>
        <w:t>—</w:t>
      </w:r>
      <w:r>
        <w:rPr>
          <w:rFonts w:ascii="Arial" w:cs="Arial" w:eastAsia="Arial" w:hAnsi="Arial"/>
          <w:sz w:val="16"/>
          <w:szCs w:val="16"/>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4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spacing w:after="0" w:line="15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International trade policies, including tariffs, sanctions and trade barriers may adversely affect our business, financial condition, results of operations and prospects.*</w:t>
      </w:r>
    </w:p>
    <w:p>
      <w:pPr>
        <w:spacing w:after="0" w:line="114" w:lineRule="exact"/>
        <w:rPr>
          <w:sz w:val="20"/>
          <w:szCs w:val="20"/>
          <w:color w:val="auto"/>
        </w:rPr>
      </w:pPr>
    </w:p>
    <w:p>
      <w:pPr>
        <w:ind w:right="60" w:firstLine="749"/>
        <w:spacing w:after="0" w:line="252" w:lineRule="auto"/>
        <w:rPr>
          <w:sz w:val="20"/>
          <w:szCs w:val="20"/>
          <w:color w:val="auto"/>
        </w:rPr>
      </w:pPr>
      <w:r>
        <w:rPr>
          <w:rFonts w:ascii="Arial" w:cs="Arial" w:eastAsia="Arial" w:hAnsi="Arial"/>
          <w:sz w:val="16"/>
          <w:szCs w:val="16"/>
          <w:color w:val="auto"/>
        </w:rPr>
        <w:t>We operate in a global economy, which includes partners and suppliers in certain countries outside the United States. There is inherent risk, based on the complex relationships among the U.S. and the countries in which our partners and suppliers reside,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156" w:lineRule="exact"/>
        <w:rPr>
          <w:sz w:val="20"/>
          <w:szCs w:val="20"/>
          <w:color w:val="auto"/>
        </w:rPr>
      </w:pPr>
    </w:p>
    <w:p>
      <w:pPr>
        <w:ind w:right="20" w:firstLine="749"/>
        <w:spacing w:after="0" w:line="259" w:lineRule="auto"/>
        <w:rPr>
          <w:sz w:val="20"/>
          <w:szCs w:val="20"/>
          <w:color w:val="auto"/>
        </w:rPr>
      </w:pPr>
      <w:r>
        <w:rPr>
          <w:rFonts w:ascii="Arial" w:cs="Arial" w:eastAsia="Arial" w:hAnsi="Arial"/>
          <w:sz w:val="16"/>
          <w:szCs w:val="16"/>
          <w:color w:val="auto"/>
        </w:rPr>
        <w:t>We do not own or operate, and currently have no plans to establish, any manufacturing facilities. We currently rely, and expect to continue to rely, on third parties for the manufacture of the specialized laboratory equipment, raw materials and other supplies we use in our business. Currently, certain of our direct suppliers are located outside of the United States. In addition, our suppliers in the United States source or may source components of the products we purchase from them from sources outside the United States. Current or new tariffs may adversely impact our supply chain.</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Unlike many industries, our ability to pass increased costs to customers is limited by the structure of reimbursement systems and, if the FDA determines our tests are subject to enforcement as medical devices, medical device pricing. The pricing of many of our products and services are, or will be, established through annual or multi-year contracts with commercial, third-party payors, customers, and group purchasing organizations, and reimbursement methodologies established by government programs, such as Medicare. These arrangements typically include fixed pricing terms that may be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years away.</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Current or future tariffs may also result in increased research and development expenses, including with respect to increased costs associated with raw materials, laboratory equipment and research materials and components. Trade restrictions affecting the import of materials necessary for our tests could result in increased costs to process tests and delays to delivery of our services. Increased costs and extended delivery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5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a single facility and if it becomes damaged or inoperable, or we are required to vacate our facility, our ability to sell and provide our services and pursue research and development efforts may be jeopardized.</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currently derive our revenue from our genomic analysis conducted in our laboratories. Currently, our only clinical reference or research and development laboratory facility is in Fremont, California. Our laboratory facility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laboratory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use of our laboratory facility due to a failure of an electrical bus duct serving that facility. Furthermore, our laboratory facility and the equipment we use to perform our services and our research and development work could be costly and time-consuming to repair or replace.</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facility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spacing w:after="0" w:line="14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Further, if our laboratory facility becomes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4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 *</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Errors, including if our tests fail to accurately detect gene variants, or mistakes, or any other quality issues,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including our customers returning our tests. In addition, our customers require timely turnaround of high-quality genomic data and analyses, and if we were not able to meet our customers’ specific requirements, it could also have a significant adverse effect on our business.</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5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57"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2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set out in Annex I of the IVDR. Compliance with these requirements is a prerequisite to be able to affix the CE Mark to IVDs, without which they cannot be marketed or sold in the EEA.</w:t>
      </w:r>
    </w:p>
    <w:p>
      <w:pPr>
        <w:spacing w:after="0" w:line="14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tests or services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If there are changes to our leadership team,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spacing w:after="0" w:line="160"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self-employed or employed by employers other than us and may have commitments under agreements with other entities that may limit their availability to us.</w:t>
      </w:r>
    </w:p>
    <w:p>
      <w:pPr>
        <w:spacing w:after="0" w:line="13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1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undertaken in the past, and may in the future undertake, internal restructuring activities that could result in disruptions to our business or otherwise harm our results of operations or financial condition.</w:t>
      </w:r>
    </w:p>
    <w:p>
      <w:pPr>
        <w:spacing w:after="0" w:line="1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For example, in the first quarter of 2023 and in the fourth quarter of 2023, we implemented reductions in our workforce to reduce operating costs and improve operating efficiency that collectively affected nearly 50% of our workforce. Any restructuring activities that we may undertake in the future may result in write-offs or other restructuring charges. There can be no assurance that any restructuring activities that we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and disrupt our ongoing business. If any internal restructuring activities we undertake in the future fail to achieve some or all of the expected benefits therefrom, our business, results of operations and financial condition could be materially and adversely affected.</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information technology systems,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5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may need to continue to invest in our infrastructure in advance of increased demand for our services; our failure to accurately forecast demand would have a negative impact on our business and our ability to achieve and sustain profitability. *</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Fremont facility expanded our laboratory capacity and, in order to execute our business model, we will need to make additional investments to further scale our infrastructure, including purchases of additional equipment and applications,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 In addition, we have experienced, and expect to continue to experience, significant fluctuations in the timing of receipt and volume of samples from our customers and collaborators, including as a result of factors outside our control, such as health epidemics or pandemics and government shutdowns. These fluctuations have in the past adversely impacted, and may in the future adversely impact, our ability to process samples timely and in an efficient fashion, particularly when the sample volume at any given time exceeds our then current capacity.</w:t>
      </w:r>
    </w:p>
    <w:p>
      <w:pPr>
        <w:spacing w:after="0" w:line="14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expanded our laboratory facility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3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that could adversely affect our operations, our financial condition, and the business or operations of our customers or other third parties with whom we conduct business.</w:t>
      </w:r>
    </w:p>
    <w:p>
      <w:pPr>
        <w:spacing w:after="0" w:line="10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business could be adversely impacted by the effects of a health crisis that could cause significant disruption in the operations of our customers and third-party suppliers upon whom we rely. Our laboratory facility,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5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a future health epidemic or pandemic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a health epidemic or pandemic or if other supply chain issues arise as a result of such a public health crisis. Several of our customers were delayed in sending us samples due to their inability to collect or ship samples during the COVID-19 pandemic, and these and additional customers may be disrupted from collecting samples or sending purchase orders or samples to us in the future in the event of the emergence of another health epidemic or pandemic.</w:t>
      </w:r>
    </w:p>
    <w:p>
      <w:pPr>
        <w:spacing w:after="0" w:line="14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3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w:t>
      </w:r>
    </w:p>
    <w:p>
      <w:pPr>
        <w:spacing w:after="0" w:line="137"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6"/>
          <w:szCs w:val="16"/>
          <w:color w:val="auto"/>
        </w:rPr>
        <w:t>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facility in the U.S.) would not fall within the scope of such exemptions. We believe that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spacing w:after="0" w:line="14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 European Union ("EU") Member State, or a foreign regulatory authority.</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42" w:lineRule="exact"/>
        <w:rPr>
          <w:sz w:val="20"/>
          <w:szCs w:val="20"/>
          <w:color w:val="auto"/>
        </w:rPr>
      </w:pPr>
    </w:p>
    <w:p>
      <w:pPr>
        <w:jc w:val="both"/>
        <w:ind w:firstLine="816"/>
        <w:spacing w:after="0" w:line="253"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spacing w:after="0" w:line="110"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manufacturing processes;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service or product marketing;</w:t>
      </w:r>
    </w:p>
    <w:p>
      <w:pPr>
        <w:spacing w:after="0" w:line="15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warning letters;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or recall of services or products from the market;</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5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fines, restitution, or disgorgement of profits or revenue;</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suspension or withdrawal of regulatory clearances or approvals;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limitation on, or refusal to permit, import or export of our products;</w:t>
      </w:r>
    </w:p>
    <w:p>
      <w:pPr>
        <w:spacing w:after="0" w:line="15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product seizures;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imposition of civil or criminal penalties.</w:t>
      </w:r>
    </w:p>
    <w:p>
      <w:pPr>
        <w:spacing w:after="0" w:line="19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3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spacing w:after="0" w:line="12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Centers for Medicare &amp; Medicaid Services ("CMS") does not perform this survey and inspection and relies on our CAP survey and inspection. We also may be subject to additional unannounced inspections.</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4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any of our services or products fail to comply with FDA regulatory requirements as enforced, or if we are required or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1"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ordinary course of our business, we, and the third parties with whom we work,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spacing w:after="0" w:line="15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Cyberattacks, malicious internet-based activity, and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ongoing ones in the Middle East and Ukraine, we, and the third parties with whom we work, may be vulnerable to a heightened risk of these attacks, including retaliatory cyberattacks, that could materially disrupt our systems and operations, supply chain, and ability to produce, sell, and distribute our products and services.</w:t>
      </w:r>
    </w:p>
    <w:p>
      <w:pPr>
        <w:spacing w:after="0" w:line="14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ransomware attacks are becoming increasingly prevalent and severe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Most of our employees are working remotely at least part of the time and such 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rely on third parties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that of the third parties with whom we work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3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new information technology, and our results of operations in the first and second quarters of 2018 were adversely affected as a result. In 2024, we experienced downtime in our information technology systems due to human error in connection with an upgrade by one of our third-party vendors to one of our information technology systems. Our results of operations were not materially adversely affected in the case of the latter downtime.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with whom we work) to provide our products and services.</w:t>
      </w:r>
    </w:p>
    <w:p>
      <w:pPr>
        <w:spacing w:after="0" w:line="14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spacing w:after="0" w:line="13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Further, if the information technology systems of the third parties with whom we work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5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employ a shared responsibility model where our customers and partners are responsible for configuring and implementing security measures related to our platform. As part of this model, we make certain security features available to users that can be implemented at their discretion or identify security areas or measures for which they are responsible. For example, users can choose whether to implement and enforce multifactor authentication to access their accounts. In certain cases where users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and partner relationships, reputation, and revenue may be adversely impacted.</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tests and services and otherwise conduct our business in the ordinary course.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spacing w:after="0" w:line="15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Applicable data privacy and security obligations, including applicable federal and/or state breach notification laws and foreign equivalents, as well as public company disclosure obligations, may require us, or we may voluntarily choose, to notify relevant stakeholders, including affected individuals, regulatory authorities and our stockholders, of certain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 prevent or cause customers or partners to stop using our products and services, deter new customers or partners from using our products and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53" w:lineRule="exact"/>
        <w:rPr>
          <w:sz w:val="20"/>
          <w:szCs w:val="20"/>
          <w:color w:val="auto"/>
        </w:rPr>
      </w:pPr>
    </w:p>
    <w:p>
      <w:pPr>
        <w:jc w:val="both"/>
        <w:ind w:left="760"/>
        <w:spacing w:after="0" w:line="258" w:lineRule="auto"/>
        <w:rPr>
          <w:sz w:val="20"/>
          <w:szCs w:val="20"/>
          <w:color w:val="auto"/>
        </w:rPr>
      </w:pPr>
      <w:r>
        <w:rPr>
          <w:rFonts w:ascii="Arial" w:cs="Arial" w:eastAsia="Arial" w:hAnsi="Arial"/>
          <w:sz w:val="16"/>
          <w:szCs w:val="16"/>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the ordinary course of business, we process sensitive information, including data we collect from our customers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3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fines and allows private litigants affected by certain data breaches to recover significant statutory damages. Although the CCPA exempts some data processed in the context of clinical trials, the CCPA increases compliance costs and potential liability with respect to other personal information we maintain about California residents. In addition, the CPRA expands the CCPA’s requirements, including by adding a new right for individuals to correct their personal information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establishing a new regulatory agency to implement and enforce the law. Other states, such as Virginia, Colorado, Connecticut and Utah have also enacted comprehensive privacy laws, and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spacing w:after="0" w:line="15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may be subject to new laws governing the privacy of consumer health data, including reproductive, sexual orientation, and gender identity privacy rights.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California also recently passed a law protecting privacy of abortion-related records and other reproductive healthcare services.</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and various related provincial laws, as well as Canada’s Anti-Spam Legislation, applies to our operations. We also receive personal information from customers in Asia and may be subject to new and emerging data privacy and security regimes in Asia, including Japan’s Act on the Protection of Personal Information, and Singapore's Personal Data Protection Act.</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the U.K.'s International Data Transfer Agreement / Addendum, and the EU-U.S. Data Privacy Framework (and U.K. extension thereto)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 The U.S. is also increasingly scrutinizing certain personal data transfers and may impose data localization requirements, for example, the U.S. Department of Justice’s rule entitled the Preventing Access to U.S. Sensitive Personal Data and Government-Related Data by Countries of Concern or Covered Persons.</w:t>
      </w:r>
    </w:p>
    <w:p>
      <w:pPr>
        <w:spacing w:after="0" w:line="16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also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3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A failure, or a perceived failure, to address or comply with U.S. and foreign data privacy and security laws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3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products and services; expenditure of time and resources to defend any claim or inquiry; adverse publicity; or substantial changes to our business model or operations.</w:t>
      </w:r>
    </w:p>
    <w:p>
      <w:pPr>
        <w:spacing w:after="0" w:line="162"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0"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165" w:lineRule="exact"/>
        <w:rPr>
          <w:sz w:val="20"/>
          <w:szCs w:val="20"/>
          <w:color w:val="auto"/>
        </w:rPr>
      </w:pPr>
    </w:p>
    <w:p>
      <w:pPr>
        <w:jc w:val="both"/>
        <w:ind w:left="1140" w:hanging="383"/>
        <w:spacing w:after="0" w:line="254"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53"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38"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spacing w:after="0" w:line="138"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150" w:lineRule="exact"/>
        <w:rPr>
          <w:rFonts w:ascii="Times New Roman" w:cs="Times New Roman" w:eastAsia="Times New Roman" w:hAnsi="Times New Roman"/>
          <w:sz w:val="16"/>
          <w:szCs w:val="16"/>
          <w:color w:val="auto"/>
        </w:rPr>
      </w:pPr>
    </w:p>
    <w:p>
      <w:pPr>
        <w:jc w:val="both"/>
        <w:ind w:left="1140" w:hanging="383"/>
        <w:spacing w:after="0" w:line="249"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341"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left="1140" w:right="20" w:hanging="383"/>
        <w:spacing w:after="0" w:line="266"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43"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40"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38" w:lineRule="exact"/>
        <w:rPr>
          <w:rFonts w:ascii="Times New Roman" w:cs="Times New Roman" w:eastAsia="Times New Roman" w:hAnsi="Times New Roman"/>
          <w:sz w:val="16"/>
          <w:szCs w:val="16"/>
          <w:color w:val="auto"/>
        </w:rPr>
      </w:pPr>
    </w:p>
    <w:p>
      <w:pPr>
        <w:jc w:val="both"/>
        <w:ind w:left="1140" w:hanging="383"/>
        <w:spacing w:after="0" w:line="253"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53" w:lineRule="exact"/>
        <w:rPr>
          <w:rFonts w:ascii="Times New Roman" w:cs="Times New Roman" w:eastAsia="Times New Roman" w:hAnsi="Times New Roman"/>
          <w:sz w:val="16"/>
          <w:szCs w:val="16"/>
          <w:color w:val="auto"/>
        </w:rPr>
      </w:pPr>
    </w:p>
    <w:p>
      <w:pPr>
        <w:jc w:val="both"/>
        <w:ind w:left="1140" w:hanging="383"/>
        <w:spacing w:after="0" w:line="250"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148"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payor, including private insurers;</w:t>
      </w:r>
    </w:p>
    <w:p>
      <w:pPr>
        <w:spacing w:after="0" w:line="129"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57"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331"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and authorities such as the Department of Justice, the U.S. Department of Health and Human Services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5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payors and government payors,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94" w:lineRule="exact"/>
        <w:rPr>
          <w:sz w:val="20"/>
          <w:szCs w:val="20"/>
          <w:color w:val="auto"/>
        </w:rPr>
      </w:pPr>
    </w:p>
    <w:p>
      <w:pPr>
        <w:jc w:val="both"/>
        <w:ind w:left="1140" w:hanging="383"/>
        <w:spacing w:after="0" w:line="266" w:lineRule="auto"/>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1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Further, on August 16, 2022, the Inflation Reduction Act (“IRA 2022") was signed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 The current administration is also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and our customers.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other legislative changes have been proposed and adopted since the ACA was enacted.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Further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Under both APMs and MIPS, performance data collected each performance year will affect Medicare payments in later years, including potentially reducing payments.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 the CLFS. Based on current law, between January 1, 2025 and June 30, 2025, applicable laboratories were required to report on data collected during January 1, 2019 and June 30, 2019. This data will be utilized to determine 2025 to 2027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spacing w:after="0" w:line="1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the Consolidated Appropriations Act, the statutory phase-in of the payment reductions has been extended through 2025 with a 0% reduction cap for 2021-2023 and a 15% reduction cap for 2026 through 2028.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 Therefore, even if favorable coverage and reimbursement status is attained, less favorable coverage policies and reimbursement rates may be implemented in the future.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business and financial condition.*</w:t>
      </w:r>
    </w:p>
    <w:p>
      <w:pPr>
        <w:spacing w:after="0" w:line="19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On December 22, 2017, comprehensive tax legislation (the “Tax Cuts and Jobs Act”) was signed into law that significantly revised the Internal Revenue Code of 1986, as amended (the “Code”). Future guidance from the U.S. Internal Revenue Service and other tax authorities with respect to the Tax Cuts and Jobs Act and other tax legislation may affect us, and certain aspects of the Tax Cuts and Jobs Act or other tax legislation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Additionally, on July 4, 2025, the OBBBA was signed into law. The OBBBA includes significant provisions, such as the permanent extension of certain expiring provisions of the Tax Cuts and Jobs Act, modifications to the international tax framework and the restoration of favorable tax treatment for certain business provisions. Changes in corporate tax rates, the realization of net deferred tax assets relating to our U.S. operations, the taxation of foreign earnings, and the deductibility of expenses under the Tax Cuts and Jobs Act, the CARES Act, the OBBBA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the OBBBA or any newly enacted federal tax legislation.</w:t>
      </w:r>
    </w:p>
    <w:p>
      <w:pPr>
        <w:spacing w:after="0" w:line="29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 *</w:t>
      </w:r>
    </w:p>
    <w:p>
      <w:pPr>
        <w:spacing w:after="0" w:line="19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the CARES Act, and the OBBBA,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14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exit of the U.K. from the EU could lead to further regulatory divergence and require us to incur additional expenses in order to develop, manufacture, and commercialize our products and services. *</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during which EU rules continued to apply. The U.K. and the EU have signed the EU-U.K. Trade and Cooperation Agreement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is currently some regulatory divergence in the U.K. from the EU in light of the fact that the CE marking process is set out in EU law, which no longer applies in the U.K. However in July 2025 the U.K. government announced its intention to amend the UK MDR 2002 to incorporate European Union Common Specifications for high- risk IVDs. The U.K. has devised a new route to market culminating in a U.K. Conformity Assessed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Northern Ireland must be compliant with EU law). However, all medical devices and IVDs must be registered with the MHRA, in order to be placed on the G.B. market.</w:t>
      </w:r>
    </w:p>
    <w:p>
      <w:pPr>
        <w:spacing w:after="0" w:line="35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U.K. Government has introduced legislation permitting EU CE Marks to continue to be recognized in G.B. for medical devices. The duration of such recognition depends on the EU regulatory framework on the basis of which the medical devices were previously CE marked. The risk classification of the devices also has an impact if they were CE marked in accordance with the IVDD. In early 2024, the U.K. government put into place legislation establishing reinforced post-market surveillance requirements. Such new regulations, The Medical Devices (Post-market Surveillance Requirements) (Amendment) (Great Britain) Regulations 2024, amend the UK MDR 2022 by inserting further post-market surveillance requirements.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UK government has recently amended the MDR 2002 to extend the recognition of CE marked medical devices in Great Britain. The amendments provide that CE marks will cease to be recognized in Great Britain on June 30, 2030, at the latest. Shorter deadlines may apply depending on the regulatory framework on the basis of which the CE mark is affixed and the classification of the medical devices. In addition, CE marks may cease to have affect before the deadlines established in the amended UK MDR – if CE Certificates of Conformity expire, or if related application of EU law renders the CE Certificates of Conformity invalid at an earlier date. Accordingly, IVDs CE marked in accordance with the IVDD can be placed on the Great Britain market until May 26, 2025 if they are list A, list B, or self-testing IVDs or until June 30, 2030 if they are General IVDs which were self-assessed under the IVDD, for which the EU Declaration of Conformity was issued in accordance with the IVDD prior to May 26, 2022, and for which the conformity assessment under Regulation 217/746 on IVDs (IVDR) will require the involvement of a notified body. IVDs CE marked in accordance with the IVDR can be placed on the Great Britain market until June 30, 2030. In addition, the MHRA also announced in 2025 that it would consult, starting later in 2025, on indefinite recognition of CE-marked medical devices in the U.K. and the introduction of new, international reliance routes based on approvals in Australia, Canada, and the U.S.</w:t>
      </w:r>
    </w:p>
    <w:p>
      <w:pPr>
        <w:spacing w:after="0" w:line="3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recently enacted Assembly Bill 1305 (“AB 1305”). AB 1305, which became effective on January 1, 2024, creates new annual disclosure requirements regarding substantiation of certain climate-related statements, and, if we report climate related statements in the future, could increase our compliance and reporting costs. Additionally, the SEC adopted rules designed to enhance and standardize climate-related disclosures, which have been stayed pending judicial review. If these rules or other climate-related disclosures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2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4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customers, suppliers, and others to indemnify and hold them harmless for damages arising from intellectual property infringement by us.</w:t>
      </w:r>
    </w:p>
    <w:p>
      <w:pPr>
        <w:spacing w:after="0" w:line="155"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jc w:val="both"/>
        <w:ind w:left="760"/>
        <w:spacing w:after="0" w:line="280"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2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defend or enforce our patent rights in foreign jurisdictions could result in substantial cost and divert our efforts and attention from other aspects of our business.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 *</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2042, subject to any patent extensions that may be available for such patents. If patents are issued on our pending patent applications, the resulting patents are projected to expire on dates ranging from 2033 to 2045.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4"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4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choose not to, or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3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149" w:lineRule="exact"/>
        <w:rPr>
          <w:sz w:val="20"/>
          <w:szCs w:val="20"/>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1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29"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1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have been challenged or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have participated, and may in the future participate, in interference proceedings, derivation proceedings,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proceedings, or other post-grant proceedings declared by the USPTO or a foreign patent office that have resulted, and could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For example, two of our patents were recently challenged and subsequently invalidated during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initiated by Foresight.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57"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have in the past been involved in legal proceedings to enforce our intellectual property rights and may in the future become involved in other lawsuits to protect or enforce our patents or other intellectual property, which could be expensive, time consuming, and unsuccessful.</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the past we filed complaints against Foresight for infringement of certain of our patents relating to detection of MRD, which complaints we agreed to stipulate to dismiss, pursuant to a settlement agreement with Foresight in June 2024.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For example, two of our patents were recently challenged and subsequently invalidated during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initiated by Foresight.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35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51"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sought or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have chosen and in the future may choose not to seek patent protection in certain countries, and we will not have the benefit of patent protection in such countries.</w:t>
      </w:r>
    </w:p>
    <w:p>
      <w:pPr>
        <w:spacing w:after="0" w:line="16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Proceedings to defend or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1"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has resulted or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62"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0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1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5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4"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1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9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 *</w:t>
      </w:r>
    </w:p>
    <w:p>
      <w:pPr>
        <w:spacing w:after="0" w:line="10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may seek to raise additional capital through equity offerings, debt financings, collaborations, or licensing arrangements to continue executing on our long-term business plan. Additional funding may not be available to us on acceptable terms, or at all.</w:t>
      </w:r>
    </w:p>
    <w:p>
      <w:pPr>
        <w:spacing w:after="0" w:line="11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6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ongoing ones in the Middle East and Ukraine) and government shutdowns.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14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0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48" w:lineRule="exact"/>
        <w:rPr>
          <w:sz w:val="20"/>
          <w:szCs w:val="20"/>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fluctuations in our operating results;</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tests or new tests that may emerge;</w:t>
      </w:r>
    </w:p>
    <w:p>
      <w:pPr>
        <w:spacing w:after="0" w:line="125" w:lineRule="exact"/>
        <w:rPr>
          <w:rFonts w:ascii="Times New Roman" w:cs="Times New Roman" w:eastAsia="Times New Roman" w:hAnsi="Times New Roman"/>
          <w:sz w:val="16"/>
          <w:szCs w:val="16"/>
          <w:color w:val="auto"/>
        </w:rPr>
      </w:pPr>
    </w:p>
    <w:p>
      <w:pPr>
        <w:ind w:left="1500" w:hanging="369"/>
        <w:spacing w:after="0" w:line="285" w:lineRule="auto"/>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announcements by us or our competitors relating to significant acquisitions, strategic partnerships, joint ventures, collaborations, capital commitments, or by or pertaining to our customers, particularly the VA MVP, Moderna and Natera, as our largest customers;</w:t>
      </w:r>
    </w:p>
    <w:p>
      <w:pPr>
        <w:spacing w:after="0" w:line="48"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and amount of our investments in the growth of our business;</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or departures of key management or other personnel;</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inability to obtain additional funding;</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sales of our common stock by us or our stockholders in the future;</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25" w:lineRule="exact"/>
        <w:rPr>
          <w:rFonts w:ascii="Times New Roman" w:cs="Times New Roman" w:eastAsia="Times New Roman" w:hAnsi="Times New Roman"/>
          <w:sz w:val="16"/>
          <w:szCs w:val="16"/>
          <w:color w:val="auto"/>
        </w:rPr>
      </w:pPr>
    </w:p>
    <w:p>
      <w:pPr>
        <w:ind w:left="1500" w:hanging="369"/>
        <w:spacing w:after="0" w:line="285" w:lineRule="auto"/>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health epidemics or pandemics, geopolitical conflicts, inflation, global supply chain issues, regional or national economic slowdowns, recessions, depressions or other economic downturns;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73" w:lineRule="exact"/>
        <w:rPr>
          <w:sz w:val="20"/>
          <w:szCs w:val="20"/>
          <w:color w:val="auto"/>
        </w:rPr>
      </w:pPr>
    </w:p>
    <w:p>
      <w:pPr>
        <w:ind w:left="1500" w:hanging="369"/>
        <w:spacing w:after="0" w:line="285" w:lineRule="auto"/>
        <w:tabs>
          <w:tab w:leader="none" w:pos="15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other general economic, industry, and market conditions, including factors unrelated to our operating performance or the operating performance of our competitors.</w:t>
      </w:r>
    </w:p>
    <w:p>
      <w:pPr>
        <w:spacing w:after="0" w:line="1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most of our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global credit and financial markets have experienced extreme volatility and disruptions (including as a result of tariffs and recession concerns). These disruptions can result in severely diminished liquidity and credit availability, increases in inflation, declines in consumer confidence, declines in economic growth, swings in unemployment rates and uncertainty about economic stability. The financial markets and the global economy may also be adversely affected by the impact of tariffs, other restrictive trade policies, supply chain disruptions, labor shortages, fluctuations in currency exchange rates, changes in interest rates, military conflict, acts of terrorism, government shutdowns or other geopolitical events. Sanctions imposed, and other actions taken, by the United States and other countries in response to geopolitical conflicts, including the one in Ukraine, may also continue to adversely impact the financial markets and the global economy, and any economic countermeasures by the affected countries or others could exacerbate market and economic instability. Deterioration in credit and financial markets and confidence in economic conditions may continue. Our general business strategy may be adversely affected by any such economic downturn, volatile business environment, higher inflation, or continued unpredictable and unstable market conditions. If the current equity and credit markets continue to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33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and the two countries are now at war. In addition, in October 2023, Hamas attacked Israel which provoked a state of war that has most recently involved actions by Iran, Israel and the United States, and there is now a larger regional conflict.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costs, disrupt our supply chain, impair our ability to raise or access additional capital when needed on acceptable terms, if at all, or otherwise adversely affect our business, financial condition, and results of operations.</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0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maintain our cash at financial institutions, often in balances that exceed federally insured limits.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maintain the majority of our cash and cash equivalents in accounts at banking institutions in the U.S that we believe are of high quality. Cash held in these accounts often exceed the FDIC insurance limits. If such banking institutions were to fail, we could lose all or a portion of amounts held in excess of such insurance limitations. As noted above, the FDIC took control of SVB, Signature Bank, Silvergate Capital Corp and First Republic Bank in the first half of 2023.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56"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b w:val="1"/>
          <w:bCs w:val="1"/>
          <w:i w:val="1"/>
          <w:iCs w:val="1"/>
          <w:color w:val="auto"/>
        </w:rPr>
        <w:t>Insiders or holders of greater than five percent of our outstanding common stock may exercise significant control over our company and will be able to influence corporate matters.</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directors, executive officers and their affiliates, and holders of greater than five percent of our outstanding common stock, if they were to act together, would be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 In November 2023, we entered into the Tempus Agreement (see Note 8, Related Party Transactions, in Part 1, Item 1 of this Form 10-Q in our Consolidated Financial Statements for additional information), pursuant to which, Tempus agreed to certain voting commitments that require Tempus to vote the shares it acquired from exercising its warrants for our common stock in accordance with the recommendations of the majority of our board of directors with respect to director nominations for any meeting of our stockholders occurring on or before December 31, 2025, as well as various compensation-related matters. These voting commitments terminate when the parties’ exclusivity obligations expire or terminate under the Tempus Agreement. In addition, in December 2024, we entered into an Investment Agreement with Merck (see Note 8, Related Party Transactions, in Part 1, Item 1 of this Form 10-Q in our Consolidated Financial Statements for additional information), pursuant to which Merck agreed to certain voting commitments that require Merck to vote, subject to specified exceptions, any shares of our common stock that Merck owns in accordance with the recommendations of our board of directors. Such voting commitments generally apply to director nominations for any meeting of our stockholders, amendments to our charter to increase the authorized shares of our common stock, various compensation-related matters, and ratification of our auditors. These voting commitments terminate upon the earlier of the second anniversary of the date of</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investment agreement with Merck and the first time that Merck and its affiliates no longer own at least 50% of our shares owned by Merck immediately following the date of the investment agreement with Merck.</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September 30, 2025, we had 88,745,366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will become eligible for sale in the public market in the future, subject to certain legal and contractual limitations. If our existing stockholders sell substantial amounts of our common stock in the public market, or if the public perceives that such sales could occur, this could have an adverse effect on the market price of our common stock.</w:t>
      </w:r>
    </w:p>
    <w:p>
      <w:pPr>
        <w:spacing w:after="0" w:line="160"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and under our at-the-market facility, could result in additional dilution of the percentage ownership of our stockholders and could cause the stock price of our common stock to decline.</w:t>
      </w:r>
    </w:p>
    <w:p>
      <w:pPr>
        <w:spacing w:after="0" w:line="13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As of December 31, 2024, we had federal and state net operating loss carryforwards of approximately $324.1 million and approximately $302.5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spacing w:after="0" w:line="15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0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31"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directors may only be removed for cause;</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restrict the forum for certain litigation against us to Delaware; and</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20"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29" w:lineRule="exact"/>
        <w:rPr>
          <w:sz w:val="20"/>
          <w:szCs w:val="20"/>
          <w:color w:val="auto"/>
        </w:rPr>
      </w:pPr>
    </w:p>
    <w:p>
      <w:pPr>
        <w:ind w:left="1140" w:hanging="383"/>
        <w:spacing w:after="0"/>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any derivative action or proceeding brought on our behalf;</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breach of fiduciary duty;</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29"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3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6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44"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4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currently are a smaller reporting company, and any decision on our part to avail ourselves of certain reduced reporting and disclosure requirements applicable to smaller reporting companies could make our common stock less attractive to investors.</w:t>
      </w:r>
    </w:p>
    <w:p>
      <w:pPr>
        <w:spacing w:after="0" w:line="10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We currently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3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4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currently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During our last fiscal quarter, certain of our officers (as defined in Rule 16a-1(f) under the Exchange Act) adopted written plans for the sale of our securities as set forth in the table below.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Type of Trading</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Arrangement</w:t>
            </w:r>
          </w:p>
        </w:tc>
        <w:tc>
          <w:tcPr>
            <w:tcW w:w="1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Shares of</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Rule</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Non-Rule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line="145" w:lineRule="exact"/>
              <w:rPr>
                <w:sz w:val="20"/>
                <w:szCs w:val="20"/>
                <w:color w:val="auto"/>
              </w:rPr>
            </w:pPr>
            <w:r>
              <w:rPr>
                <w:rFonts w:ascii="Arial" w:cs="Arial" w:eastAsia="Arial" w:hAnsi="Arial"/>
                <w:sz w:val="14"/>
                <w:szCs w:val="14"/>
                <w:b w:val="1"/>
                <w:bCs w:val="1"/>
                <w:color w:val="auto"/>
              </w:rPr>
              <w:t>Name and Position</w:t>
            </w:r>
          </w:p>
        </w:tc>
        <w:tc>
          <w:tcPr>
            <w:tcW w:w="12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Action</w:t>
            </w:r>
          </w:p>
        </w:tc>
        <w:tc>
          <w:tcPr>
            <w:tcW w:w="1320" w:type="dxa"/>
            <w:vAlign w:val="bottom"/>
            <w:gridSpan w:val="3"/>
          </w:tcPr>
          <w:p>
            <w:pPr>
              <w:ind w:left="120"/>
              <w:spacing w:after="0" w:line="145" w:lineRule="exact"/>
              <w:rPr>
                <w:sz w:val="20"/>
                <w:szCs w:val="20"/>
                <w:color w:val="auto"/>
              </w:rPr>
            </w:pPr>
            <w:r>
              <w:rPr>
                <w:rFonts w:ascii="Arial" w:cs="Arial" w:eastAsia="Arial" w:hAnsi="Arial"/>
                <w:sz w:val="14"/>
                <w:szCs w:val="14"/>
                <w:b w:val="1"/>
                <w:bCs w:val="1"/>
                <w:color w:val="auto"/>
              </w:rPr>
              <w:t>Adoption Date</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Common Stock to</w:t>
            </w:r>
          </w:p>
        </w:tc>
        <w:tc>
          <w:tcPr>
            <w:tcW w:w="12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 Sold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62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Aaron Tachibana, Chief Financial Officer and Chief Operating</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center"/>
              <w:ind w:right="160"/>
              <w:spacing w:after="0" w:line="168" w:lineRule="exact"/>
              <w:rPr>
                <w:sz w:val="20"/>
                <w:szCs w:val="20"/>
                <w:color w:val="auto"/>
              </w:rPr>
            </w:pPr>
            <w:r>
              <w:rPr>
                <w:rFonts w:ascii="Arial" w:cs="Arial" w:eastAsia="Arial" w:hAnsi="Arial"/>
                <w:sz w:val="16"/>
                <w:szCs w:val="16"/>
                <w:color w:val="auto"/>
              </w:rPr>
              <w:t>August 7,</w:t>
            </w: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center"/>
              <w:spacing w:after="0" w:line="168" w:lineRule="exact"/>
              <w:rPr>
                <w:sz w:val="20"/>
                <w:szCs w:val="20"/>
                <w:color w:val="auto"/>
              </w:rPr>
            </w:pPr>
            <w:r>
              <w:rPr>
                <w:rFonts w:ascii="Arial" w:cs="Arial" w:eastAsia="Arial" w:hAnsi="Arial"/>
                <w:sz w:val="16"/>
                <w:szCs w:val="16"/>
                <w:color w:val="auto"/>
                <w:w w:val="99"/>
              </w:rPr>
              <w:t>August 22,</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Officer</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Adoption</w:t>
            </w:r>
          </w:p>
        </w:tc>
        <w:tc>
          <w:tcPr>
            <w:tcW w:w="120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*Contract, instruction or written plan intended to satisfy the affirmative defense conditions of Rule 10b5-1(c) under the Exchange Act.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**Non-Rule 10b5-1 trading arrangement as defined in Item 408(c) of Regulation S-K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total shares to be sold is 269,901 shares less any shares sold after August 4, 2025 but prior to the selling start date under this 10b5-1 trading plan, pursuant to Mr.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Tachibana's current 10b5-1 trading plan dated September 11,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6780" w:type="dxa"/>
            <w:vAlign w:val="bottom"/>
            <w:gridSpan w:val="19"/>
          </w:tcPr>
          <w:p>
            <w:pPr>
              <w:spacing w:after="0"/>
              <w:rPr>
                <w:sz w:val="20"/>
                <w:szCs w:val="20"/>
                <w:color w:val="auto"/>
              </w:rPr>
            </w:pPr>
            <w:r>
              <w:rPr>
                <w:rFonts w:ascii="Arial" w:cs="Arial" w:eastAsia="Arial" w:hAnsi="Arial"/>
                <w:sz w:val="14"/>
                <w:szCs w:val="14"/>
                <w:color w:val="0000FF"/>
              </w:rPr>
              <w:t>Table of Contents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6780" w:type="dxa"/>
            <w:vAlign w:val="bottom"/>
            <w:gridSpan w:val="19"/>
          </w:tcPr>
          <w:p>
            <w:pPr>
              <w:spacing w:after="0"/>
              <w:rPr>
                <w:sz w:val="20"/>
                <w:szCs w:val="20"/>
                <w:color w:val="auto"/>
              </w:rPr>
            </w:pPr>
            <w:r>
              <w:rPr>
                <w:rFonts w:ascii="Arial" w:cs="Arial" w:eastAsia="Arial" w:hAnsi="Arial"/>
                <w:sz w:val="16"/>
                <w:szCs w:val="16"/>
                <w:b w:val="1"/>
                <w:bCs w:val="1"/>
                <w:color w:val="auto"/>
              </w:rPr>
              <w:t>Item 6. Exhibits.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rPr>
              <w:t>Exhibit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Incorporated by Reference</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8"/>
              </w:rPr>
              <w:t>Filing</w:t>
            </w:r>
          </w:p>
        </w:tc>
        <w:tc>
          <w:tcPr>
            <w:tcW w:w="0" w:type="dxa"/>
            <w:vAlign w:val="bottom"/>
          </w:tcPr>
          <w:p>
            <w:pPr>
              <w:spacing w:after="0"/>
              <w:rPr>
                <w:sz w:val="1"/>
                <w:szCs w:val="1"/>
                <w:color w:val="auto"/>
              </w:rPr>
            </w:pPr>
          </w:p>
        </w:tc>
      </w:tr>
      <w:tr>
        <w:trPr>
          <w:trHeight w:val="203"/>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gridSpan w:val="12"/>
          </w:tcPr>
          <w:p>
            <w:pPr>
              <w:ind w:left="12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1"/>
                <w:szCs w:val="21"/>
                <w:color w:val="auto"/>
              </w:rPr>
            </w:pPr>
          </w:p>
        </w:tc>
        <w:tc>
          <w:tcPr>
            <w:tcW w:w="5840" w:type="dxa"/>
            <w:vAlign w:val="bottom"/>
            <w:gridSpan w:val="17"/>
          </w:tcPr>
          <w:p>
            <w:pPr>
              <w:spacing w:after="0"/>
              <w:rPr>
                <w:rFonts w:ascii="Arial" w:cs="Arial" w:eastAsia="Arial" w:hAnsi="Arial"/>
                <w:sz w:val="16"/>
                <w:szCs w:val="16"/>
                <w:color w:val="0000FF"/>
              </w:rPr>
            </w:pPr>
            <w:hyperlink r:id="rId303">
              <w:r>
                <w:rPr>
                  <w:rFonts w:ascii="Arial" w:cs="Arial" w:eastAsia="Arial" w:hAnsi="Arial"/>
                  <w:sz w:val="16"/>
                  <w:szCs w:val="16"/>
                  <w:color w:val="0000FF"/>
                </w:rPr>
                <w:t>Amended and Restated Certificate of Incorporation of the Registrant.</w:t>
              </w:r>
            </w:hyperlink>
          </w:p>
        </w:tc>
        <w:tc>
          <w:tcPr>
            <w:tcW w:w="1020" w:type="dxa"/>
            <w:vAlign w:val="bottom"/>
          </w:tcPr>
          <w:p>
            <w:pPr>
              <w:jc w:val="center"/>
              <w:spacing w:after="0"/>
              <w:rPr>
                <w:sz w:val="20"/>
                <w:szCs w:val="20"/>
                <w:color w:val="auto"/>
              </w:rPr>
            </w:pPr>
            <w:r>
              <w:rPr>
                <w:rFonts w:ascii="Arial" w:cs="Arial" w:eastAsia="Arial" w:hAnsi="Arial"/>
                <w:sz w:val="16"/>
                <w:szCs w:val="16"/>
                <w:color w:val="auto"/>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rPr>
              <w:t>3.1</w:t>
            </w:r>
          </w:p>
        </w:tc>
        <w:tc>
          <w:tcPr>
            <w:tcW w:w="1180" w:type="dxa"/>
            <w:vAlign w:val="bottom"/>
            <w:gridSpan w:val="2"/>
          </w:tcPr>
          <w:p>
            <w:pPr>
              <w:jc w:val="right"/>
              <w:ind w:right="99"/>
              <w:spacing w:after="0"/>
              <w:rPr>
                <w:sz w:val="20"/>
                <w:szCs w:val="20"/>
                <w:color w:val="auto"/>
              </w:rPr>
            </w:pPr>
            <w:r>
              <w:rPr>
                <w:rFonts w:ascii="Arial" w:cs="Arial" w:eastAsia="Arial" w:hAnsi="Arial"/>
                <w:sz w:val="16"/>
                <w:szCs w:val="16"/>
                <w:color w:val="auto"/>
              </w:rPr>
              <w:t>6/24/2019</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6"/>
                <w:szCs w:val="16"/>
                <w:color w:val="auto"/>
              </w:rPr>
              <w:t>3.2</w:t>
            </w: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26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3.1</w:t>
            </w:r>
          </w:p>
        </w:tc>
        <w:tc>
          <w:tcPr>
            <w:tcW w:w="118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10/31/2022</w:t>
            </w: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gridSpan w:val="7"/>
          </w:tcPr>
          <w:p>
            <w:pPr>
              <w:spacing w:after="0" w:line="169" w:lineRule="exact"/>
              <w:rPr>
                <w:rFonts w:ascii="Arial" w:cs="Arial" w:eastAsia="Arial" w:hAnsi="Arial"/>
                <w:sz w:val="16"/>
                <w:szCs w:val="16"/>
                <w:color w:val="0000FF"/>
              </w:rPr>
            </w:pPr>
            <w:hyperlink r:id="rId304">
              <w:r>
                <w:rPr>
                  <w:rFonts w:ascii="Arial" w:cs="Arial" w:eastAsia="Arial" w:hAnsi="Arial"/>
                  <w:sz w:val="16"/>
                  <w:szCs w:val="16"/>
                  <w:color w:val="0000FF"/>
                </w:rPr>
                <w:t>Amended and Restated Bylaws of the Registrant.</w:t>
              </w:r>
            </w:hyperlink>
          </w:p>
        </w:tc>
        <w:tc>
          <w:tcPr>
            <w:tcW w:w="1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6"/>
                <w:szCs w:val="16"/>
                <w:color w:val="auto"/>
              </w:rPr>
              <w:t>10.1*Ω</w:t>
            </w: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20" w:type="dxa"/>
            <w:vAlign w:val="bottom"/>
            <w:gridSpan w:val="11"/>
            <w:vMerge w:val="restart"/>
          </w:tcPr>
          <w:p>
            <w:pPr>
              <w:spacing w:after="0"/>
              <w:rPr>
                <w:sz w:val="20"/>
                <w:szCs w:val="20"/>
                <w:color w:val="auto"/>
              </w:rPr>
            </w:pPr>
            <w:r>
              <w:rPr>
                <w:rFonts w:ascii="Arial" w:cs="Arial" w:eastAsia="Arial" w:hAnsi="Arial"/>
                <w:sz w:val="16"/>
                <w:szCs w:val="16"/>
                <w:color w:val="0000FF"/>
              </w:rPr>
              <w:t>Reference Laboratory</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6"/>
          </w:tcPr>
          <w:p>
            <w:pPr>
              <w:spacing w:after="0" w:line="169" w:lineRule="exact"/>
              <w:rPr>
                <w:sz w:val="20"/>
                <w:szCs w:val="20"/>
                <w:color w:val="auto"/>
              </w:rPr>
            </w:pPr>
            <w:r>
              <w:rPr>
                <w:rFonts w:ascii="Arial" w:cs="Arial" w:eastAsia="Arial" w:hAnsi="Arial"/>
                <w:sz w:val="16"/>
                <w:szCs w:val="16"/>
                <w:color w:val="0000FF"/>
              </w:rPr>
              <w:t>Amendment No. 4 to the Commercialization and</w:t>
            </w:r>
          </w:p>
        </w:tc>
        <w:tc>
          <w:tcPr>
            <w:tcW w:w="2320" w:type="dxa"/>
            <w:vAlign w:val="bottom"/>
            <w:gridSpan w:val="11"/>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40" w:type="dxa"/>
            <w:vAlign w:val="bottom"/>
            <w:gridSpan w:val="17"/>
          </w:tcPr>
          <w:p>
            <w:pPr>
              <w:spacing w:after="0" w:line="169" w:lineRule="exact"/>
              <w:rPr>
                <w:sz w:val="20"/>
                <w:szCs w:val="20"/>
                <w:color w:val="auto"/>
              </w:rPr>
            </w:pPr>
            <w:r>
              <w:rPr>
                <w:rFonts w:ascii="Arial" w:cs="Arial" w:eastAsia="Arial" w:hAnsi="Arial"/>
                <w:sz w:val="16"/>
                <w:szCs w:val="16"/>
                <w:color w:val="0000FF"/>
              </w:rPr>
              <w:t>Agreement, dated July 8, 2025, by and between the Registrant and Tempus AI,</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4"/>
                <w:szCs w:val="14"/>
                <w:color w:val="auto"/>
              </w:rPr>
            </w:pPr>
          </w:p>
        </w:tc>
        <w:tc>
          <w:tcPr>
            <w:tcW w:w="24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85"/>
              </w:rPr>
              <w:t>Inc.</w:t>
            </w:r>
          </w:p>
        </w:tc>
        <w:tc>
          <w:tcPr>
            <w:tcW w:w="20" w:type="dxa"/>
            <w:vAlign w:val="bottom"/>
            <w:tcBorders>
              <w:top w:val="single" w:sz="8" w:color="0000FF"/>
              <w:bottom w:val="single" w:sz="8" w:color="0000EE"/>
            </w:tcBorders>
          </w:tcPr>
          <w:p>
            <w:pPr>
              <w:spacing w:after="0"/>
              <w:rPr>
                <w:sz w:val="14"/>
                <w:szCs w:val="14"/>
                <w:color w:val="auto"/>
              </w:rPr>
            </w:pPr>
          </w:p>
        </w:tc>
        <w:tc>
          <w:tcPr>
            <w:tcW w:w="54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40" w:type="dxa"/>
            <w:vAlign w:val="bottom"/>
            <w:gridSpan w:val="17"/>
          </w:tcPr>
          <w:p>
            <w:pPr>
              <w:spacing w:after="0" w:line="169" w:lineRule="exact"/>
              <w:rPr>
                <w:sz w:val="20"/>
                <w:szCs w:val="20"/>
                <w:color w:val="auto"/>
              </w:rPr>
            </w:pPr>
            <w:r>
              <w:rPr>
                <w:rFonts w:ascii="Arial" w:cs="Arial" w:eastAsia="Arial" w:hAnsi="Arial"/>
                <w:sz w:val="16"/>
                <w:szCs w:val="16"/>
                <w:color w:val="0000FF"/>
              </w:rPr>
              <w:t>Amendment No. 5 to the Commercialization and Reference Laboratory</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8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Agreement, dated September 11, 2025, by and between the Registrant</w:t>
            </w:r>
          </w:p>
        </w:tc>
        <w:tc>
          <w:tcPr>
            <w:tcW w:w="760" w:type="dxa"/>
            <w:vAlign w:val="bottom"/>
            <w:gridSpan w:val="9"/>
          </w:tcPr>
          <w:p>
            <w:pPr>
              <w:ind w:left="20"/>
              <w:spacing w:after="0" w:line="169" w:lineRule="exact"/>
              <w:rPr>
                <w:sz w:val="20"/>
                <w:szCs w:val="20"/>
                <w:color w:val="auto"/>
              </w:rPr>
            </w:pPr>
            <w:r>
              <w:rPr>
                <w:rFonts w:ascii="Arial" w:cs="Arial" w:eastAsia="Arial" w:hAnsi="Arial"/>
                <w:sz w:val="16"/>
                <w:szCs w:val="16"/>
                <w:color w:val="0000FF"/>
              </w:rPr>
              <w:t>and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4"/>
                <w:szCs w:val="14"/>
                <w:color w:val="auto"/>
              </w:rPr>
            </w:pPr>
          </w:p>
        </w:tc>
        <w:tc>
          <w:tcPr>
            <w:tcW w:w="542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Tempus AI, Inc.</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4720" w:type="dxa"/>
            <w:vAlign w:val="bottom"/>
            <w:gridSpan w:val="13"/>
            <w:vMerge w:val="restart"/>
          </w:tcPr>
          <w:p>
            <w:pPr>
              <w:spacing w:after="0"/>
              <w:rPr>
                <w:sz w:val="20"/>
                <w:szCs w:val="20"/>
                <w:color w:val="auto"/>
              </w:rPr>
            </w:pPr>
            <w:r>
              <w:rPr>
                <w:rFonts w:ascii="Arial" w:cs="Arial" w:eastAsia="Arial" w:hAnsi="Arial"/>
                <w:sz w:val="16"/>
                <w:szCs w:val="16"/>
                <w:color w:val="0000FF"/>
              </w:rPr>
              <w:t>Principal Executive Officer Pursuant to Rules 13a-14(a) and 15d-</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spacing w:after="0" w:line="169" w:lineRule="exact"/>
              <w:rPr>
                <w:sz w:val="20"/>
                <w:szCs w:val="20"/>
                <w:color w:val="auto"/>
              </w:rPr>
            </w:pPr>
            <w:r>
              <w:rPr>
                <w:rFonts w:ascii="Arial" w:cs="Arial" w:eastAsia="Arial" w:hAnsi="Arial"/>
                <w:sz w:val="16"/>
                <w:szCs w:val="16"/>
                <w:color w:val="0000FF"/>
              </w:rPr>
              <w:t>Certification of</w:t>
            </w:r>
          </w:p>
        </w:tc>
        <w:tc>
          <w:tcPr>
            <w:tcW w:w="4720" w:type="dxa"/>
            <w:vAlign w:val="bottom"/>
            <w:gridSpan w:val="13"/>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15"/>
          </w:tcPr>
          <w:p>
            <w:pPr>
              <w:spacing w:after="0" w:line="169" w:lineRule="exact"/>
              <w:rPr>
                <w:sz w:val="20"/>
                <w:szCs w:val="20"/>
                <w:color w:val="auto"/>
              </w:rPr>
            </w:pPr>
            <w:r>
              <w:rPr>
                <w:rFonts w:ascii="Arial" w:cs="Arial" w:eastAsia="Arial" w:hAnsi="Arial"/>
                <w:sz w:val="16"/>
                <w:szCs w:val="16"/>
                <w:color w:val="0000FF"/>
              </w:rPr>
              <w:t>14(a) under the Securities Exchange Act of 1934, as Adopted Pursuant to</w:t>
            </w:r>
          </w:p>
        </w:tc>
        <w:tc>
          <w:tcPr>
            <w:tcW w:w="12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w w:val="99"/>
              </w:rPr>
              <w:t>Section 302 of the Sarbanes-Oxley Act of 2002.</w:t>
            </w:r>
          </w:p>
        </w:tc>
        <w:tc>
          <w:tcPr>
            <w:tcW w:w="1900" w:type="dxa"/>
            <w:vAlign w:val="bottom"/>
            <w:tcBorders>
              <w:top w:val="single" w:sz="8" w:color="0000FF"/>
            </w:tcBorders>
            <w:gridSpan w:val="5"/>
          </w:tcPr>
          <w:p>
            <w:pPr>
              <w:spacing w:after="0"/>
              <w:rPr>
                <w:sz w:val="14"/>
                <w:szCs w:val="14"/>
                <w:color w:val="auto"/>
              </w:rPr>
            </w:pPr>
          </w:p>
        </w:tc>
        <w:tc>
          <w:tcPr>
            <w:tcW w:w="3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40" w:type="dxa"/>
            <w:vAlign w:val="bottom"/>
            <w:gridSpan w:val="17"/>
          </w:tcPr>
          <w:p>
            <w:pPr>
              <w:spacing w:after="0" w:line="169" w:lineRule="exact"/>
              <w:rPr>
                <w:sz w:val="20"/>
                <w:szCs w:val="20"/>
                <w:color w:val="auto"/>
              </w:rPr>
            </w:pPr>
            <w:r>
              <w:rPr>
                <w:rFonts w:ascii="Arial" w:cs="Arial" w:eastAsia="Arial" w:hAnsi="Arial"/>
                <w:sz w:val="16"/>
                <w:szCs w:val="16"/>
                <w:color w:val="0000FF"/>
              </w:rPr>
              <w:t>Certification of Principal Financial Officer Pursuant to Rules 13a-14(a) and 15d-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140" w:type="dxa"/>
            <w:vAlign w:val="bottom"/>
            <w:gridSpan w:val="9"/>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60" w:type="dxa"/>
            <w:vAlign w:val="bottom"/>
            <w:gridSpan w:val="13"/>
          </w:tcPr>
          <w:p>
            <w:pPr>
              <w:spacing w:after="0" w:line="169" w:lineRule="exact"/>
              <w:rPr>
                <w:sz w:val="20"/>
                <w:szCs w:val="20"/>
                <w:color w:val="auto"/>
              </w:rPr>
            </w:pPr>
            <w:r>
              <w:rPr>
                <w:rFonts w:ascii="Arial" w:cs="Arial" w:eastAsia="Arial" w:hAnsi="Arial"/>
                <w:sz w:val="16"/>
                <w:szCs w:val="16"/>
                <w:color w:val="0000FF"/>
              </w:rPr>
              <w:t>14(a) under the Securities Exchange Act of 1934, as Adopted Pursuant to</w:t>
            </w:r>
          </w:p>
        </w:tc>
        <w:tc>
          <w:tcPr>
            <w:tcW w:w="180" w:type="dxa"/>
            <w:vAlign w:val="bottom"/>
            <w:gridSpan w:val="4"/>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w w:val="99"/>
              </w:rPr>
              <w:t>Section 302 of the Sarbanes-Oxley Act of 2002.</w:t>
            </w:r>
          </w:p>
        </w:tc>
        <w:tc>
          <w:tcPr>
            <w:tcW w:w="1900" w:type="dxa"/>
            <w:vAlign w:val="bottom"/>
            <w:tcBorders>
              <w:top w:val="single" w:sz="8" w:color="0000FF"/>
            </w:tcBorders>
            <w:gridSpan w:val="5"/>
          </w:tcPr>
          <w:p>
            <w:pPr>
              <w:spacing w:after="0"/>
              <w:rPr>
                <w:sz w:val="14"/>
                <w:szCs w:val="14"/>
                <w:color w:val="auto"/>
              </w:rPr>
            </w:pPr>
          </w:p>
        </w:tc>
        <w:tc>
          <w:tcPr>
            <w:tcW w:w="3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40" w:type="dxa"/>
            <w:vAlign w:val="bottom"/>
            <w:gridSpan w:val="17"/>
          </w:tcPr>
          <w:p>
            <w:pPr>
              <w:spacing w:after="0" w:line="169" w:lineRule="exact"/>
              <w:rPr>
                <w:sz w:val="20"/>
                <w:szCs w:val="20"/>
                <w:color w:val="auto"/>
              </w:rPr>
            </w:pPr>
            <w:r>
              <w:rPr>
                <w:rFonts w:ascii="Arial" w:cs="Arial" w:eastAsia="Arial" w:hAnsi="Arial"/>
                <w:sz w:val="16"/>
                <w:szCs w:val="16"/>
                <w:color w:val="0000FF"/>
              </w:rPr>
              <w:t>Certification of Principal Executive Officer Pursuant to 18 U.S.C. Section 1350,</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520" w:type="dxa"/>
            <w:vAlign w:val="bottom"/>
            <w:tcBorders>
              <w:top w:val="single" w:sz="8" w:color="0000FF"/>
            </w:tcBorders>
            <w:gridSpan w:val="4"/>
          </w:tcPr>
          <w:p>
            <w:pPr>
              <w:spacing w:after="0"/>
              <w:rPr>
                <w:sz w:val="14"/>
                <w:szCs w:val="14"/>
                <w:color w:val="auto"/>
              </w:rPr>
            </w:pPr>
          </w:p>
        </w:tc>
        <w:tc>
          <w:tcPr>
            <w:tcW w:w="180" w:type="dxa"/>
            <w:vAlign w:val="bottom"/>
            <w:gridSpan w:val="4"/>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9"/>
          </w:tcPr>
          <w:p>
            <w:pPr>
              <w:spacing w:after="0" w:line="169" w:lineRule="exact"/>
              <w:rPr>
                <w:sz w:val="20"/>
                <w:szCs w:val="20"/>
                <w:color w:val="auto"/>
              </w:rPr>
            </w:pPr>
            <w:r>
              <w:rPr>
                <w:rFonts w:ascii="Arial" w:cs="Arial" w:eastAsia="Arial" w:hAnsi="Arial"/>
                <w:sz w:val="16"/>
                <w:szCs w:val="16"/>
                <w:color w:val="0000FF"/>
              </w:rPr>
              <w:t>Certification of Principal Financial Officer Pursuant to 18 U.S.C. Section</w:t>
            </w:r>
          </w:p>
        </w:tc>
        <w:tc>
          <w:tcPr>
            <w:tcW w:w="460" w:type="dxa"/>
            <w:vAlign w:val="bottom"/>
            <w:gridSpan w:val="3"/>
          </w:tcPr>
          <w:p>
            <w:pPr>
              <w:jc w:val="right"/>
              <w:ind w:right="60"/>
              <w:spacing w:after="0" w:line="169" w:lineRule="exact"/>
              <w:rPr>
                <w:sz w:val="20"/>
                <w:szCs w:val="20"/>
                <w:color w:val="auto"/>
              </w:rPr>
            </w:pPr>
            <w:r>
              <w:rPr>
                <w:rFonts w:ascii="Arial" w:cs="Arial" w:eastAsia="Arial" w:hAnsi="Arial"/>
                <w:sz w:val="16"/>
                <w:szCs w:val="16"/>
                <w:color w:val="0000FF"/>
                <w:w w:val="94"/>
              </w:rPr>
              <w:t>1350,</w:t>
            </w:r>
          </w:p>
        </w:tc>
        <w:tc>
          <w:tcPr>
            <w:tcW w:w="240" w:type="dxa"/>
            <w:vAlign w:val="bottom"/>
            <w:gridSpan w:val="5"/>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460" w:type="dxa"/>
            <w:vAlign w:val="bottom"/>
            <w:tcBorders>
              <w:top w:val="single" w:sz="8" w:color="0000FF"/>
            </w:tcBorders>
            <w:gridSpan w:val="3"/>
          </w:tcPr>
          <w:p>
            <w:pPr>
              <w:spacing w:after="0"/>
              <w:rPr>
                <w:sz w:val="14"/>
                <w:szCs w:val="14"/>
                <w:color w:val="auto"/>
              </w:rPr>
            </w:pPr>
          </w:p>
        </w:tc>
        <w:tc>
          <w:tcPr>
            <w:tcW w:w="240" w:type="dxa"/>
            <w:vAlign w:val="bottom"/>
            <w:gridSpan w:val="5"/>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40" w:type="dxa"/>
            <w:vAlign w:val="bottom"/>
            <w:gridSpan w:val="9"/>
          </w:tcPr>
          <w:p>
            <w:pPr>
              <w:spacing w:after="0" w:line="182" w:lineRule="exact"/>
              <w:rPr>
                <w:sz w:val="20"/>
                <w:szCs w:val="20"/>
                <w:color w:val="auto"/>
              </w:rPr>
            </w:pPr>
            <w:r>
              <w:rPr>
                <w:rFonts w:ascii="Arial" w:cs="Arial" w:eastAsia="Arial" w:hAnsi="Arial"/>
                <w:sz w:val="16"/>
                <w:szCs w:val="16"/>
                <w:color w:val="auto"/>
              </w:rPr>
              <w:t>Inline XBRL Document Set for the consolidated financial statements and</w:t>
            </w:r>
          </w:p>
        </w:tc>
        <w:tc>
          <w:tcPr>
            <w:tcW w:w="700" w:type="dxa"/>
            <w:vAlign w:val="bottom"/>
            <w:gridSpan w:val="8"/>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40" w:type="dxa"/>
            <w:vAlign w:val="bottom"/>
            <w:gridSpan w:val="17"/>
          </w:tcPr>
          <w:p>
            <w:pPr>
              <w:spacing w:after="0"/>
              <w:rPr>
                <w:sz w:val="20"/>
                <w:szCs w:val="20"/>
                <w:color w:val="auto"/>
              </w:rPr>
            </w:pPr>
            <w:r>
              <w:rPr>
                <w:rFonts w:ascii="Arial" w:cs="Arial" w:eastAsia="Arial" w:hAnsi="Arial"/>
                <w:sz w:val="16"/>
                <w:szCs w:val="16"/>
                <w:color w:val="auto"/>
              </w:rPr>
              <w:t>accompanying notes in Part I, Item 1, “Financial Statements” of this Quarterly</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40" w:type="dxa"/>
            <w:vAlign w:val="bottom"/>
            <w:gridSpan w:val="17"/>
          </w:tcPr>
          <w:p>
            <w:pPr>
              <w:spacing w:after="0"/>
              <w:rPr>
                <w:sz w:val="20"/>
                <w:szCs w:val="20"/>
                <w:color w:val="auto"/>
              </w:rPr>
            </w:pPr>
            <w:r>
              <w:rPr>
                <w:rFonts w:ascii="Arial" w:cs="Arial" w:eastAsia="Arial" w:hAnsi="Arial"/>
                <w:sz w:val="16"/>
                <w:szCs w:val="16"/>
                <w:color w:val="auto"/>
              </w:rPr>
              <w:t>Report on Form 10-Q.</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6"/>
                <w:szCs w:val="16"/>
                <w:color w:val="auto"/>
              </w:rPr>
            </w:pPr>
          </w:p>
        </w:tc>
        <w:tc>
          <w:tcPr>
            <w:tcW w:w="5840" w:type="dxa"/>
            <w:vAlign w:val="bottom"/>
            <w:gridSpan w:val="17"/>
          </w:tcPr>
          <w:p>
            <w:pPr>
              <w:spacing w:after="0"/>
              <w:rPr>
                <w:sz w:val="20"/>
                <w:szCs w:val="20"/>
                <w:color w:val="auto"/>
              </w:rPr>
            </w:pPr>
            <w:r>
              <w:rPr>
                <w:rFonts w:ascii="Arial" w:cs="Arial" w:eastAsia="Arial" w:hAnsi="Arial"/>
                <w:sz w:val="16"/>
                <w:szCs w:val="16"/>
                <w:color w:val="auto"/>
              </w:rPr>
              <w:t>Inline XBRL for the cover page of this Quarterly Report on Form 10-Q, included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40" w:type="dxa"/>
            <w:vAlign w:val="bottom"/>
            <w:gridSpan w:val="17"/>
          </w:tcPr>
          <w:p>
            <w:pPr>
              <w:spacing w:after="0"/>
              <w:rPr>
                <w:sz w:val="20"/>
                <w:szCs w:val="20"/>
                <w:color w:val="auto"/>
              </w:rPr>
            </w:pPr>
            <w:r>
              <w:rPr>
                <w:rFonts w:ascii="Arial" w:cs="Arial" w:eastAsia="Arial" w:hAnsi="Arial"/>
                <w:sz w:val="16"/>
                <w:szCs w:val="16"/>
                <w:color w:val="auto"/>
              </w:rPr>
              <w:t>in the Exhibit 101 Inline XBRL Document Set.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9512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4"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auto"/>
        </w:rPr>
        <w:t>*</w:t>
        <w:tab/>
        <w:t>Filed herewith.</w:t>
      </w:r>
    </w:p>
    <w:p>
      <w:pPr>
        <w:spacing w:after="0" w:line="42" w:lineRule="exact"/>
        <w:rPr>
          <w:sz w:val="20"/>
          <w:szCs w:val="20"/>
          <w:color w:val="auto"/>
        </w:rPr>
      </w:pPr>
    </w:p>
    <w:p>
      <w:pPr>
        <w:jc w:val="both"/>
        <w:ind w:firstLine="8"/>
        <w:spacing w:after="0" w:line="261" w:lineRule="auto"/>
        <w:tabs>
          <w:tab w:leader="none" w:pos="1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 w:lineRule="exact"/>
        <w:rPr>
          <w:sz w:val="20"/>
          <w:szCs w:val="20"/>
          <w:color w:val="auto"/>
        </w:rPr>
      </w:pPr>
    </w:p>
    <w:p>
      <w:pPr>
        <w:ind w:firstLine="8"/>
        <w:spacing w:after="0" w:line="285" w:lineRule="auto"/>
        <w:tabs>
          <w:tab w:leader="none" w:pos="152" w:val="left"/>
        </w:tabs>
        <w:numPr>
          <w:ilvl w:val="0"/>
          <w:numId w:val="34"/>
        </w:numPr>
        <w:rPr>
          <w:rFonts w:ascii="Arial" w:cs="Arial" w:eastAsia="Arial" w:hAnsi="Arial"/>
          <w:sz w:val="14"/>
          <w:szCs w:val="14"/>
          <w:color w:val="auto"/>
        </w:rPr>
      </w:pPr>
      <w:r>
        <w:rPr>
          <w:rFonts w:ascii="Arial" w:cs="Arial" w:eastAsia="Arial" w:hAnsi="Arial"/>
          <w:sz w:val="14"/>
          <w:szCs w:val="14"/>
          <w:color w:val="auto"/>
        </w:rPr>
        <w:t>Pursuant to Item 601(b)(10)(iv) of Regulation S-K promulgated by the SEC, certain portions of this exhibit have been redacted because the Company customarily and actually treats such omitted information as private or confidential and because such omitted information is not material.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auto"/>
        </w:rPr>
        <w:t>Date: November 4, 2025</w:t>
      </w:r>
      <w:r>
        <w:rPr>
          <w:sz w:val="20"/>
          <w:szCs w:val="20"/>
          <w:color w:val="auto"/>
        </w:rPr>
        <w:tab/>
      </w:r>
      <w:r>
        <w:rPr>
          <w:rFonts w:ascii="Arial" w:cs="Arial" w:eastAsia="Arial" w:hAnsi="Arial"/>
          <w:sz w:val="16"/>
          <w:szCs w:val="16"/>
          <w:color w:val="auto"/>
        </w:rPr>
        <w:t>Personalis, Inc.</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2746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Aaron Tachibana</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and Chief Operating Officer</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1" w:name="page82"/>
    <w:bookmarkEnd w:id="81"/>
    <w:p>
      <w:pPr>
        <w:ind w:left="102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41"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20"/>
          <w:szCs w:val="20"/>
          <w:b w:val="1"/>
          <w:bCs w:val="1"/>
          <w:color w:val="auto"/>
        </w:rPr>
        <w:t>In accordance with Item 601(b)(10)(iv) of Regulation S-K, information indicated with “[***]” has been redacted because it is both not material and is the type that the registrant treats as private or confidential.</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4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Commercialization and Reference Laboratory Agreement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the date of the last signature below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between Personalis, Inc. (“</w:t>
      </w:r>
      <w:r>
        <w:rPr>
          <w:rFonts w:ascii="Times New Roman" w:cs="Times New Roman" w:eastAsia="Times New Roman" w:hAnsi="Times New Roman"/>
          <w:sz w:val="18"/>
          <w:szCs w:val="18"/>
          <w:u w:val="single" w:color="auto"/>
          <w:color w:val="auto"/>
        </w:rPr>
        <w:t>Personalis</w:t>
      </w:r>
      <w:r>
        <w:rPr>
          <w:rFonts w:ascii="Times New Roman" w:cs="Times New Roman" w:eastAsia="Times New Roman" w:hAnsi="Times New Roman"/>
          <w:sz w:val="18"/>
          <w:szCs w:val="18"/>
          <w:color w:val="auto"/>
        </w:rPr>
        <w:t>”) and Tempus AI, Inc. (“</w:t>
      </w:r>
      <w:r>
        <w:rPr>
          <w:rFonts w:ascii="Times New Roman" w:cs="Times New Roman" w:eastAsia="Times New Roman" w:hAnsi="Times New Roman"/>
          <w:sz w:val="18"/>
          <w:szCs w:val="18"/>
          <w:u w:val="single" w:color="auto"/>
          <w:color w:val="auto"/>
        </w:rPr>
        <w:t>Tempus</w:t>
      </w:r>
      <w:r>
        <w:rPr>
          <w:rFonts w:ascii="Times New Roman" w:cs="Times New Roman" w:eastAsia="Times New Roman" w:hAnsi="Times New Roman"/>
          <w:sz w:val="18"/>
          <w:szCs w:val="18"/>
          <w:color w:val="auto"/>
        </w:rPr>
        <w:t>”) and amends that certain Commercialization and Reference Laboratory Agreement with the effective date of November 25, 2023 (as previously amended,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Tempus and Personalis are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WHEREAS, the Parties wish to modify the terms of the Agreement to expand the scope of the collaboration to include colorectal cancer (“</w:t>
      </w:r>
      <w:r>
        <w:rPr>
          <w:rFonts w:ascii="Times New Roman" w:cs="Times New Roman" w:eastAsia="Times New Roman" w:hAnsi="Times New Roman"/>
          <w:sz w:val="18"/>
          <w:szCs w:val="18"/>
          <w:u w:val="single" w:color="auto"/>
          <w:color w:val="auto"/>
        </w:rPr>
        <w:t>CRC</w:t>
      </w:r>
      <w:r>
        <w:rPr>
          <w:rFonts w:ascii="Times New Roman" w:cs="Times New Roman" w:eastAsia="Times New Roman" w:hAnsi="Times New Roman"/>
          <w:sz w:val="18"/>
          <w:szCs w:val="18"/>
          <w:color w:val="auto"/>
        </w:rPr>
        <w:t>”) as a covered indication.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herein, the Parties, intending to be legally bound, hereby agree as follows:</w:t>
      </w:r>
    </w:p>
    <w:p>
      <w:pPr>
        <w:spacing w:after="0" w:line="225"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Indication Expansion</w:t>
      </w:r>
      <w:r>
        <w:rPr>
          <w:rFonts w:ascii="Times New Roman" w:cs="Times New Roman" w:eastAsia="Times New Roman" w:hAnsi="Times New Roman"/>
          <w:sz w:val="18"/>
          <w:szCs w:val="18"/>
          <w:color w:val="auto"/>
        </w:rPr>
        <w:t>. CRC shall be deemed an “Indication” under the Agreement.</w:t>
      </w:r>
    </w:p>
    <w:p>
      <w:pPr>
        <w:spacing w:after="0" w:line="27" w:lineRule="exact"/>
        <w:rPr>
          <w:rFonts w:ascii="Times New Roman" w:cs="Times New Roman" w:eastAsia="Times New Roman" w:hAnsi="Times New Roman"/>
          <w:sz w:val="18"/>
          <w:szCs w:val="18"/>
          <w:color w:val="auto"/>
        </w:rPr>
      </w:pPr>
    </w:p>
    <w:p>
      <w:pPr>
        <w:jc w:val="both"/>
        <w:ind w:left="760" w:hanging="378"/>
        <w:spacing w:after="0" w:line="251"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CRC Validation Activities</w:t>
      </w:r>
      <w:r>
        <w:rPr>
          <w:rFonts w:ascii="Times New Roman" w:cs="Times New Roman" w:eastAsia="Times New Roman" w:hAnsi="Times New Roman"/>
          <w:sz w:val="18"/>
          <w:szCs w:val="18"/>
          <w:color w:val="auto"/>
        </w:rPr>
        <w:t>. With the mutual consent of the Parties, which may occur after the Amendment Date, Tempus will make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 CRC samples and associated deidentified clinical data (“</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to facilitate Personalis’ clinical validation activities for use of the Personalis Assay in CRC monitoring. Subject to Section 2(a) of the Agreement, Personalis will pay Tempus [***] to obtain the Materials provided to Personalis hereunder. Tempus represents and warrants that collection of any Materials provided to Personalis hereunder shall be in compliance with applicable law, and that Tempus has obtained or will obtain all necessary approvals, consents and/or authorizations required by applicable law for the transfer of such Materials to, and their use by, Personalis as contemplated herein. Personalis may use Materials (including CRC tumor blocks, slides, and extracted material from the CRC samples provided by Tempus) solely for the validation testing and for publications and/or presentations of evidence demonstrating clinical validity of the Personalis Assay for use in CRC monitoring, and not for any other purpose including diagnostic, prognostic, or treatment purposes. Personalis will not transfer the Materials (including any residual CRC tumor block samples, slides, and extracted material as a result of preparing the specimen for testing) to a third-party (for clarity, Personalis may send to [***] the pathology reports and/or information extracted therefrom (e.g., diagnosis, subtype, primary or metastatic origin), if any, relating to the CRC tumor samples, along with H&amp;E stained slides, to measure tumor content for purposes of sample QC). Subject to the foregoing, Materials constitute Tempus’ Confidential Information and Background Intellectual Property. The Parties agree to meet in good faith through the JSC to discuss additional uses of the Materials as may be requested by Personalis from time to time.</w:t>
      </w:r>
    </w:p>
    <w:p>
      <w:pPr>
        <w:spacing w:after="0" w:line="189"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w:t>
      </w:r>
      <w:r>
        <w:rPr>
          <w:rFonts w:ascii="Times New Roman" w:cs="Times New Roman" w:eastAsia="Times New Roman" w:hAnsi="Times New Roman"/>
          <w:sz w:val="18"/>
          <w:szCs w:val="18"/>
          <w:color w:val="auto"/>
        </w:rPr>
        <w:t>. Personalis will use commercially reasonable efforts to seek and obtain CMS or MolDx approval for reimbursement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Personalis Assay with respect to CRC and to obtain the necessary New York State approval(s) for use of the Personalis Assay in the CRC Indication to perform a Test on Specimens originating from New York State.</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Validation Timeline</w:t>
      </w:r>
      <w:r>
        <w:rPr>
          <w:rFonts w:ascii="Times New Roman" w:cs="Times New Roman" w:eastAsia="Times New Roman" w:hAnsi="Times New Roman"/>
          <w:sz w:val="18"/>
          <w:szCs w:val="18"/>
          <w:color w:val="auto"/>
        </w:rPr>
        <w:t>. Personalis published or presented evidence demonstrating the clinical validity of the Personalis Assay for use in CRC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on or before the final day of the American Association for Cancer Research (“</w:t>
      </w:r>
      <w:r>
        <w:rPr>
          <w:rFonts w:ascii="Times New Roman" w:cs="Times New Roman" w:eastAsia="Times New Roman" w:hAnsi="Times New Roman"/>
          <w:sz w:val="18"/>
          <w:szCs w:val="18"/>
          <w:u w:val="single" w:color="auto"/>
          <w:color w:val="auto"/>
        </w:rPr>
        <w:t>AACR</w:t>
      </w:r>
      <w:r>
        <w:rPr>
          <w:rFonts w:ascii="Times New Roman" w:cs="Times New Roman" w:eastAsia="Times New Roman" w:hAnsi="Times New Roman"/>
          <w:sz w:val="18"/>
          <w:szCs w:val="18"/>
          <w:color w:val="auto"/>
        </w:rPr>
        <w:t>”) April 2025 meeting, such that the Personalis Assay for use in the CRC Indication will be available for commercial distribution by Tempus as of the Amendment Date</w:t>
      </w:r>
      <w:r>
        <w:rPr>
          <w:rFonts w:ascii="Times New Roman" w:cs="Times New Roman" w:eastAsia="Times New Roman" w:hAnsi="Times New Roman"/>
          <w:sz w:val="18"/>
          <w:szCs w:val="18"/>
          <w:i w:val="1"/>
          <w:iCs w:val="1"/>
          <w:color w:val="auto"/>
        </w:rPr>
        <w:t>.</w:t>
      </w:r>
    </w:p>
    <w:p>
      <w:pPr>
        <w:spacing w:after="0" w:line="39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The provisions of Exhibit A, Section 3(a) are deleted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2" w:name="page83"/>
    <w:bookmarkEnd w:id="82"/>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Except as otherwise set forth herein, in exchange for the Market Development Fee and other consideration set forth in the Agreement (as amended), and subject to Tempus’ compliance with the terms hereof, beginning on the Effective Date and ending December 31, 2028 (for each Indication, the “</w:t>
      </w:r>
      <w:r>
        <w:rPr>
          <w:rFonts w:ascii="Times New Roman" w:cs="Times New Roman" w:eastAsia="Times New Roman" w:hAnsi="Times New Roman"/>
          <w:sz w:val="18"/>
          <w:szCs w:val="18"/>
          <w:u w:val="single" w:color="auto"/>
          <w:color w:val="auto"/>
        </w:rPr>
        <w:t>Tempus Exclusivity Period</w:t>
      </w:r>
      <w:r>
        <w:rPr>
          <w:rFonts w:ascii="Times New Roman" w:cs="Times New Roman" w:eastAsia="Times New Roman" w:hAnsi="Times New Roman"/>
          <w:sz w:val="18"/>
          <w:szCs w:val="18"/>
          <w:color w:val="auto"/>
        </w:rPr>
        <w:t>”), Personalis will not allow any third party (other than an acquiror of Personalis in accordance with Section 9.g, or such acquiror’s Affiliates) to market the Personalis Assay for use in such Indication. Except as otherwise permitted under the Agreement, and subject to Personalis’ compliance with the terms hereof and the provisions of Exhibit B, starting on Effective Date and ending upon expiration of the Tempus Exclusivity Period for an Indication, Tempus will not market or sell another tumor-informed MRD assay indicated for use in such Indication (whether its own or that of a third party).</w:t>
      </w:r>
    </w:p>
    <w:p>
      <w:pPr>
        <w:spacing w:after="0" w:line="189" w:lineRule="exact"/>
        <w:rPr>
          <w:sz w:val="20"/>
          <w:szCs w:val="20"/>
          <w:color w:val="auto"/>
        </w:rPr>
      </w:pPr>
    </w:p>
    <w:p>
      <w:pPr>
        <w:ind w:left="38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Tempus Services</w:t>
      </w:r>
      <w:r>
        <w:rPr>
          <w:rFonts w:ascii="Times New Roman" w:cs="Times New Roman" w:eastAsia="Times New Roman" w:hAnsi="Times New Roman"/>
          <w:sz w:val="18"/>
          <w:szCs w:val="18"/>
          <w:color w:val="auto"/>
        </w:rPr>
        <w:t>. Immediately upon expiration of the time period covered by the quarterly payments to Tempus under Exhibit C, Section 6, the compensation set forth in Exhibit B, Section 4 shall be adjusted as follows:</w:t>
      </w:r>
    </w:p>
    <w:p>
      <w:pPr>
        <w:spacing w:after="0" w:line="157" w:lineRule="exact"/>
        <w:rPr>
          <w:sz w:val="20"/>
          <w:szCs w:val="20"/>
          <w:color w:val="auto"/>
        </w:rPr>
      </w:pPr>
    </w:p>
    <w:tbl>
      <w:tblPr>
        <w:tblLayout w:type="fixed"/>
        <w:tblInd w:w="267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04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193"/>
        </w:trPr>
        <w:tc>
          <w:tcPr>
            <w:tcW w:w="2900" w:type="dxa"/>
            <w:vAlign w:val="bottom"/>
            <w:tcBorders>
              <w:left w:val="single" w:sz="8" w:color="auto"/>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Order Requisition Services</w:t>
            </w:r>
          </w:p>
        </w:tc>
        <w:tc>
          <w:tcPr>
            <w:tcW w:w="3040" w:type="dxa"/>
            <w:vAlign w:val="bottom"/>
            <w:tcBorders>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 / completed requisition</w:t>
            </w:r>
          </w:p>
        </w:tc>
      </w:tr>
      <w:tr>
        <w:trPr>
          <w:trHeight w:val="210"/>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Results Delivery Services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 result delivery</w:t>
            </w:r>
          </w:p>
        </w:tc>
      </w:tr>
    </w:tbl>
    <w:p>
      <w:pPr>
        <w:spacing w:after="0" w:line="198"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Initial Term of the Agreement is extended to expire six (6) years after the Effective Date, with an expiration date of November 25, 2029.</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Residual Material</w:t>
      </w:r>
      <w:r>
        <w:rPr>
          <w:rFonts w:ascii="Times New Roman" w:cs="Times New Roman" w:eastAsia="Times New Roman" w:hAnsi="Times New Roman"/>
          <w:sz w:val="18"/>
          <w:szCs w:val="18"/>
          <w:color w:val="auto"/>
        </w:rPr>
        <w:t>. The provisions of Exhibit B, Section 1(f) are deleted and replaced with the following:</w:t>
      </w:r>
    </w:p>
    <w:p>
      <w:pPr>
        <w:spacing w:after="0" w:line="225"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In accordance with applicable law (including New York state requirements), when an ordering provider makes a specific request of Tempus, or when an existing contractual requirement between Tempus and an ordering institution so requires, Personalis will, after completion of the Test and any required holding period, return or destroy any unused or remaining tumor block Specimen (excluding slides and also excluding any extracted material as a result of preparing the Specimen for or running the Test) (such unused or remaining tumor block Specimen is referred to as “</w:t>
      </w:r>
      <w:r>
        <w:rPr>
          <w:rFonts w:ascii="Times New Roman" w:cs="Times New Roman" w:eastAsia="Times New Roman" w:hAnsi="Times New Roman"/>
          <w:sz w:val="18"/>
          <w:szCs w:val="18"/>
          <w:u w:val="single" w:color="auto"/>
          <w:color w:val="auto"/>
        </w:rPr>
        <w:t>Residual Material</w:t>
      </w:r>
      <w:r>
        <w:rPr>
          <w:rFonts w:ascii="Times New Roman" w:cs="Times New Roman" w:eastAsia="Times New Roman" w:hAnsi="Times New Roman"/>
          <w:sz w:val="18"/>
          <w:szCs w:val="18"/>
          <w:color w:val="auto"/>
        </w:rPr>
        <w:t>”). Residual Materials that Personalis is directed to return may, at Personalis’ discretion, be returned in monthly batches to Tempus, at Personalis’ expense. Personalis shall be solely responsible for ensuring that it retains, returns or destroys any unused or remaining Specimen in compliance with applicable law. Any Residual Material that Personalis is not directed to return or destroy, as well as any slides, blood and/or plasma Specimens that are unused or remain after testing, and/or extracted material as a result of preparing the Specimen for or running the Test, may be retained by Personalis and used in accordance with applicable law. Tempus will identify such accounts through the JSC. Personalis will use reasonable efforts to consume only the minimum quantity of tumor block Specimen (including cutting the minimum number of slides) that is reasonably required to perform the Test, to preserve as much Residual Material as is reasonably possible.</w:t>
      </w:r>
    </w:p>
    <w:p>
      <w:pPr>
        <w:spacing w:after="0" w:line="192" w:lineRule="exact"/>
        <w:rPr>
          <w:sz w:val="20"/>
          <w:szCs w:val="20"/>
          <w:color w:val="auto"/>
        </w:rPr>
      </w:pPr>
    </w:p>
    <w:p>
      <w:pPr>
        <w:jc w:val="both"/>
        <w:ind w:left="380" w:hanging="372"/>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 Agreement</w:t>
      </w:r>
      <w:r>
        <w:rPr>
          <w:rFonts w:ascii="Times New Roman" w:cs="Times New Roman" w:eastAsia="Times New Roman" w:hAnsi="Times New Roman"/>
          <w:sz w:val="18"/>
          <w:szCs w:val="18"/>
          <w:color w:val="auto"/>
        </w:rPr>
        <w:t>. Notwithstanding anything to the contrary in the Agreement or this Amendment, the Standstill Period set forth in Section 1(e) of the Agreement shall automatically expire upon the earlier of June 4, 2027 and the date the Parties’ exclusivity obligations expire or terminate under Section 3 of Exhibit A of the Agreement.</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4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Except as otherwise provided in this Amendment, all terms and conditions previously set forth in the Agreement will remain in effect as set forth in the Agreement. If this Amendment and the Agreement are inconsistent, the terms and provisions of this Amendment will supersede the terms and provisions of the Agreement, but only to the extent necessary to satisfy the purposes of this Amendment.</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NOW THEREFORE, the Parties enter into this Amendment by signature of their authorized representatives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Personalis, Inc.</w:t>
            </w:r>
          </w:p>
        </w:tc>
        <w:tc>
          <w:tcPr>
            <w:tcW w:w="4460" w:type="dxa"/>
            <w:vAlign w:val="bottom"/>
            <w:gridSpan w:val="7"/>
          </w:tcPr>
          <w:p>
            <w:pPr>
              <w:ind w:left="1940"/>
              <w:spacing w:after="0"/>
              <w:rPr>
                <w:sz w:val="20"/>
                <w:szCs w:val="20"/>
                <w:color w:val="auto"/>
              </w:rPr>
            </w:pPr>
            <w:r>
              <w:rPr>
                <w:rFonts w:ascii="Times New Roman" w:cs="Times New Roman" w:eastAsia="Times New Roman" w:hAnsi="Times New Roman"/>
                <w:sz w:val="18"/>
                <w:szCs w:val="18"/>
                <w:b w:val="1"/>
                <w:bCs w:val="1"/>
                <w:color w:val="auto"/>
              </w:rPr>
              <w:t>Tempus AI, Inc.</w:t>
            </w:r>
          </w:p>
        </w:tc>
      </w:tr>
      <w:tr>
        <w:trPr>
          <w:trHeight w:val="391"/>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/s/ Stephen Moore</w:t>
            </w:r>
          </w:p>
        </w:tc>
        <w:tc>
          <w:tcPr>
            <w:tcW w:w="4460" w:type="dxa"/>
            <w:vAlign w:val="bottom"/>
            <w:gridSpan w:val="7"/>
          </w:tcPr>
          <w:p>
            <w:pPr>
              <w:ind w:left="1940"/>
              <w:spacing w:after="0"/>
              <w:rPr>
                <w:sz w:val="20"/>
                <w:szCs w:val="20"/>
                <w:color w:val="auto"/>
              </w:rPr>
            </w:pPr>
            <w:r>
              <w:rPr>
                <w:rFonts w:ascii="Times New Roman" w:cs="Times New Roman" w:eastAsia="Times New Roman" w:hAnsi="Times New Roman"/>
                <w:sz w:val="18"/>
                <w:szCs w:val="18"/>
                <w:color w:val="auto"/>
              </w:rPr>
              <w:t>By: /s/ Ryan Bartolucci</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Moore</w:t>
            </w:r>
          </w:p>
        </w:tc>
        <w:tc>
          <w:tcPr>
            <w:tcW w:w="2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1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Ryan Bartolucci</w:t>
            </w:r>
          </w:p>
        </w:tc>
      </w:tr>
      <w:tr>
        <w:trPr>
          <w:trHeight w:val="20"/>
        </w:trPr>
        <w:tc>
          <w:tcPr>
            <w:tcW w:w="7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SVP, CLO &amp; Corporate Secretary</w:t>
            </w:r>
          </w:p>
        </w:tc>
        <w:tc>
          <w:tcPr>
            <w:tcW w:w="2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1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CAO</w:t>
            </w:r>
          </w:p>
        </w:tc>
      </w:tr>
      <w:tr>
        <w:trPr>
          <w:trHeight w:val="20"/>
        </w:trPr>
        <w:tc>
          <w:tcPr>
            <w:tcW w:w="7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4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6"/>
              </w:rPr>
              <w:t>7/3/2025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Date:</w:t>
            </w: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7/3/2025</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285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-145415</wp:posOffset>
            </wp:positionV>
            <wp:extent cx="285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5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Commercialization and Reference Laboratory Agreement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the date of the last signature below, by and between Personalis, Inc., a Delaware corporation (“</w:t>
      </w:r>
      <w:r>
        <w:rPr>
          <w:rFonts w:ascii="Times New Roman" w:cs="Times New Roman" w:eastAsia="Times New Roman" w:hAnsi="Times New Roman"/>
          <w:sz w:val="18"/>
          <w:szCs w:val="18"/>
          <w:u w:val="single" w:color="auto"/>
          <w:color w:val="auto"/>
        </w:rPr>
        <w:t>Personalis</w:t>
      </w:r>
      <w:r>
        <w:rPr>
          <w:rFonts w:ascii="Times New Roman" w:cs="Times New Roman" w:eastAsia="Times New Roman" w:hAnsi="Times New Roman"/>
          <w:sz w:val="18"/>
          <w:szCs w:val="18"/>
          <w:color w:val="auto"/>
        </w:rPr>
        <w:t>”), and Tempus AI, Inc. (“</w:t>
      </w:r>
      <w:r>
        <w:rPr>
          <w:rFonts w:ascii="Times New Roman" w:cs="Times New Roman" w:eastAsia="Times New Roman" w:hAnsi="Times New Roman"/>
          <w:sz w:val="18"/>
          <w:szCs w:val="18"/>
          <w:u w:val="single" w:color="auto"/>
          <w:color w:val="auto"/>
        </w:rPr>
        <w:t>Tempus</w:t>
      </w:r>
      <w:r>
        <w:rPr>
          <w:rFonts w:ascii="Times New Roman" w:cs="Times New Roman" w:eastAsia="Times New Roman" w:hAnsi="Times New Roman"/>
          <w:sz w:val="18"/>
          <w:szCs w:val="18"/>
          <w:color w:val="auto"/>
        </w:rPr>
        <w:t>”) and amends that certain Commercialization and Reference Laboratory Agreement with the effective date of November 25, 2023 (as previously amended,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Tempus and Personalis are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defined herein shall have the meanings ascribed to them in the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pursuant to Section 9(d) of the Agreement, any term of the Agreement may be amended by a writing signed by the Parties.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the Parties wish to amend the Agreement as set forth herein.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herein, the Parties, intending to be legally bound, hereby agree as follows:</w:t>
      </w:r>
    </w:p>
    <w:p>
      <w:pPr>
        <w:spacing w:after="0" w:line="221" w:lineRule="exact"/>
        <w:rPr>
          <w:sz w:val="20"/>
          <w:szCs w:val="20"/>
          <w:color w:val="auto"/>
        </w:rPr>
      </w:pPr>
    </w:p>
    <w:p>
      <w:pPr>
        <w:ind w:left="380" w:hanging="372"/>
        <w:spacing w:after="0" w:line="28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Section 1(e)(i) of the Agreement is hereby amended by making the changes shown in strikethrough and underline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attached hereto.</w:t>
      </w:r>
    </w:p>
    <w:p>
      <w:pPr>
        <w:spacing w:after="0" w:line="15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Except as otherwise provided in this Amendment, all terms and conditions previously set forth in the Agreement will remain in effect as set forth in the Agreement. If this Amendment and the Agreement are inconsistent, the terms and provisions of this Amendment will supersede the terms and provisions of the Agreement, but only to the extent necessary to satisfy the purposes of this Amendment.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enter into this Amendment by signature of their authorized representatives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Personalis, Inc.</w:t>
            </w:r>
          </w:p>
        </w:tc>
        <w:tc>
          <w:tcPr>
            <w:tcW w:w="5540" w:type="dxa"/>
            <w:vAlign w:val="bottom"/>
            <w:gridSpan w:val="7"/>
          </w:tcPr>
          <w:p>
            <w:pPr>
              <w:ind w:left="1940"/>
              <w:spacing w:after="0"/>
              <w:rPr>
                <w:sz w:val="20"/>
                <w:szCs w:val="20"/>
                <w:color w:val="auto"/>
              </w:rPr>
            </w:pPr>
            <w:r>
              <w:rPr>
                <w:rFonts w:ascii="Times New Roman" w:cs="Times New Roman" w:eastAsia="Times New Roman" w:hAnsi="Times New Roman"/>
                <w:sz w:val="18"/>
                <w:szCs w:val="18"/>
                <w:b w:val="1"/>
                <w:bCs w:val="1"/>
                <w:color w:val="auto"/>
              </w:rPr>
              <w:t>Tempus AI, Inc.</w:t>
            </w:r>
          </w:p>
        </w:tc>
      </w:tr>
      <w:tr>
        <w:trPr>
          <w:trHeight w:val="391"/>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/s/ Stephen Moore</w:t>
            </w:r>
          </w:p>
        </w:tc>
        <w:tc>
          <w:tcPr>
            <w:tcW w:w="5540" w:type="dxa"/>
            <w:vAlign w:val="bottom"/>
            <w:gridSpan w:val="7"/>
          </w:tcPr>
          <w:p>
            <w:pPr>
              <w:ind w:left="1940"/>
              <w:spacing w:after="0"/>
              <w:rPr>
                <w:sz w:val="20"/>
                <w:szCs w:val="20"/>
                <w:color w:val="auto"/>
              </w:rPr>
            </w:pPr>
            <w:r>
              <w:rPr>
                <w:rFonts w:ascii="Times New Roman" w:cs="Times New Roman" w:eastAsia="Times New Roman" w:hAnsi="Times New Roman"/>
                <w:sz w:val="18"/>
                <w:szCs w:val="18"/>
                <w:color w:val="auto"/>
              </w:rPr>
              <w:t>By: /s/ Andy Polovin</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Moore</w:t>
            </w:r>
          </w:p>
        </w:tc>
        <w:tc>
          <w:tcPr>
            <w:tcW w:w="2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Andy Polovin</w:t>
            </w:r>
          </w:p>
        </w:tc>
      </w:tr>
      <w:tr>
        <w:trPr>
          <w:trHeight w:val="20"/>
        </w:trPr>
        <w:tc>
          <w:tcPr>
            <w:tcW w:w="7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SVP, CLO &amp; Corporate Secretary</w:t>
            </w:r>
          </w:p>
        </w:tc>
        <w:tc>
          <w:tcPr>
            <w:tcW w:w="2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EVP, General Counsel &amp; Secretary</w:t>
            </w:r>
          </w:p>
        </w:tc>
      </w:tr>
      <w:tr>
        <w:trPr>
          <w:trHeight w:val="20"/>
        </w:trPr>
        <w:tc>
          <w:tcPr>
            <w:tcW w:w="7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4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9/11/2025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Date:</w:t>
            </w: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9/11/2025</w:t>
            </w: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285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-144780</wp:posOffset>
            </wp:positionV>
            <wp:extent cx="285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481330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765" w:right="339" w:bottom="1440" w:gutter="0" w:footer="0" w:header="0"/>
        </w:sectPr>
      </w:pPr>
    </w:p>
    <w:bookmarkStart w:id="86" w:name="page87"/>
    <w:bookmarkEnd w:id="86"/>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Section 1(e)(i)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Standstill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3" w:lineRule="auto"/>
        <w:tabs>
          <w:tab w:leader="none" w:pos="3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Tempus agrees that, (x) until the earlier of June 4, 2027 and the date that the Parties’ exclusivity obligations expire or terminate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3 of Exhibit A hereto, whenever Tempus (together with its Affiliates) owns at least 9,218,800 shares of Common Stock (which number is subject to appropriate adjustment for any stock dividends, splits, recapitalizations, reclassifications, combinations or the like) and (y) from the Effective Date until the one year anniversary of the Effective Date, whenever the exclusivity obligations contemplated herein expire or terminate and Tempus (together with its Affiliates) owns at least 5 percent of the outstanding Common Stock of Personalis (each such period, the “</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without Personalis’ prior written consent, Tempus and its Affiliates shall not in any manner, directly or indirectly: (1) effect, seek, offer or propose (whether publicly or otherwise) to effect, participate in or facilitate or encourage any other person to effect, seek, offer or propose (whether publicly or otherwise) to effect or participate in,</w:t>
      </w:r>
    </w:p>
    <w:p>
      <w:pPr>
        <w:spacing w:after="0" w:line="4"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acquisition of, or obtaining any economic interest in, any securities (including through exercise of the First Warrant and/or the Second Warrant) or beneficial ownership thereof (directly or by means of any derivative securities), or rights or options to acquire, or obtain economic interest in, any securities or beneficial ownership thereof (directly or by means of any derivative securities), or any assets, indebtedness or businesses of Personalis (other than acquisitions or licenses of assets in the ordinary course of business), (b) any tender offer or exchange offer, merger or other business combination involving Personalis or any of its assets, (c) any recapitalization, restructuring, liquidation, dissolution or other extraordinary transaction with respect to Personalis, or</w:t>
      </w:r>
    </w:p>
    <w:p>
      <w:pPr>
        <w:spacing w:after="0" w:line="1" w:lineRule="exact"/>
        <w:rPr>
          <w:rFonts w:ascii="Times New Roman" w:cs="Times New Roman" w:eastAsia="Times New Roman" w:hAnsi="Times New Roman"/>
          <w:sz w:val="18"/>
          <w:szCs w:val="18"/>
          <w:color w:val="auto"/>
        </w:rPr>
      </w:pPr>
    </w:p>
    <w:p>
      <w:pPr>
        <w:jc w:val="both"/>
        <w:spacing w:after="0" w:line="21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any “solicitation” of “proxies” (as such terms are used in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and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 promulgated thereunder) or consents to vote any securities of Personalis, including soliciting consents or taking any other action with respect to the calling of a special meeting of Personalis’ stockholders; (2) form, join or in any way participate in a “group” (as defined under the 1934 Act) with respect to Personalis; (3) otherwise act, alone or in concert with others, to seek representation on or to control the board of directors or policies of Personalis or to obtain representation on the board of directors of Personalis; (4) disclose or direct any person to disclose, any intention, plan or arrangement inconsistent with the foregoing; (5) take any action that could reasonably be expected to result in a request by a court of competent jurisdiction or by a governmental body to disclose, or could cause or require either Party to disclose or make a public announcement regarding, any of the transactions contemplated by this Agreement or all or any part of the information contained in the Confidential Information or any matter of the types set forth in this paragraph; (6) advise, assist or knowingly encourage or direct any person to advise, assist or encourage any other persons in connection with any of the foregoing; or (7) request of Personalis or any of its Representatives, directly or indirectly, that Personalis amend or waive any provision of this paragraph (including this sentence);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nothing in the foregoing shall restrict Tempus from (x) confidentially communicating to Personalis’ board of directors,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chief financial officer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public proposals regarding potential transactions in such a manner as would not reasonably be expected to require public disclosure thereof under any law applicable to Personalis or its Representatives or to Tempus or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communication shall first be privately directed to Personalis’ chief executive officer and chief financial officer</w:t>
      </w:r>
      <w:r>
        <w:rPr>
          <w:rFonts w:ascii="Times New Roman" w:cs="Times New Roman" w:eastAsia="Times New Roman" w:hAnsi="Times New Roman"/>
          <w:sz w:val="18"/>
          <w:szCs w:val="18"/>
          <w:u w:val="single" w:color="auto"/>
          <w:color w:val="0070C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(y) engaging in discussions with third party financing sources with respect to financing a transaction involving Personalis;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Confidential Information of Personalis may be made available to such financing sources without Personalis’ prior written consent</w:t>
      </w:r>
      <w:r>
        <w:rPr>
          <w:rFonts w:ascii="Times New Roman" w:cs="Times New Roman" w:eastAsia="Times New Roman" w:hAnsi="Times New Roman"/>
          <w:sz w:val="18"/>
          <w:szCs w:val="18"/>
          <w:u w:val="single" w:color="auto"/>
          <w:color w:val="0070C0"/>
        </w:rPr>
        <w:t>, or (z) acquiring shares of Common Stock in open market purchases so long as</w:t>
      </w:r>
    </w:p>
    <w:p>
      <w:pPr>
        <w:spacing w:after="0" w:line="6"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70C0"/>
        </w:rPr>
        <w:t>(i) Tempus and its Affiliates do not beneficially own more than 19.99% of the Common Stock outstanding as a result of any such acquisition and (ii) Tempus is not in breach of any provision of this Section 1(e)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1185545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Christopher Hall, certify that:</w:t>
      </w:r>
    </w:p>
    <w:p>
      <w:pPr>
        <w:spacing w:after="0" w:line="221"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jc w:val="both"/>
        <w:ind w:left="1020" w:right="40" w:hanging="503"/>
        <w:spacing w:after="0" w:line="266"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503"/>
        <w:spacing w:after="0" w:line="266"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jc w:val="both"/>
        <w:ind w:left="1020" w:right="440" w:hanging="503"/>
        <w:spacing w:after="0" w:line="286"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140" w:hanging="503"/>
        <w:spacing w:after="0" w:line="266"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380" w:right="460" w:hanging="372"/>
        <w:spacing w:after="0" w:line="28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80" w:hanging="503"/>
        <w:spacing w:after="0" w:line="286"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20" w:hanging="503"/>
        <w:spacing w:after="0" w:line="286"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2025</w:t>
      </w:r>
    </w:p>
    <w:p>
      <w:pPr>
        <w:spacing w:after="0" w:line="21"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6"/>
          <w:szCs w:val="16"/>
          <w:color w:val="auto"/>
        </w:rPr>
        <w:t>Christopher Hall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jc w:val="both"/>
        <w:ind w:left="1020" w:right="40" w:hanging="503"/>
        <w:spacing w:after="0" w:line="266"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503"/>
        <w:spacing w:after="0" w:line="266"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jc w:val="both"/>
        <w:ind w:left="1020" w:right="440" w:hanging="503"/>
        <w:spacing w:after="0" w:line="286"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140" w:hanging="503"/>
        <w:spacing w:after="0" w:line="266"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380" w:right="460" w:hanging="372"/>
        <w:spacing w:after="0" w:line="286"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80" w:hanging="503"/>
        <w:spacing w:after="0" w:line="286"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20" w:hanging="503"/>
        <w:spacing w:after="0" w:line="286"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2025</w:t>
      </w:r>
    </w:p>
    <w:p>
      <w:pPr>
        <w:spacing w:after="0" w:line="21"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6"/>
          <w:szCs w:val="16"/>
          <w:color w:val="auto"/>
        </w:rPr>
        <w:t>Aaron Tachibana</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and Chief Operating Officer</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32.1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ind w:right="60" w:firstLine="509"/>
        <w:spacing w:after="0" w:line="266" w:lineRule="auto"/>
        <w:rPr>
          <w:sz w:val="20"/>
          <w:szCs w:val="20"/>
          <w:color w:val="auto"/>
        </w:rPr>
      </w:pPr>
      <w:r>
        <w:rPr>
          <w:rFonts w:ascii="Arial" w:cs="Arial" w:eastAsia="Arial" w:hAnsi="Arial"/>
          <w:sz w:val="16"/>
          <w:szCs w:val="16"/>
          <w:color w:val="auto"/>
        </w:rPr>
        <w:t>In connection with the Quarterly Report of Personalis, Inc. (the “Company”) on Form 10-Q for the quarterly period ended September 30, 2025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700" w:hanging="503"/>
        <w:spacing w:after="0" w:line="286"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2025</w:t>
      </w:r>
    </w:p>
    <w:p>
      <w:pPr>
        <w:spacing w:after="0" w:line="2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1905</wp:posOffset>
            </wp:positionV>
            <wp:extent cx="30429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6"/>
          <w:szCs w:val="16"/>
          <w:color w:val="auto"/>
        </w:rPr>
        <w:t>Christopher Hall</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32.2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ind w:right="60" w:firstLine="509"/>
        <w:spacing w:after="0" w:line="266" w:lineRule="auto"/>
        <w:rPr>
          <w:sz w:val="20"/>
          <w:szCs w:val="20"/>
          <w:color w:val="auto"/>
        </w:rPr>
      </w:pPr>
      <w:r>
        <w:rPr>
          <w:rFonts w:ascii="Arial" w:cs="Arial" w:eastAsia="Arial" w:hAnsi="Arial"/>
          <w:sz w:val="16"/>
          <w:szCs w:val="16"/>
          <w:color w:val="auto"/>
        </w:rPr>
        <w:t>In connection with the Quarterly Report of Personalis, Inc. (the “Company”) on Form 10-Q for the quarterly period ended September 30, 2025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700" w:hanging="503"/>
        <w:spacing w:after="0" w:line="286"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2025</w:t>
      </w:r>
    </w:p>
    <w:p>
      <w:pPr>
        <w:spacing w:after="0" w:line="2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1905</wp:posOffset>
            </wp:positionV>
            <wp:extent cx="30429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6"/>
          <w:szCs w:val="16"/>
          <w:color w:val="auto"/>
        </w:rPr>
        <w:t>Aaron Tachibana</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Financial Officer and Chief Operating Officer</w:t>
      </w:r>
    </w:p>
    <w:p>
      <w:pPr>
        <w:spacing w:after="0" w:line="5"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Ω"/>
      <w:numFmt w:val="bullet"/>
      <w:start w:val="1"/>
    </w:lvl>
  </w:abstractNum>
  <w:abstractNum w:abstractNumId="34">
    <w:nsid w:val="51EAD36B"/>
    <w:multiLevelType w:val="hybridMultilevel"/>
    <w:lvl w:ilvl="0">
      <w:lvlJc w:val="left"/>
      <w:lvlText w:val="%1."/>
      <w:numFmt w:val="decimal"/>
      <w:start w:val="1"/>
    </w:lvl>
    <w:lvl w:ilvl="1">
      <w:lvlJc w:val="left"/>
      <w:lvlText w:val="%2."/>
      <w:numFmt w:val="lowerLetter"/>
      <w:start w:val="1"/>
    </w:lvl>
  </w:abstractNum>
  <w:abstractNum w:abstractNumId="35">
    <w:nsid w:val="2D517796"/>
    <w:multiLevelType w:val="hybridMultilevel"/>
    <w:lvl w:ilvl="0">
      <w:lvlJc w:val="left"/>
      <w:lvlText w:val="%1."/>
      <w:numFmt w:val="decimal"/>
      <w:start w:val="3"/>
    </w:lvl>
  </w:abstractNum>
  <w:abstractNum w:abstractNumId="36">
    <w:nsid w:val="580BD78F"/>
    <w:multiLevelType w:val="hybridMultilevel"/>
    <w:lvl w:ilvl="0">
      <w:lvlJc w:val="left"/>
      <w:lvlText w:val="%1."/>
      <w:numFmt w:val="decimal"/>
      <w:start w:val="4"/>
    </w:lvl>
  </w:abstractNum>
  <w:abstractNum w:abstractNumId="37">
    <w:nsid w:val="153EA438"/>
    <w:multiLevelType w:val="hybridMultilevel"/>
    <w:lvl w:ilvl="0">
      <w:lvlJc w:val="left"/>
      <w:lvlText w:val="%1."/>
      <w:numFmt w:val="decimal"/>
      <w:start w:val="6"/>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Roman"/>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03" Type="http://schemas.openxmlformats.org/officeDocument/2006/relationships/hyperlink" Target="https://www.sec.gov/Archives/edgar/data/0001527753/000119312519180246/d750323dex31.htm" TargetMode="External"/><Relationship Id="rId304" Type="http://schemas.openxmlformats.org/officeDocument/2006/relationships/hyperlink" Target="https://www.sec.gov/Archives/edgar/data/1527753/000095017022020631/psnl-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2025-11-04T15:30:31Z</dcterms:created>
  <dcterms:modified xsi:type="dcterms:W3CDTF">2025-11-04T15:30:31Z</dcterms:modified>
</cp:coreProperties>
</file>