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109855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ind w:left="520" w:hanging="512"/>
        <w:spacing w:after="0" w:line="181" w:lineRule="auto"/>
        <w:tabs>
          <w:tab w:leader="none" w:pos="520" w:val="left"/>
        </w:tabs>
        <w:numPr>
          <w:ilvl w:val="0"/>
          <w:numId w:val="1"/>
        </w:numPr>
        <w:rPr>
          <w:rFonts w:ascii="MS PGothic" w:cs="MS PGothic" w:eastAsia="MS PGothic" w:hAnsi="MS PGothic"/>
          <w:sz w:val="30"/>
          <w:szCs w:val="30"/>
          <w:color w:val="auto"/>
          <w:highlight w:val="black"/>
          <w:vertAlign w:val="subscript"/>
        </w:rPr>
      </w:pPr>
      <w:r>
        <w:rPr>
          <w:rFonts w:ascii="Arial" w:cs="Arial" w:eastAsia="Arial" w:hAnsi="Arial"/>
          <w:sz w:val="15"/>
          <w:szCs w:val="15"/>
          <w:b w:val="1"/>
          <w:bCs w:val="1"/>
          <w:color w:val="auto"/>
        </w:rPr>
        <w:t>QUARTERLY REPORT PURSUANT TO SECTION 13 OR 15(d) OF THE SECURITIES EXCHANGE ACT OF 1934</w:t>
      </w:r>
    </w:p>
    <w:p>
      <w:pPr>
        <w:spacing w:after="0" w:line="200" w:lineRule="exact"/>
        <w:rPr>
          <w:sz w:val="24"/>
          <w:szCs w:val="24"/>
          <w:color w:val="auto"/>
        </w:rPr>
      </w:pPr>
    </w:p>
    <w:p>
      <w:pPr>
        <w:spacing w:after="0" w:line="383"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43"/>
          <w:szCs w:val="43"/>
          <w:color w:val="auto"/>
          <w:highlight w:val="black"/>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130"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111760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Personalis,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9" w:lineRule="exact"/>
        <w:rPr>
          <w:sz w:val="24"/>
          <w:szCs w:val="24"/>
          <w:color w:val="auto"/>
        </w:rPr>
      </w:pPr>
    </w:p>
    <w:tbl>
      <w:tblPr>
        <w:tblLayout w:type="fixed"/>
        <w:tblInd w:w="1720" w:type="dxa"/>
        <w:tblCellMar>
          <w:top w:w="0" w:type="dxa"/>
          <w:left w:w="0" w:type="dxa"/>
          <w:bottom w:w="0" w:type="dxa"/>
          <w:right w:w="0" w:type="dxa"/>
        </w:tblCellMar>
      </w:tblPr>
      <w:tr>
        <w:trPr>
          <w:trHeight w:val="216"/>
        </w:trPr>
        <w:tc>
          <w:tcPr>
            <w:tcW w:w="4320" w:type="dxa"/>
            <w:vAlign w:val="bottom"/>
          </w:tcPr>
          <w:p>
            <w:pPr>
              <w:jc w:val="center"/>
              <w:ind w:right="1963"/>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27-5411038</w:t>
            </w:r>
          </w:p>
        </w:tc>
      </w:tr>
      <w:tr>
        <w:trPr>
          <w:trHeight w:val="135"/>
        </w:trPr>
        <w:tc>
          <w:tcPr>
            <w:tcW w:w="4320" w:type="dxa"/>
            <w:vAlign w:val="bottom"/>
          </w:tcPr>
          <w:p>
            <w:pPr>
              <w:jc w:val="center"/>
              <w:ind w:right="1943"/>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4320" w:type="dxa"/>
            <w:vAlign w:val="bottom"/>
          </w:tcPr>
          <w:p>
            <w:pPr>
              <w:jc w:val="center"/>
              <w:ind w:right="1963"/>
              <w:spacing w:after="0"/>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89"/>
              </w:rPr>
              <w:t>Identification No.)</w:t>
            </w:r>
          </w:p>
        </w:tc>
      </w:tr>
      <w:tr>
        <w:trPr>
          <w:trHeight w:val="308"/>
        </w:trPr>
        <w:tc>
          <w:tcPr>
            <w:tcW w:w="4320" w:type="dxa"/>
            <w:vAlign w:val="bottom"/>
          </w:tcPr>
          <w:p>
            <w:pPr>
              <w:jc w:val="center"/>
              <w:ind w:right="1963"/>
              <w:spacing w:after="0"/>
              <w:rPr>
                <w:sz w:val="20"/>
                <w:szCs w:val="20"/>
                <w:color w:val="auto"/>
              </w:rPr>
            </w:pPr>
            <w:r>
              <w:rPr>
                <w:rFonts w:ascii="Arial" w:cs="Arial" w:eastAsia="Arial" w:hAnsi="Arial"/>
                <w:sz w:val="18"/>
                <w:szCs w:val="18"/>
                <w:b w:val="1"/>
                <w:bCs w:val="1"/>
                <w:color w:val="auto"/>
                <w:w w:val="94"/>
              </w:rPr>
              <w:t>1330 O’Brien Drive</w:t>
            </w:r>
          </w:p>
        </w:tc>
        <w:tc>
          <w:tcPr>
            <w:tcW w:w="3020" w:type="dxa"/>
            <w:vAlign w:val="bottom"/>
          </w:tcPr>
          <w:p>
            <w:pPr>
              <w:spacing w:after="0"/>
              <w:rPr>
                <w:sz w:val="24"/>
                <w:szCs w:val="24"/>
                <w:color w:val="auto"/>
              </w:rPr>
            </w:pPr>
          </w:p>
        </w:tc>
      </w:tr>
      <w:tr>
        <w:trPr>
          <w:trHeight w:val="216"/>
        </w:trPr>
        <w:tc>
          <w:tcPr>
            <w:tcW w:w="4320" w:type="dxa"/>
            <w:vAlign w:val="bottom"/>
          </w:tcPr>
          <w:p>
            <w:pPr>
              <w:jc w:val="center"/>
              <w:ind w:right="1963"/>
              <w:spacing w:after="0"/>
              <w:rPr>
                <w:sz w:val="20"/>
                <w:szCs w:val="20"/>
                <w:color w:val="auto"/>
              </w:rPr>
            </w:pPr>
            <w:r>
              <w:rPr>
                <w:rFonts w:ascii="Arial" w:cs="Arial" w:eastAsia="Arial" w:hAnsi="Arial"/>
                <w:sz w:val="18"/>
                <w:szCs w:val="18"/>
                <w:b w:val="1"/>
                <w:bCs w:val="1"/>
                <w:color w:val="auto"/>
                <w:w w:val="93"/>
              </w:rPr>
              <w:t>Menlo Park, California 94025</w:t>
            </w:r>
          </w:p>
        </w:tc>
        <w:tc>
          <w:tcPr>
            <w:tcW w:w="3020" w:type="dxa"/>
            <w:vAlign w:val="bottom"/>
          </w:tcPr>
          <w:p>
            <w:pPr>
              <w:jc w:val="right"/>
              <w:ind w:right="186"/>
              <w:spacing w:after="0"/>
              <w:rPr>
                <w:sz w:val="20"/>
                <w:szCs w:val="20"/>
                <w:color w:val="auto"/>
              </w:rPr>
            </w:pPr>
            <w:r>
              <w:rPr>
                <w:rFonts w:ascii="Arial" w:cs="Arial" w:eastAsia="Arial" w:hAnsi="Arial"/>
                <w:sz w:val="18"/>
                <w:szCs w:val="18"/>
                <w:b w:val="1"/>
                <w:bCs w:val="1"/>
                <w:color w:val="auto"/>
              </w:rPr>
              <w:t>94025</w:t>
            </w:r>
          </w:p>
        </w:tc>
      </w:tr>
      <w:tr>
        <w:trPr>
          <w:trHeight w:val="164"/>
        </w:trPr>
        <w:tc>
          <w:tcPr>
            <w:tcW w:w="4320" w:type="dxa"/>
            <w:vAlign w:val="bottom"/>
          </w:tcPr>
          <w:p>
            <w:pPr>
              <w:jc w:val="center"/>
              <w:ind w:right="1963"/>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752-1300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48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140" w:type="dxa"/>
            <w:vAlign w:val="bottom"/>
          </w:tcPr>
          <w:p>
            <w:pPr>
              <w:spacing w:after="0"/>
              <w:rPr>
                <w:sz w:val="17"/>
                <w:szCs w:val="17"/>
                <w:color w:val="auto"/>
              </w:rPr>
            </w:pPr>
          </w:p>
        </w:tc>
      </w:tr>
      <w:tr>
        <w:trPr>
          <w:trHeight w:val="31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Trading</w:t>
            </w:r>
          </w:p>
        </w:tc>
        <w:tc>
          <w:tcPr>
            <w:tcW w:w="5140" w:type="dxa"/>
            <w:vAlign w:val="bottom"/>
          </w:tcPr>
          <w:p>
            <w:pPr>
              <w:spacing w:after="0"/>
              <w:rPr>
                <w:sz w:val="24"/>
                <w:szCs w:val="24"/>
                <w:color w:val="auto"/>
              </w:rPr>
            </w:pPr>
          </w:p>
        </w:tc>
      </w:tr>
      <w:tr>
        <w:trPr>
          <w:trHeight w:val="213"/>
        </w:trPr>
        <w:tc>
          <w:tcPr>
            <w:tcW w:w="20" w:type="dxa"/>
            <w:vAlign w:val="bottom"/>
          </w:tcPr>
          <w:p>
            <w:pPr>
              <w:spacing w:after="0"/>
              <w:rPr>
                <w:sz w:val="18"/>
                <w:szCs w:val="18"/>
                <w:color w:val="auto"/>
              </w:rPr>
            </w:pPr>
          </w:p>
        </w:tc>
        <w:tc>
          <w:tcPr>
            <w:tcW w:w="4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Title of each class</w:t>
            </w:r>
          </w:p>
        </w:tc>
        <w:tc>
          <w:tcPr>
            <w:tcW w:w="18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Symbol(s)</w:t>
            </w:r>
          </w:p>
        </w:tc>
        <w:tc>
          <w:tcPr>
            <w:tcW w:w="51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3"/>
        </w:trPr>
        <w:tc>
          <w:tcPr>
            <w:tcW w:w="20" w:type="dxa"/>
            <w:vAlign w:val="bottom"/>
          </w:tcPr>
          <w:p>
            <w:pPr>
              <w:spacing w:after="0"/>
              <w:rPr>
                <w:sz w:val="17"/>
                <w:szCs w:val="17"/>
                <w:color w:val="auto"/>
              </w:rPr>
            </w:pPr>
          </w:p>
        </w:tc>
        <w:tc>
          <w:tcPr>
            <w:tcW w:w="43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120" w:type="dxa"/>
            <w:vAlign w:val="bottom"/>
          </w:tcPr>
          <w:p>
            <w:pPr>
              <w:spacing w:after="0"/>
              <w:rPr>
                <w:sz w:val="17"/>
                <w:szCs w:val="17"/>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PSNL</w:t>
            </w:r>
          </w:p>
        </w:tc>
        <w:tc>
          <w:tcPr>
            <w:tcW w:w="100" w:type="dxa"/>
            <w:vAlign w:val="bottom"/>
          </w:tcPr>
          <w:p>
            <w:pPr>
              <w:spacing w:after="0"/>
              <w:rPr>
                <w:sz w:val="17"/>
                <w:szCs w:val="17"/>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108" w:lineRule="exact"/>
        <w:rPr>
          <w:sz w:val="24"/>
          <w:szCs w:val="24"/>
          <w:color w:val="auto"/>
        </w:rPr>
      </w:pPr>
    </w:p>
    <w:p>
      <w:pPr>
        <w:ind w:right="18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580"/>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ind w:right="30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6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6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00" w:lineRule="exact"/>
        <w:rPr>
          <w:sz w:val="24"/>
          <w:szCs w:val="24"/>
          <w:color w:val="auto"/>
        </w:rPr>
      </w:pPr>
    </w:p>
    <w:p>
      <w:pPr>
        <w:ind w:right="1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280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9, 2019, the registrant had 31,128,674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454660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40" w:type="dxa"/>
            <w:vAlign w:val="bottom"/>
          </w:tcPr>
          <w:p>
            <w:pPr>
              <w:jc w:val="right"/>
              <w:ind w:right="191"/>
              <w:spacing w:after="0"/>
              <w:rPr>
                <w:sz w:val="20"/>
                <w:szCs w:val="20"/>
                <w:color w:val="auto"/>
              </w:rPr>
            </w:pPr>
            <w:r>
              <w:rPr>
                <w:rFonts w:ascii="Arial" w:cs="Arial" w:eastAsia="Arial" w:hAnsi="Arial"/>
                <w:sz w:val="14"/>
                <w:szCs w:val="14"/>
                <w:b w:val="1"/>
                <w:bCs w:val="1"/>
                <w:color w:val="auto"/>
              </w:rPr>
              <w:t>Page</w:t>
            </w:r>
          </w:p>
        </w:tc>
      </w:tr>
      <w:tr>
        <w:trPr>
          <w:trHeight w:val="190"/>
        </w:trPr>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40" w:type="dxa"/>
            <w:vAlign w:val="bottom"/>
            <w:gridSpan w:val="21"/>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Special Note Regarding Forward-Looking Statements</w:t>
              </w:r>
            </w:hyperlink>
          </w:p>
        </w:tc>
        <w:tc>
          <w:tcPr>
            <w:tcW w:w="124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39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3880" w:type="dxa"/>
            <w:vAlign w:val="bottom"/>
            <w:tcBorders>
              <w:top w:val="single" w:sz="8" w:color="0000EE"/>
            </w:tcBorders>
            <w:gridSpan w:val="1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5160" w:type="dxa"/>
            <w:vAlign w:val="bottom"/>
            <w:gridSpan w:val="7"/>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Condensed Consolidated Statements of Comprehensive Loss</w:t>
              </w:r>
            </w:hyperlink>
          </w:p>
        </w:tc>
        <w:tc>
          <w:tcPr>
            <w:tcW w:w="4640" w:type="dxa"/>
            <w:vAlign w:val="bottom"/>
            <w:gridSpan w:val="4"/>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3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Condensed Consolidated Statements of Redeemable Convertible Preferred Stock and Stockholders’ Equity (Deficit)</w:t>
              </w:r>
            </w:hyperlink>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40" w:type="dxa"/>
            <w:vAlign w:val="bottom"/>
            <w:gridSpan w:val="21"/>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380" w:type="dxa"/>
            <w:vAlign w:val="bottom"/>
            <w:gridSpan w:val="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Unaudited Condensed Consolidated Financial Statements</w:t>
              </w:r>
            </w:hyperlink>
          </w:p>
        </w:tc>
        <w:tc>
          <w:tcPr>
            <w:tcW w:w="4240" w:type="dxa"/>
            <w:vAlign w:val="bottom"/>
            <w:gridSpan w:val="3"/>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04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8"/>
                <w:szCs w:val="18"/>
                <w:color w:val="auto"/>
              </w:rPr>
            </w:pPr>
          </w:p>
        </w:tc>
        <w:tc>
          <w:tcPr>
            <w:tcW w:w="2580" w:type="dxa"/>
            <w:vAlign w:val="bottom"/>
            <w:gridSpan w:val="2"/>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Controls and Procedures</w:t>
              </w:r>
            </w:hyperlink>
          </w:p>
        </w:tc>
        <w:tc>
          <w:tcPr>
            <w:tcW w:w="7240" w:type="dxa"/>
            <w:vAlign w:val="bottom"/>
            <w:gridSpan w:val="15"/>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2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34">
              <w:r>
                <w:rPr>
                  <w:rFonts w:ascii="Arial" w:cs="Arial" w:eastAsia="Arial" w:hAnsi="Arial"/>
                  <w:sz w:val="18"/>
                  <w:szCs w:val="18"/>
                  <w:color w:val="0000EE"/>
                  <w:w w:val="96"/>
                </w:rPr>
                <w:t>OTHER INFORMATION</w:t>
              </w:r>
            </w:hyperlink>
          </w:p>
        </w:tc>
        <w:tc>
          <w:tcPr>
            <w:tcW w:w="7140" w:type="dxa"/>
            <w:vAlign w:val="bottom"/>
            <w:gridSpan w:val="14"/>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040" w:type="dxa"/>
            <w:vAlign w:val="bottom"/>
            <w:gridSpan w:val="21"/>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8"/>
                <w:szCs w:val="18"/>
                <w:color w:val="auto"/>
              </w:rPr>
            </w:pPr>
          </w:p>
        </w:tc>
        <w:tc>
          <w:tcPr>
            <w:tcW w:w="7700" w:type="dxa"/>
            <w:vAlign w:val="bottom"/>
            <w:gridSpan w:val="17"/>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9">
              <w:r>
                <w:rPr>
                  <w:rFonts w:ascii="Arial" w:cs="Arial" w:eastAsia="Arial" w:hAnsi="Arial"/>
                  <w:sz w:val="18"/>
                  <w:szCs w:val="18"/>
                  <w:color w:val="0000EE"/>
                  <w:w w:val="89"/>
                </w:rPr>
                <w:t>Unregistered Sales of Equity Securities and Use of Proceeds</w:t>
              </w:r>
            </w:hyperlink>
          </w:p>
        </w:tc>
        <w:tc>
          <w:tcPr>
            <w:tcW w:w="4680" w:type="dxa"/>
            <w:vAlign w:val="bottom"/>
            <w:gridSpan w:val="6"/>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Defaults Upon Senior Securities</w:t>
              </w:r>
            </w:hyperlink>
          </w:p>
        </w:tc>
        <w:tc>
          <w:tcPr>
            <w:tcW w:w="6700" w:type="dxa"/>
            <w:vAlign w:val="bottom"/>
            <w:gridSpan w:val="12"/>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Mine Safety Disclosures</w:t>
              </w:r>
            </w:hyperlink>
          </w:p>
        </w:tc>
        <w:tc>
          <w:tcPr>
            <w:tcW w:w="7260" w:type="dxa"/>
            <w:vAlign w:val="bottom"/>
            <w:gridSpan w:val="16"/>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040" w:type="dxa"/>
            <w:vAlign w:val="bottom"/>
            <w:gridSpan w:val="21"/>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Other Information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Exhibits</w:t>
              </w:r>
            </w:hyperlink>
          </w:p>
        </w:tc>
        <w:tc>
          <w:tcPr>
            <w:tcW w:w="7720" w:type="dxa"/>
            <w:vAlign w:val="bottom"/>
            <w:gridSpan w:val="18"/>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0"/>
        </w:trPr>
        <w:tc>
          <w:tcPr>
            <w:tcW w:w="1160" w:type="dxa"/>
            <w:vAlign w:val="bottom"/>
            <w:gridSpan w:val="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669"/>
        </w:trPr>
        <w:tc>
          <w:tcPr>
            <w:tcW w:w="76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gridSpan w:val="18"/>
          </w:tcPr>
          <w:p>
            <w:pPr>
              <w:ind w:left="4500"/>
              <w:spacing w:after="0"/>
              <w:rPr>
                <w:sz w:val="20"/>
                <w:szCs w:val="20"/>
                <w:color w:val="auto"/>
              </w:rPr>
            </w:pPr>
            <w:r>
              <w:rPr>
                <w:rFonts w:ascii="Arial" w:cs="Arial" w:eastAsia="Arial" w:hAnsi="Arial"/>
                <w:sz w:val="18"/>
                <w:szCs w:val="18"/>
                <w:color w:val="auto"/>
              </w:rPr>
              <w:t>2</w:t>
            </w:r>
          </w:p>
        </w:tc>
        <w:tc>
          <w:tcPr>
            <w:tcW w:w="1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56"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189" w:lineRule="exact"/>
        <w:rPr>
          <w:sz w:val="20"/>
          <w:szCs w:val="20"/>
          <w:color w:val="auto"/>
        </w:rPr>
      </w:pPr>
    </w:p>
    <w:p>
      <w:pPr>
        <w:ind w:left="1280" w:hanging="516"/>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evolution of cancer therapies and market adoption of our services;</w:t>
      </w:r>
    </w:p>
    <w:p>
      <w:pPr>
        <w:spacing w:after="0" w:line="184" w:lineRule="exact"/>
        <w:rPr>
          <w:rFonts w:ascii="Arial" w:cs="Arial" w:eastAsia="Arial" w:hAnsi="Arial"/>
          <w:sz w:val="18"/>
          <w:szCs w:val="18"/>
          <w:color w:val="auto"/>
        </w:rPr>
      </w:pPr>
    </w:p>
    <w:p>
      <w:pPr>
        <w:ind w:left="1280" w:hanging="516"/>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estimates of our total addressable market, future revenue, expenses, capital requirements, and our needs for additional financing;</w:t>
      </w:r>
    </w:p>
    <w:p>
      <w:pPr>
        <w:spacing w:after="0" w:line="196" w:lineRule="exact"/>
        <w:rPr>
          <w:rFonts w:ascii="Arial" w:cs="Arial" w:eastAsia="Arial" w:hAnsi="Arial"/>
          <w:sz w:val="17"/>
          <w:szCs w:val="17"/>
          <w:color w:val="auto"/>
        </w:rPr>
      </w:pPr>
    </w:p>
    <w:p>
      <w:pPr>
        <w:ind w:left="1280" w:hanging="516"/>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84" w:lineRule="exact"/>
        <w:rPr>
          <w:rFonts w:ascii="Arial" w:cs="Arial" w:eastAsia="Arial" w:hAnsi="Arial"/>
          <w:sz w:val="18"/>
          <w:szCs w:val="18"/>
          <w:color w:val="auto"/>
        </w:rPr>
      </w:pPr>
    </w:p>
    <w:p>
      <w:pPr>
        <w:ind w:left="1280" w:hanging="516"/>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infrastructure;</w:t>
      </w:r>
    </w:p>
    <w:p>
      <w:pPr>
        <w:spacing w:after="0" w:line="184" w:lineRule="exact"/>
        <w:rPr>
          <w:rFonts w:ascii="Arial" w:cs="Arial" w:eastAsia="Arial" w:hAnsi="Arial"/>
          <w:sz w:val="18"/>
          <w:szCs w:val="18"/>
          <w:color w:val="auto"/>
        </w:rPr>
      </w:pPr>
    </w:p>
    <w:p>
      <w:pPr>
        <w:ind w:left="1280" w:hanging="516"/>
        <w:spacing w:after="0"/>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and grow our business by expanding our sales to existing customers or introducing our products to new customers;</w:t>
      </w:r>
    </w:p>
    <w:p>
      <w:pPr>
        <w:spacing w:after="0" w:line="207" w:lineRule="exact"/>
        <w:rPr>
          <w:rFonts w:ascii="Arial" w:cs="Arial" w:eastAsia="Arial" w:hAnsi="Arial"/>
          <w:sz w:val="16"/>
          <w:szCs w:val="16"/>
          <w:color w:val="auto"/>
        </w:rPr>
      </w:pPr>
    </w:p>
    <w:p>
      <w:pPr>
        <w:ind w:left="1280" w:hanging="516"/>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regarding our relationship with the U.S. Department of Veterans Affairs’ Million Veteran Program;</w:t>
      </w:r>
    </w:p>
    <w:p>
      <w:pPr>
        <w:spacing w:after="0" w:line="184" w:lineRule="exact"/>
        <w:rPr>
          <w:rFonts w:ascii="Arial" w:cs="Arial" w:eastAsia="Arial" w:hAnsi="Arial"/>
          <w:sz w:val="18"/>
          <w:szCs w:val="18"/>
          <w:color w:val="auto"/>
        </w:rPr>
      </w:pPr>
    </w:p>
    <w:p>
      <w:pPr>
        <w:ind w:left="1280" w:hanging="516"/>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claims of infringement;</w:t>
      </w:r>
    </w:p>
    <w:p>
      <w:pPr>
        <w:spacing w:after="0" w:line="184" w:lineRule="exact"/>
        <w:rPr>
          <w:rFonts w:ascii="Arial" w:cs="Arial" w:eastAsia="Arial" w:hAnsi="Arial"/>
          <w:sz w:val="18"/>
          <w:szCs w:val="18"/>
          <w:color w:val="auto"/>
        </w:rPr>
      </w:pPr>
    </w:p>
    <w:p>
      <w:pPr>
        <w:ind w:left="1280" w:hanging="516"/>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of extensive government regulation;</w:t>
      </w:r>
    </w:p>
    <w:p>
      <w:pPr>
        <w:spacing w:after="0" w:line="184" w:lineRule="exact"/>
        <w:rPr>
          <w:rFonts w:ascii="Arial" w:cs="Arial" w:eastAsia="Arial" w:hAnsi="Arial"/>
          <w:sz w:val="18"/>
          <w:szCs w:val="18"/>
          <w:color w:val="auto"/>
        </w:rPr>
      </w:pPr>
    </w:p>
    <w:p>
      <w:pPr>
        <w:ind w:left="1280" w:hanging="516"/>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84" w:lineRule="exact"/>
        <w:rPr>
          <w:rFonts w:ascii="Arial" w:cs="Arial" w:eastAsia="Arial" w:hAnsi="Arial"/>
          <w:sz w:val="18"/>
          <w:szCs w:val="18"/>
          <w:color w:val="auto"/>
        </w:rPr>
      </w:pPr>
    </w:p>
    <w:p>
      <w:pPr>
        <w:ind w:left="1280" w:hanging="516"/>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in future offerings;</w:t>
      </w:r>
    </w:p>
    <w:p>
      <w:pPr>
        <w:spacing w:after="0" w:line="184" w:lineRule="exact"/>
        <w:rPr>
          <w:rFonts w:ascii="Arial" w:cs="Arial" w:eastAsia="Arial" w:hAnsi="Arial"/>
          <w:sz w:val="18"/>
          <w:szCs w:val="18"/>
          <w:color w:val="auto"/>
        </w:rPr>
      </w:pPr>
    </w:p>
    <w:p>
      <w:pPr>
        <w:ind w:left="1280" w:hanging="516"/>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84" w:lineRule="exact"/>
        <w:rPr>
          <w:rFonts w:ascii="Arial" w:cs="Arial" w:eastAsia="Arial" w:hAnsi="Arial"/>
          <w:sz w:val="18"/>
          <w:szCs w:val="18"/>
          <w:color w:val="auto"/>
        </w:rPr>
      </w:pPr>
    </w:p>
    <w:p>
      <w:pPr>
        <w:ind w:left="1280" w:hanging="516"/>
        <w:spacing w:after="0"/>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belief that approval of personalized cancer therapies by the Food and Drug Administration may drive benefits to our business; and</w:t>
      </w:r>
    </w:p>
    <w:p>
      <w:pPr>
        <w:spacing w:after="0" w:line="196" w:lineRule="exact"/>
        <w:rPr>
          <w:rFonts w:ascii="Arial" w:cs="Arial" w:eastAsia="Arial" w:hAnsi="Arial"/>
          <w:sz w:val="17"/>
          <w:szCs w:val="17"/>
          <w:color w:val="auto"/>
        </w:rPr>
      </w:pPr>
    </w:p>
    <w:p>
      <w:pPr>
        <w:ind w:left="1280" w:hanging="516"/>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the time during which we will be an emerging growth company under the JOBS Act.</w:t>
      </w:r>
    </w:p>
    <w:p>
      <w:pPr>
        <w:spacing w:after="0" w:line="225" w:lineRule="exact"/>
        <w:rPr>
          <w:sz w:val="20"/>
          <w:szCs w:val="20"/>
          <w:color w:val="auto"/>
        </w:rPr>
      </w:pPr>
    </w:p>
    <w:p>
      <w:pPr>
        <w:jc w:val="both"/>
        <w:ind w:firstLine="761"/>
        <w:spacing w:after="0" w:line="253" w:lineRule="auto"/>
        <w:rPr>
          <w:sz w:val="20"/>
          <w:szCs w:val="20"/>
          <w:color w:val="auto"/>
        </w:rPr>
      </w:pPr>
      <w:r>
        <w:rPr>
          <w:rFonts w:ascii="Arial" w:cs="Arial" w:eastAsia="Arial" w:hAnsi="Arial"/>
          <w:sz w:val="18"/>
          <w:szCs w:val="18"/>
          <w:color w:val="auto"/>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57"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both"/>
        <w:ind w:firstLine="761"/>
        <w:spacing w:after="0" w:line="257"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88" w:lineRule="exact"/>
        <w:rPr>
          <w:sz w:val="20"/>
          <w:szCs w:val="20"/>
          <w:color w:val="auto"/>
        </w:rPr>
      </w:pPr>
    </w:p>
    <w:p>
      <w:pPr>
        <w:ind w:right="120" w:firstLine="761"/>
        <w:spacing w:after="0" w:line="277" w:lineRule="auto"/>
        <w:rPr>
          <w:sz w:val="20"/>
          <w:szCs w:val="20"/>
          <w:color w:val="auto"/>
        </w:rPr>
      </w:pPr>
      <w:r>
        <w:rPr>
          <w:rFonts w:ascii="Arial" w:cs="Arial" w:eastAsia="Arial" w:hAnsi="Arial"/>
          <w:sz w:val="18"/>
          <w:szCs w:val="18"/>
          <w:i w:val="1"/>
          <w:iCs w:val="1"/>
          <w:color w:val="auto"/>
        </w:rPr>
        <w:t>Unless the context otherwise requires, references in this Quarterly Report on Form 10-Q to the “company,” “Personalis,” “we,” “us” and “our” refer to Personalis,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551"/>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4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163,269</w:t>
            </w:r>
          </w:p>
        </w:tc>
        <w:tc>
          <w:tcPr>
            <w:tcW w:w="4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19,744</w:t>
            </w: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7,465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4,457</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 and other deferred costs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3,538</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1,897</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23"/>
        </w:trPr>
        <w:tc>
          <w:tcPr>
            <w:tcW w:w="77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176,169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29,559</w:t>
            </w: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13,409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11,452</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1,320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947</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191,845</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41,670</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8,781</w:t>
            </w: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6,565</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and other current liabilities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4,676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30"/>
        </w:trPr>
        <w:tc>
          <w:tcPr>
            <w:tcW w:w="7740" w:type="dxa"/>
            <w:vAlign w:val="bottom"/>
          </w:tcPr>
          <w:p>
            <w:pPr>
              <w:ind w:left="260"/>
              <w:spacing w:after="0"/>
              <w:rPr>
                <w:sz w:val="20"/>
                <w:szCs w:val="20"/>
                <w:color w:val="auto"/>
              </w:rPr>
            </w:pPr>
            <w:r>
              <w:rPr>
                <w:rFonts w:ascii="Arial" w:cs="Arial" w:eastAsia="Arial" w:hAnsi="Arial"/>
                <w:sz w:val="18"/>
                <w:szCs w:val="18"/>
                <w:color w:val="auto"/>
              </w:rPr>
              <w:t>Contract liabilities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41,866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42,897</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debt</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1,020</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r>
        <w:trPr>
          <w:trHeight w:val="223"/>
        </w:trPr>
        <w:tc>
          <w:tcPr>
            <w:tcW w:w="7740" w:type="dxa"/>
            <w:vAlign w:val="bottom"/>
          </w:tcPr>
          <w:p>
            <w:pPr>
              <w:ind w:left="74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56,343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57,850</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 warrant liability</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18,016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468</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63"/>
        </w:trPr>
        <w:tc>
          <w:tcPr>
            <w:tcW w:w="77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74,827</w:t>
            </w:r>
          </w:p>
        </w:tc>
        <w:tc>
          <w:tcPr>
            <w:tcW w:w="1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58,654</w:t>
            </w: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89,404</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40" w:type="dxa"/>
            <w:vAlign w:val="bottom"/>
          </w:tcPr>
          <w:p>
            <w:pPr>
              <w:ind w:left="500"/>
              <w:spacing w:after="0"/>
              <w:rPr>
                <w:sz w:val="20"/>
                <w:szCs w:val="20"/>
                <w:color w:val="auto"/>
              </w:rPr>
            </w:pPr>
            <w:r>
              <w:rPr>
                <w:rFonts w:ascii="Arial" w:cs="Arial" w:eastAsia="Arial" w:hAnsi="Arial"/>
                <w:sz w:val="18"/>
                <w:szCs w:val="18"/>
                <w:color w:val="auto"/>
                <w:w w:val="90"/>
              </w:rPr>
              <w:t>Common stock, $0.0001 par value — 200,000,000 shares authorized and 31,121,605 shares issued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500"/>
              <w:spacing w:after="0"/>
              <w:rPr>
                <w:sz w:val="20"/>
                <w:szCs w:val="20"/>
                <w:color w:val="auto"/>
              </w:rPr>
            </w:pPr>
            <w:r>
              <w:rPr>
                <w:rFonts w:ascii="Arial" w:cs="Arial" w:eastAsia="Arial" w:hAnsi="Arial"/>
                <w:sz w:val="18"/>
                <w:szCs w:val="18"/>
                <w:color w:val="auto"/>
                <w:w w:val="91"/>
              </w:rPr>
              <w:t>and outstanding as of June 30, 2019; 102,700,000 shares authorized and 3,085,307 shares issued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500"/>
              <w:spacing w:after="0"/>
              <w:rPr>
                <w:sz w:val="20"/>
                <w:szCs w:val="20"/>
                <w:color w:val="auto"/>
              </w:rPr>
            </w:pPr>
            <w:r>
              <w:rPr>
                <w:rFonts w:ascii="Arial" w:cs="Arial" w:eastAsia="Arial" w:hAnsi="Arial"/>
                <w:sz w:val="18"/>
                <w:szCs w:val="18"/>
                <w:color w:val="auto"/>
              </w:rPr>
              <w:t>and outstanding as of December 31, 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Additional paid-in-capital</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244,089</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9,131</w:t>
            </w:r>
          </w:p>
        </w:tc>
        <w:tc>
          <w:tcPr>
            <w:tcW w:w="0" w:type="dxa"/>
            <w:vAlign w:val="bottom"/>
          </w:tcPr>
          <w:p>
            <w:pPr>
              <w:spacing w:after="0"/>
              <w:rPr>
                <w:sz w:val="1"/>
                <w:szCs w:val="1"/>
                <w:color w:val="auto"/>
              </w:rPr>
            </w:pPr>
          </w:p>
        </w:tc>
      </w:tr>
      <w:tr>
        <w:trPr>
          <w:trHeight w:val="230"/>
        </w:trPr>
        <w:tc>
          <w:tcPr>
            <w:tcW w:w="7740" w:type="dxa"/>
            <w:vAlign w:val="bottom"/>
          </w:tcPr>
          <w:p>
            <w:pPr>
              <w:ind w:left="50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7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(127,059)</w:t>
            </w: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(115,505)</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stockholders’ equity (deficit)</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117,018</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(106,388)</w:t>
            </w:r>
          </w:p>
        </w:tc>
        <w:tc>
          <w:tcPr>
            <w:tcW w:w="0" w:type="dxa"/>
            <w:vAlign w:val="bottom"/>
          </w:tcPr>
          <w:p>
            <w:pPr>
              <w:spacing w:after="0"/>
              <w:rPr>
                <w:sz w:val="1"/>
                <w:szCs w:val="1"/>
                <w:color w:val="auto"/>
              </w:rPr>
            </w:pPr>
          </w:p>
        </w:tc>
      </w:tr>
      <w:tr>
        <w:trPr>
          <w:trHeight w:val="223"/>
        </w:trPr>
        <w:tc>
          <w:tcPr>
            <w:tcW w:w="774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w w:val="99"/>
              </w:rPr>
              <w:t>Total liabilities, redeemable convertible preferred stock, and stockholders’ equity (deficit)</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191,845</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41,670</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15,825</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8,799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29,900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12,963</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of revenues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9,923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6,403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20,014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10,468</w:t>
            </w: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4,497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9,742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6,449</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5,466</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2,604</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9,636</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19,886</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12,507</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39,392</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21,834</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(8,871)</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Loss on debt extinguishment</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(1,413)</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(5,867)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(11,550)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(12,687)</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(5,869)</w:t>
            </w:r>
          </w:p>
        </w:tc>
        <w:tc>
          <w:tcPr>
            <w:tcW w:w="1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(7,315)</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(11,554)</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(12,690)</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6,597,007</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3,063,126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4,853,325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3,061,069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5"/>
          </w:tcPr>
          <w:p>
            <w:pPr>
              <w:jc w:val="right"/>
              <w:ind w:right="734"/>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(5,869)</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(7,315)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(11,554)</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(12,690)</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(5,884)</w:t>
            </w:r>
          </w:p>
        </w:tc>
        <w:tc>
          <w:tcPr>
            <w:tcW w:w="1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(11,554)</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(12,692)</w:t>
            </w: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(DEFICIT)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Redeemable convertible preferred stock</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 redeemable convertible preferred stock, beginning balances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89,404</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75,995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89,404</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75,995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Conversion of redeemable convertible preferred stock to common stock</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(89,404)</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(89,404)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960" w:type="dxa"/>
            <w:vAlign w:val="bottom"/>
            <w:gridSpan w:val="2"/>
          </w:tcPr>
          <w:p>
            <w:pPr>
              <w:spacing w:after="0"/>
              <w:rPr>
                <w:sz w:val="20"/>
                <w:szCs w:val="20"/>
                <w:color w:val="auto"/>
              </w:rPr>
            </w:pPr>
            <w:r>
              <w:rPr>
                <w:rFonts w:ascii="Arial" w:cs="Arial" w:eastAsia="Arial" w:hAnsi="Arial"/>
                <w:sz w:val="18"/>
                <w:szCs w:val="18"/>
                <w:color w:val="auto"/>
              </w:rPr>
              <w:t>Total redeemable convertible preferred stock, ending balances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75,995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75,995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Common stock and additional paid-in capital:</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Beginning balances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10,667</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3,219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9,132</w:t>
            </w:r>
          </w:p>
        </w:tc>
        <w:tc>
          <w:tcPr>
            <w:tcW w:w="4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5"/>
              </w:rPr>
              <w:t>Equity component credited to additional paid-in capital upon Convertible</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Notes modification on May 31, 2018</w:t>
            </w:r>
          </w:p>
        </w:tc>
        <w:tc>
          <w:tcPr>
            <w:tcW w:w="24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3,890</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w w:val="94"/>
              </w:rPr>
              <w:t>Conversion of Series A, B and C redeemable convertible preferred stock</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to common stock</w:t>
            </w:r>
          </w:p>
        </w:tc>
        <w:tc>
          <w:tcPr>
            <w:tcW w:w="2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89,404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89,404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Proceeds from initial public offering, net of expenses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140,024</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140,024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Conversion of redeemable convertible preferred stock warrants to</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common stock warrants</w:t>
            </w:r>
          </w:p>
        </w:tc>
        <w:tc>
          <w:tcPr>
            <w:tcW w:w="2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2,086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2,086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Proceeds from exercise of common stock warrant</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Issuance of common stock warrants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572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611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1,646</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414</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2,255</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Ending balances</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244,092</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7,523</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244,092</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7,523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Beginning balances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Ending balances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Beginning balances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(121,190)</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(100,994)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(115,505)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(95,619)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(5,869)</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(7,315)</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(11,554)</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Ending balances</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(127,059)</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(108,309)</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(127,059)</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 (deficit), ending balances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117,018</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(100,798)</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117,018</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80" w:type="dxa"/>
            <w:vAlign w:val="bottom"/>
            <w:gridSpan w:val="4"/>
          </w:tcPr>
          <w:p>
            <w:pPr>
              <w:jc w:val="right"/>
              <w:ind w:right="90"/>
              <w:spacing w:after="0"/>
              <w:rPr>
                <w:sz w:val="20"/>
                <w:szCs w:val="20"/>
                <w:color w:val="auto"/>
              </w:rPr>
            </w:pPr>
            <w:r>
              <w:rPr>
                <w:rFonts w:ascii="Arial" w:cs="Arial" w:eastAsia="Arial" w:hAnsi="Arial"/>
                <w:sz w:val="14"/>
                <w:szCs w:val="14"/>
                <w:b w:val="1"/>
                <w:bCs w:val="1"/>
                <w:color w:val="auto"/>
              </w:rPr>
              <w:t>Six Months Ended</w:t>
            </w:r>
          </w:p>
        </w:tc>
        <w:tc>
          <w:tcPr>
            <w:tcW w:w="1220" w:type="dxa"/>
            <w:vAlign w:val="bottom"/>
          </w:tcPr>
          <w:p>
            <w:pPr>
              <w:spacing w:after="0"/>
              <w:rPr>
                <w:sz w:val="14"/>
                <w:szCs w:val="14"/>
                <w:color w:val="auto"/>
              </w:rPr>
            </w:pPr>
          </w:p>
        </w:tc>
      </w:tr>
      <w:tr>
        <w:trPr>
          <w:trHeight w:val="171"/>
        </w:trPr>
        <w:tc>
          <w:tcPr>
            <w:tcW w:w="7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1220" w:type="dxa"/>
            <w:vAlign w:val="bottom"/>
            <w:tcBorders>
              <w:bottom w:val="single" w:sz="8" w:color="auto"/>
            </w:tcBorders>
          </w:tcPr>
          <w:p>
            <w:pPr>
              <w:spacing w:after="0"/>
              <w:rPr>
                <w:sz w:val="14"/>
                <w:szCs w:val="14"/>
                <w:color w:val="auto"/>
              </w:rPr>
            </w:pPr>
          </w:p>
        </w:tc>
      </w:tr>
      <w:tr>
        <w:trPr>
          <w:trHeight w:val="156"/>
        </w:trPr>
        <w:tc>
          <w:tcPr>
            <w:tcW w:w="704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91"/>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Net loss</w:t>
            </w:r>
          </w:p>
        </w:tc>
        <w:tc>
          <w:tcPr>
            <w:tcW w:w="178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(11,554)</w:t>
            </w:r>
          </w:p>
        </w:tc>
        <w:tc>
          <w:tcPr>
            <w:tcW w:w="180" w:type="dxa"/>
            <w:vAlign w:val="bottom"/>
          </w:tcPr>
          <w:p>
            <w:pPr>
              <w:spacing w:after="0"/>
              <w:rPr>
                <w:sz w:val="19"/>
                <w:szCs w:val="19"/>
                <w:color w:val="auto"/>
              </w:rPr>
            </w:pP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(12,690)</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2,192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1,200</w:t>
            </w: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lease expense</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2,255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583</w:t>
            </w: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debt extinguishment</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3,322</w:t>
            </w: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1,403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compound derivative instrument</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(574)</w:t>
            </w: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Accretion of noncash interest and debt reduction</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900</w:t>
            </w:r>
          </w:p>
        </w:tc>
      </w:tr>
      <w:tr>
        <w:trPr>
          <w:trHeight w:val="230"/>
        </w:trPr>
        <w:tc>
          <w:tcPr>
            <w:tcW w:w="7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w:t>
            </w:r>
          </w:p>
        </w:tc>
      </w:tr>
      <w:tr>
        <w:trPr>
          <w:trHeight w:val="230"/>
        </w:trPr>
        <w:tc>
          <w:tcPr>
            <w:tcW w:w="704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(2,240)</w:t>
            </w:r>
          </w:p>
        </w:tc>
      </w:tr>
      <w:tr>
        <w:trPr>
          <w:trHeight w:val="230"/>
        </w:trPr>
        <w:tc>
          <w:tcPr>
            <w:tcW w:w="7040" w:type="dxa"/>
            <w:vAlign w:val="bottom"/>
          </w:tcPr>
          <w:p>
            <w:pPr>
              <w:ind w:left="740"/>
              <w:spacing w:after="0"/>
              <w:rPr>
                <w:sz w:val="20"/>
                <w:szCs w:val="20"/>
                <w:color w:val="auto"/>
              </w:rPr>
            </w:pPr>
            <w:r>
              <w:rPr>
                <w:rFonts w:ascii="Arial" w:cs="Arial" w:eastAsia="Arial" w:hAnsi="Arial"/>
                <w:sz w:val="18"/>
                <w:szCs w:val="18"/>
                <w:color w:val="auto"/>
              </w:rPr>
              <w:t>Inventories and other deferred costs</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(1,675)</w:t>
            </w:r>
          </w:p>
        </w:tc>
      </w:tr>
      <w:tr>
        <w:trPr>
          <w:trHeight w:val="230"/>
        </w:trPr>
        <w:tc>
          <w:tcPr>
            <w:tcW w:w="7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r>
      <w:tr>
        <w:trPr>
          <w:trHeight w:val="230"/>
        </w:trPr>
        <w:tc>
          <w:tcPr>
            <w:tcW w:w="704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634</w:t>
            </w:r>
          </w:p>
        </w:tc>
      </w:tr>
      <w:tr>
        <w:trPr>
          <w:trHeight w:val="230"/>
        </w:trPr>
        <w:tc>
          <w:tcPr>
            <w:tcW w:w="7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and other current liabilities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7040" w:type="dxa"/>
            <w:vAlign w:val="bottom"/>
          </w:tcPr>
          <w:p>
            <w:pPr>
              <w:ind w:left="740"/>
              <w:spacing w:after="0"/>
              <w:rPr>
                <w:sz w:val="20"/>
                <w:szCs w:val="20"/>
                <w:color w:val="auto"/>
              </w:rPr>
            </w:pPr>
            <w:r>
              <w:rPr>
                <w:rFonts w:ascii="Arial" w:cs="Arial" w:eastAsia="Arial" w:hAnsi="Arial"/>
                <w:sz w:val="18"/>
                <w:szCs w:val="18"/>
                <w:color w:val="auto"/>
              </w:rPr>
              <w:t>Contract liabilities</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13,679</w:t>
            </w:r>
          </w:p>
        </w:tc>
      </w:tr>
      <w:tr>
        <w:trPr>
          <w:trHeight w:val="230"/>
        </w:trPr>
        <w:tc>
          <w:tcPr>
            <w:tcW w:w="7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long-term liabilities</w:t>
            </w:r>
          </w:p>
        </w:tc>
        <w:tc>
          <w:tcPr>
            <w:tcW w:w="8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7040" w:type="dxa"/>
            <w:vAlign w:val="bottom"/>
            <w:tcBorders>
              <w:bottom w:val="single" w:sz="8" w:color="CFF0FC"/>
            </w:tcBorders>
          </w:tcPr>
          <w:p>
            <w:pPr>
              <w:ind w:left="1480"/>
              <w:spacing w:after="0"/>
              <w:rPr>
                <w:sz w:val="20"/>
                <w:szCs w:val="20"/>
                <w:color w:val="auto"/>
              </w:rPr>
            </w:pPr>
            <w:r>
              <w:rPr>
                <w:rFonts w:ascii="Arial" w:cs="Arial" w:eastAsia="Arial" w:hAnsi="Arial"/>
                <w:sz w:val="18"/>
                <w:szCs w:val="18"/>
                <w:color w:val="auto"/>
              </w:rPr>
              <w:t>Net cash (used in) provided by operating activities</w:t>
            </w:r>
          </w:p>
        </w:tc>
        <w:tc>
          <w:tcPr>
            <w:tcW w:w="8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(10,836)</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2,800</w:t>
            </w: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30"/>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Purchase of property and equipment</w:t>
            </w:r>
          </w:p>
        </w:tc>
        <w:tc>
          <w:tcPr>
            <w:tcW w:w="8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w:t>
            </w:r>
          </w:p>
        </w:tc>
      </w:tr>
      <w:tr>
        <w:trPr>
          <w:trHeight w:val="223"/>
        </w:trPr>
        <w:tc>
          <w:tcPr>
            <w:tcW w:w="704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(5,237)</w:t>
            </w:r>
          </w:p>
        </w:tc>
      </w:tr>
      <w:tr>
        <w:trPr>
          <w:trHeight w:val="223"/>
        </w:trPr>
        <w:tc>
          <w:tcPr>
            <w:tcW w:w="70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initial public offering, net of underwriting discounts and commissions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w w:val="89"/>
              </w:rPr>
              <w:t>144,025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Payment of costs related to initial public offering</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(1,991)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borrowings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Payments of borrowing costs</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Repayments under borrowing arrangements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Proceeds from exercise of common stock warrants</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8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611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24</w:t>
            </w:r>
          </w:p>
        </w:tc>
      </w:tr>
      <w:tr>
        <w:trPr>
          <w:trHeight w:val="223"/>
        </w:trPr>
        <w:tc>
          <w:tcPr>
            <w:tcW w:w="7040" w:type="dxa"/>
            <w:vAlign w:val="bottom"/>
            <w:tcBorders>
              <w:bottom w:val="single" w:sz="8" w:color="CFF0FC"/>
            </w:tcBorders>
          </w:tcPr>
          <w:p>
            <w:pPr>
              <w:ind w:left="1480"/>
              <w:spacing w:after="0"/>
              <w:rPr>
                <w:sz w:val="20"/>
                <w:szCs w:val="20"/>
                <w:color w:val="auto"/>
              </w:rPr>
            </w:pPr>
            <w:r>
              <w:rPr>
                <w:rFonts w:ascii="Arial" w:cs="Arial" w:eastAsia="Arial" w:hAnsi="Arial"/>
                <w:sz w:val="18"/>
                <w:szCs w:val="18"/>
                <w:color w:val="auto"/>
              </w:rPr>
              <w:t>Net cash provided by (used in) financing activities</w:t>
            </w:r>
          </w:p>
        </w:tc>
        <w:tc>
          <w:tcPr>
            <w:tcW w:w="8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9"/>
              </w:rPr>
              <w:t>157,163</w:t>
            </w: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rates on cash flows and cash equivalents</w:t>
            </w:r>
          </w:p>
        </w:tc>
        <w:tc>
          <w:tcPr>
            <w:tcW w:w="8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w:t>
            </w: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143,525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(2,839)</w:t>
            </w: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8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19,744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22,617</w:t>
            </w:r>
          </w:p>
        </w:tc>
      </w:tr>
      <w:tr>
        <w:trPr>
          <w:trHeight w:val="223"/>
        </w:trPr>
        <w:tc>
          <w:tcPr>
            <w:tcW w:w="704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820" w:type="dxa"/>
            <w:vAlign w:val="bottom"/>
          </w:tcPr>
          <w:p>
            <w:pPr>
              <w:spacing w:after="0"/>
              <w:rPr>
                <w:sz w:val="19"/>
                <w:szCs w:val="19"/>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9"/>
              </w:rPr>
              <w:t>163,269</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19,778</w:t>
            </w:r>
          </w:p>
        </w:tc>
      </w:tr>
      <w:tr>
        <w:trPr>
          <w:trHeight w:val="20"/>
        </w:trPr>
        <w:tc>
          <w:tcPr>
            <w:tcW w:w="7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PERSONALIS,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Company and Nature of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98"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Personalis, Inc. (the “Company”) was incorporated in Delaware on February 21, 2011, and began operations in September 2011. The Company formed a wholly owned subsidiary, Personalis (UK) Ltd., in August 2013. The Company is a growing cancer genomics company transforming the development of next-generation therapies by providing more comprehensive molecular data about each patient’s cancer and immune response. The Company operates and manages its business as one reportable operating segment, which is the sale of sequencing and data analysis services.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185"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Company has incurred net operating losses and negative cash flows from operations every year. As of June 30, 2019, the Company had an accumulated deficit of $127.1 million.</w:t>
      </w:r>
    </w:p>
    <w:p>
      <w:pPr>
        <w:spacing w:after="0" w:line="143"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In June 2019, the Company completed an initial public offering (“IPO”) of its common stock and raised proceeds of $140.0 million, after deducting underwriting discounts, commissions and offering expenses. Management believes that these proceeds combined with existing sources of liquidity will be sufficient to fund operations for at least one year from the issuance of these unaudited condensed consolidated financial statements. However, there can be no assurance that additional financing will not be required or that the Company will be successful in raising additional capital on terms which are acceptable to the Company.</w:t>
      </w:r>
    </w:p>
    <w:p>
      <w:pPr>
        <w:spacing w:after="0" w:line="148"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If the Company requires but is unable to obtain additional funding, the Company could be required to modify, delay, or abandon some of its planned future expansion or expenditures or reduce some of its ongoing operating costs, which could harm its business, operating results, financial condition, and ability to achieve its intended business objectives.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Amended and Restated Certificate of Incorporation</w:t>
      </w:r>
    </w:p>
    <w:p>
      <w:pPr>
        <w:spacing w:after="0" w:line="198" w:lineRule="exact"/>
        <w:rPr>
          <w:sz w:val="20"/>
          <w:szCs w:val="20"/>
          <w:color w:val="auto"/>
        </w:rPr>
      </w:pPr>
    </w:p>
    <w:p>
      <w:pPr>
        <w:jc w:val="both"/>
        <w:ind w:right="20" w:firstLine="761"/>
        <w:spacing w:after="0" w:line="342" w:lineRule="auto"/>
        <w:rPr>
          <w:sz w:val="20"/>
          <w:szCs w:val="20"/>
          <w:color w:val="auto"/>
        </w:rPr>
      </w:pPr>
      <w:r>
        <w:rPr>
          <w:rFonts w:ascii="Arial" w:cs="Arial" w:eastAsia="Arial" w:hAnsi="Arial"/>
          <w:sz w:val="16"/>
          <w:szCs w:val="16"/>
          <w:color w:val="auto"/>
        </w:rPr>
        <w:t>An amended and restated certificate of incorporation, which authorized 200,000,000 shares of common stock and 10,000,000 shares of preferred stock became effective in June 2019 in connection with the closing of the Company’s IPO. As of June 30, 2019 no shares of preferred stock are outstanding.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(“U.S. GAAP”) and the applicable rules and regulations of the Securities and Exchange Commission (“SEC”) regarding interim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Company’s final prospectus filed with the SEC pursuant to Rule 424(b) under the Securities Act of 1933, as amended, on June 20, 2019 (the “Prospectus”).</w:t>
      </w:r>
    </w:p>
    <w:p>
      <w:pPr>
        <w:spacing w:after="0" w:line="138"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condensed consolidated balance sheet as of December 31, 2018 included herein was derived from the audited financial statements as of that date, but does not include all disclosures including notes required by U.S. GAAP.</w:t>
      </w:r>
    </w:p>
    <w:p>
      <w:pPr>
        <w:spacing w:after="0" w:line="130"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The condensed consolidated financial statements include the accounts of Personalis, Inc. and its wholly owned subsidiary, Personalis (UK) Ltd. All intercompany balances and transactions have been eliminated.</w:t>
      </w:r>
    </w:p>
    <w:p>
      <w:pPr>
        <w:spacing w:after="0" w:line="143" w:lineRule="exact"/>
        <w:rPr>
          <w:sz w:val="20"/>
          <w:szCs w:val="20"/>
          <w:color w:val="auto"/>
        </w:rPr>
      </w:pPr>
    </w:p>
    <w:p>
      <w:pPr>
        <w:jc w:val="both"/>
        <w:ind w:firstLine="761"/>
        <w:spacing w:after="0" w:line="308" w:lineRule="auto"/>
        <w:rPr>
          <w:sz w:val="20"/>
          <w:szCs w:val="20"/>
          <w:color w:val="auto"/>
        </w:rPr>
      </w:pPr>
      <w:r>
        <w:rPr>
          <w:rFonts w:ascii="Arial" w:cs="Arial" w:eastAsia="Arial" w:hAnsi="Arial"/>
          <w:sz w:val="17"/>
          <w:szCs w:val="17"/>
          <w:color w:val="auto"/>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2019.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 during the reporting period. The estimates include, but are not limited to, useful lives assigned to long-lived assets, the valuation of common and convertible redeemable preferred stock and related warrants and options, the valuation of the compound derivative instrument, the valuation of stock-based awards, and provisions for income taxes and contingencies. Actual results could differ from these estimates, and such differences could be material to the Company’s condensed consolidated financial position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85"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color w:val="auto"/>
        </w:rPr>
        <w:t>On June 4, 2019, the Company filed an amendment to the Company’s amended and restated certificate of incorporation to effect a reverse split of shares of the Company’s common stock and redeemable convertible preferred stock on a four-for-one basis (the “Reverse Stock Split”). The par value of the common stock and redeemable convertible preferred stock was not adjusted as a result of the Reverse Stock Split. All references to common stock, options to purchase common stock, share data, per share data, redeemable convertible preferred stock and related information contained in these consolidated financial statements have been retrospectively adjusted to reflect the effect of the Reverse Stock Split for all periods presented.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8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On June 20, 2019, the Company completed an IPO in which it issued and sold 9,109,725 shares of its common stock at a public offering price of $17.00 per share. The Company received net proceeds of $140.0 million after deducting underwriting discounts, commissions and offering expenses. A warrant to purchase 188,643 shares of our common stock was exercised prior to completion of the IPO. In addition, in connection with the IPO, all shares of the Company’s then-outstanding redeemable convertible preferred stock were automatically converted into 18,474,703 shares of the Company’s common stock, and all then-outstanding warrants to purchase the Company’s convertible preferred stock were automatically converted into warrants to purchase 84,585 shares of the Company’s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98"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Deferred offering costs consist of fees and expenses incurred in connection with the anticipated sale of the Company’s common stock in the IPO, including legal, accounting, printing and other IPO-related costs. In June 2019, upon completion of the IPO, the Company reclassified deferred offering costs of $4.0 million into additional paid-in capital as a reduction of the net proceeds received from the IPO. During the six months ended June 30, 2019, $2.0 million of the deferred offering costs were paid.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85"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Financial instruments that subject the Company to concentration of credit risk consist of cash and cash equivalents. The Company’s cash and cash equivalents are deposited with a high-quality financial institution. Deposits at this institution may, at times, exceed federally insured limits. Management believes that this financial institution is financially sound and, accordingly, that minimal credit risk exists. The Company has not experienced any losses on its deposits of cash and cash equivalents.</w:t>
      </w:r>
    </w:p>
    <w:p>
      <w:pPr>
        <w:spacing w:after="0" w:line="160"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spacing w:after="0" w:line="130"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Company routinely assesses the creditworthiness of its customers. The Company has not experienced any material losses related to receivables from individual customers, or groups of customers. The Company does not require collateral. Due to these factors, no additional credit risk is believed by management to be probable in the Company’s accounts receivable.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both"/>
        <w:ind w:firstLine="761"/>
        <w:spacing w:after="0" w:line="264" w:lineRule="auto"/>
        <w:rPr>
          <w:sz w:val="20"/>
          <w:szCs w:val="20"/>
          <w:color w:val="auto"/>
        </w:rPr>
      </w:pPr>
      <w:r>
        <w:rPr>
          <w:rFonts w:ascii="Arial" w:cs="Arial" w:eastAsia="Arial" w:hAnsi="Arial"/>
          <w:sz w:val="18"/>
          <w:szCs w:val="18"/>
          <w:color w:val="auto"/>
        </w:rPr>
        <w:t>Significant customers are those which represent more than 10% of the Company’s total revenue or accounts receivable balance at each respective condensed consolidated balance sheet date. For each significant customer, revenue as a percentage of total revenue and accounts receivable as a percentage of total accounts receivable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220" w:type="dxa"/>
            <w:vAlign w:val="bottom"/>
            <w:gridSpan w:val="4"/>
          </w:tcPr>
          <w:p>
            <w:pPr>
              <w:jc w:val="center"/>
              <w:ind w:left="188"/>
              <w:spacing w:after="0"/>
              <w:rPr>
                <w:sz w:val="20"/>
                <w:szCs w:val="20"/>
                <w:color w:val="auto"/>
              </w:rPr>
            </w:pPr>
            <w:r>
              <w:rPr>
                <w:rFonts w:ascii="Arial" w:cs="Arial" w:eastAsia="Arial" w:hAnsi="Arial"/>
                <w:sz w:val="14"/>
                <w:szCs w:val="14"/>
                <w:b w:val="1"/>
                <w:bCs w:val="1"/>
                <w:color w:val="auto"/>
                <w:w w:val="92"/>
              </w:rPr>
              <w:t>Revenue (unaudited)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80" w:type="dxa"/>
            <w:vAlign w:val="bottom"/>
            <w:gridSpan w:val="4"/>
          </w:tcPr>
          <w:p>
            <w:pPr>
              <w:ind w:left="600"/>
              <w:spacing w:after="0"/>
              <w:rPr>
                <w:sz w:val="20"/>
                <w:szCs w:val="20"/>
                <w:color w:val="auto"/>
              </w:rPr>
            </w:pPr>
            <w:r>
              <w:rPr>
                <w:rFonts w:ascii="Arial" w:cs="Arial" w:eastAsia="Arial" w:hAnsi="Arial"/>
                <w:sz w:val="14"/>
                <w:szCs w:val="14"/>
                <w:b w:val="1"/>
                <w:bCs w:val="1"/>
                <w:color w:val="auto"/>
              </w:rPr>
              <w:t>Revenue (unaudited)</w:t>
            </w:r>
          </w:p>
        </w:tc>
        <w:tc>
          <w:tcPr>
            <w:tcW w:w="2760" w:type="dxa"/>
            <w:vAlign w:val="bottom"/>
            <w:gridSpan w:val="3"/>
          </w:tcPr>
          <w:p>
            <w:pPr>
              <w:jc w:val="right"/>
              <w:ind w:right="752"/>
              <w:spacing w:after="0"/>
              <w:rPr>
                <w:sz w:val="20"/>
                <w:szCs w:val="20"/>
                <w:color w:val="auto"/>
              </w:rPr>
            </w:pPr>
            <w:r>
              <w:rPr>
                <w:rFonts w:ascii="Arial" w:cs="Arial" w:eastAsia="Arial" w:hAnsi="Arial"/>
                <w:sz w:val="14"/>
                <w:szCs w:val="14"/>
                <w:b w:val="1"/>
                <w:bCs w:val="1"/>
                <w:color w:val="auto"/>
              </w:rPr>
              <w:t>Accounts Receivable</w:t>
            </w:r>
          </w:p>
        </w:tc>
      </w:tr>
      <w:tr>
        <w:trPr>
          <w:trHeight w:val="156"/>
        </w:trPr>
        <w:tc>
          <w:tcPr>
            <w:tcW w:w="3100" w:type="dxa"/>
            <w:vAlign w:val="bottom"/>
          </w:tcPr>
          <w:p>
            <w:pPr>
              <w:spacing w:after="0"/>
              <w:rPr>
                <w:sz w:val="13"/>
                <w:szCs w:val="13"/>
                <w:color w:val="auto"/>
              </w:rPr>
            </w:pPr>
          </w:p>
        </w:tc>
        <w:tc>
          <w:tcPr>
            <w:tcW w:w="2220" w:type="dxa"/>
            <w:vAlign w:val="bottom"/>
            <w:tcBorders>
              <w:top w:val="single" w:sz="8" w:color="auto"/>
            </w:tcBorders>
            <w:gridSpan w:val="4"/>
          </w:tcPr>
          <w:p>
            <w:pPr>
              <w:jc w:val="center"/>
              <w:ind w:left="168"/>
              <w:spacing w:after="0" w:line="155" w:lineRule="exact"/>
              <w:rPr>
                <w:sz w:val="20"/>
                <w:szCs w:val="20"/>
                <w:color w:val="auto"/>
              </w:rPr>
            </w:pPr>
            <w:r>
              <w:rPr>
                <w:rFonts w:ascii="Arial" w:cs="Arial" w:eastAsia="Arial" w:hAnsi="Arial"/>
                <w:sz w:val="14"/>
                <w:szCs w:val="14"/>
                <w:b w:val="1"/>
                <w:bCs w:val="1"/>
                <w:color w:val="auto"/>
                <w:w w:val="93"/>
              </w:rPr>
              <w:t>Three Months Ended June 30</w:t>
            </w:r>
          </w:p>
        </w:tc>
        <w:tc>
          <w:tcPr>
            <w:tcW w:w="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tcBorders>
              <w:top w:val="single" w:sz="8" w:color="auto"/>
            </w:tcBorders>
            <w:gridSpan w:val="3"/>
          </w:tcPr>
          <w:p>
            <w:pPr>
              <w:jc w:val="right"/>
              <w:ind w:right="512"/>
              <w:spacing w:after="0" w:line="155" w:lineRule="exact"/>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3"/>
                <w:szCs w:val="13"/>
                <w:color w:val="auto"/>
              </w:rPr>
            </w:pPr>
          </w:p>
        </w:tc>
        <w:tc>
          <w:tcPr>
            <w:tcW w:w="142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June 30, 2019</w:t>
            </w:r>
          </w:p>
        </w:tc>
        <w:tc>
          <w:tcPr>
            <w:tcW w:w="1340" w:type="dxa"/>
            <w:vAlign w:val="bottom"/>
            <w:tcBorders>
              <w:top w:val="single" w:sz="8" w:color="auto"/>
            </w:tcBorders>
          </w:tcPr>
          <w:p>
            <w:pPr>
              <w:jc w:val="right"/>
              <w:ind w:right="92"/>
              <w:spacing w:after="0" w:line="155" w:lineRule="exact"/>
              <w:rPr>
                <w:sz w:val="20"/>
                <w:szCs w:val="20"/>
                <w:color w:val="auto"/>
              </w:rPr>
            </w:pPr>
            <w:r>
              <w:rPr>
                <w:rFonts w:ascii="Arial" w:cs="Arial" w:eastAsia="Arial" w:hAnsi="Arial"/>
                <w:sz w:val="14"/>
                <w:szCs w:val="14"/>
                <w:b w:val="1"/>
                <w:bCs w:val="1"/>
                <w:color w:val="auto"/>
                <w:w w:val="90"/>
              </w:rPr>
              <w:t>December 31, 2018</w:t>
            </w:r>
          </w:p>
        </w:tc>
      </w:tr>
      <w:tr>
        <w:trPr>
          <w:trHeight w:val="156"/>
        </w:trPr>
        <w:tc>
          <w:tcPr>
            <w:tcW w:w="3100" w:type="dxa"/>
            <w:vAlign w:val="bottom"/>
          </w:tcPr>
          <w:p>
            <w:pPr>
              <w:spacing w:after="0"/>
              <w:rPr>
                <w:sz w:val="13"/>
                <w:szCs w:val="13"/>
                <w:color w:val="auto"/>
              </w:rPr>
            </w:pPr>
          </w:p>
        </w:tc>
        <w:tc>
          <w:tcPr>
            <w:tcW w:w="80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2019</w:t>
            </w:r>
          </w:p>
        </w:tc>
        <w:tc>
          <w:tcPr>
            <w:tcW w:w="1420" w:type="dxa"/>
            <w:vAlign w:val="bottom"/>
            <w:tcBorders>
              <w:top w:val="single" w:sz="8" w:color="auto"/>
            </w:tcBorders>
            <w:gridSpan w:val="3"/>
          </w:tcPr>
          <w:p>
            <w:pPr>
              <w:jc w:val="right"/>
              <w:ind w:right="140"/>
              <w:spacing w:after="0" w:line="155"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Borders>
              <w:top w:val="single" w:sz="8" w:color="auto"/>
            </w:tcBorders>
          </w:tcPr>
          <w:p>
            <w:pPr>
              <w:jc w:val="right"/>
              <w:ind w:right="51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300" w:type="dxa"/>
            <w:vAlign w:val="bottom"/>
            <w:tcBorders>
              <w:top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r>
      <w:tr>
        <w:trPr>
          <w:trHeight w:val="223"/>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VA MVP</w:t>
            </w:r>
          </w:p>
        </w:tc>
        <w:tc>
          <w:tcPr>
            <w:tcW w:w="80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CFF0FC"/>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ind w:right="92"/>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Merck &amp; Co., Inc.</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Pfizer Inc.</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Customer D</w:t>
            </w: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E</w:t>
            </w:r>
          </w:p>
        </w:tc>
        <w:tc>
          <w:tcPr>
            <w:tcW w:w="48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Customer F</w:t>
            </w:r>
          </w:p>
        </w:tc>
        <w:tc>
          <w:tcPr>
            <w:tcW w:w="4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39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G</w:t>
            </w:r>
          </w:p>
        </w:tc>
        <w:tc>
          <w:tcPr>
            <w:tcW w:w="480" w:type="dxa"/>
            <w:vAlign w:val="bottom"/>
            <w:shd w:val="clear" w:color="auto" w:fill="CFF0FC"/>
          </w:tcPr>
          <w:p>
            <w:pPr>
              <w:jc w:val="right"/>
              <w:ind w:right="11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9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r>
    </w:tbl>
    <w:p>
      <w:pPr>
        <w:spacing w:after="0" w:line="170"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Less than 10% of revenue or accounts receivable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The Company applies the revenue recognition guidance in accordance with Financial Accounting Standards Board (“FASB”) Accounting Standards Codification (“ASC”) Topic 606, Revenue from Contracts with Customers (“Topic 606”).</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Revenue Recognition</w:t>
      </w:r>
    </w:p>
    <w:p>
      <w:pPr>
        <w:spacing w:after="0" w:line="198"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The revenue guidance provides a five-step framework through which revenue is recognized when control of promised goods or services is transferred to a customer at an amount that reflects the consideration to which the entity expects to be entitled in exchange for those goods or services. To determine revenue recognition for arrangements that the Company concludes are within the scope of the new revenue recognition standard, management performs the following five steps: (i) identifies the contract(s) with a customer; (ii) identifies the performance obligations in the contract(s); (iii) determines the transaction price, including whether there are any constraints on variable consideration; (iv) allocates the transaction price to the performance obligations; and (v) recognizes revenue when (or as) the Company satisfies a performance obligation. At contract inception, once a contract is determined to be within the scope of the new revenue standard, the Company assesses whether individual goods or services promised within each contract are distinct and, therefore, represent separate performance obligation.</w:t>
      </w:r>
    </w:p>
    <w:p>
      <w:pPr>
        <w:spacing w:after="0" w:line="152"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The Company derives revenues from sequencing and data analysis services to support the development of personalized cancer vaccines and other next-generation cancer immunotherapies. The Company’s contracts are in the form of a combination of signed agreements, statements of work, and/or purchase orders. Under ASC Topic 606, the Company accounts for a contract with a customer when there is approval and commitment from both parties, the rights of the parties are identified, payment terms are identified, the contract has commercial substance, and it is probable that the Company will collect substantially all of the consideration to which it will be entitled.</w:t>
      </w:r>
    </w:p>
    <w:p>
      <w:pPr>
        <w:spacing w:after="0" w:line="148"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 sequencing and data analysis services are the only distinct services that meet the definition of a performance obligation and are accounted for as one performance obligation under ASC Topic 606. The Company recognizes revenue from such services at the point in time when control of the test results is transferred to the customer. The Company has elected to exclude all sales and value added taxes from the measurement of the transaction price. Sequencing and data analysis services are based on a fixed price per test.</w:t>
      </w:r>
    </w:p>
    <w:p>
      <w:pPr>
        <w:spacing w:after="0" w:line="160"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Payment terms and conditions vary by contract and customer. The Company’s standard payment terms are less than 90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 The Company assessed each of its revenue-generating arrangements in order to determine whether a significant financing component exists and concluded that a significant financing component does not exist in any of its arrangements. The primary purpose of the Company’s invoicing terms is to provide customers with simplified and predictable ways of purchasing the Company’s services and provides payment protection for the Company.</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8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As a practical expedient, the Company recognizes the incremental costs of obtaining contracts, such as sales commissions, as an expense when incurred since the amortization period of the asset the Company otherwise would have recognized is one year or less. Sales commissions are recorded within selling, general, and administrative expenses in the consolidated statements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98"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 Company’s costs of revenues primarily consist of production materials, personnel costs (e.g., salaries, bonuses, benefit, and stock-based compensation), cost of expensed equipment, consumables and laboratory supplies, information technology (“IT”) and facility costs, and depreciation and service maintenance contracts on capitalized equipment.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85"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6"/>
          <w:szCs w:val="16"/>
          <w:color w:val="auto"/>
        </w:rPr>
        <w:t>Basic net loss per common share is calculated by dividing the net loss attributable to common stockholders by the weighted-average number of shares of common stock outstanding during the period, without consideration of potentially dilutive securities. Diluted net loss per share is computed by dividing the net loss attributable to common stockholders by the weighted-average number of shares of common stock and potentially dilutive securities outstanding for the period. For purposes of the diluted net loss per share calculation, the redeemable convertible preferred stock, convertible preferred stock warrants, common stock warrants, common stock subject to repurchase, and stock options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The Company’s participating securities do not have a contractual obligation to share in the Company’s losses. As such, the net loss is attributed entirely to common stockholders. Because the Company has reported a net loss for the reporting periods presented, the diluted net loss per common share is the same as basic net loss per common share for those periods.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85"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In May 2014, the FASB issued Accounting Standard Update (“ASU”) No. 2014-09, Revenue from Contracts with Customers (Topic 606) (“ASU No. 2014-09”). Subsequently, the FASB also issued ASU No. 2015-14, Revenue from Contracts with Customers (Topic 606), which adjusted the effective date of ASU No. 2014-09; ASU No. 2016-08, Revenue from Contracts with Customers (Topic 606): Principal versus Agent Considerations (Reporting Revenue Gross versus Net), which amends the principal-versus-agent implementation guidance and illustrations in ASU No. 2014-09; ASU No. 2016-10, Revenue from Contracts with Customers (Topic 606): Identifying Performance Obligations and Licensing, which clarifies identifying performance obligation and licensing implementation guidance and illustrations in ASU No. 2014-09; and ASU No. 2016-12, Revenue from Contracts with Customers (Topic 606): Narrow-Scope Improvements and Practical Expedients, which addresses implementation issues and is intended to reduce the cost and complexity of applying the new revenue standard in ASU No. 2014-09 (collectively, the “Revenue ASUs”).</w:t>
      </w:r>
    </w:p>
    <w:p>
      <w:pPr>
        <w:spacing w:after="0" w:line="152"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The Revenue ASUs provide an accounting standard for a single comprehensive model for use in accounting for revenue arising from contracts with customers and supersedes most current revenue recognition guidance. The accounting standard is effective for interim and annual periods beginning after December 15, 2017.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The Company performed a detailed review of its revenue agreements and assessed the differences in accounting for such contracts under this guidance compared with previous revenue accounting standards. On January 1, 2017, the Company early adopted ASU No. 2014-09 using the full retrospective method. The adoption of this standard did not have a material impact on the Company’s consolidated financial statements. Results for all periods presented are under ASC Topic 606.</w:t>
      </w:r>
    </w:p>
    <w:p>
      <w:pPr>
        <w:spacing w:after="0" w:line="152"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color w:val="auto"/>
        </w:rPr>
        <w:t>In June 2018, the FASB issued ASU No. 2018-07, Improvements to Nonemployee Share-Based Payment Accounting (“ASU No. 2018-07”). ASU No. 2018-07 simplifies the accounting for share-based payments to nonemployees by aligning it with the accounting for share-based payments to employees, with certain exceptions. For all entities, the amendments are effective for annual periods beginning after December 15, 2019, and interim periods within annual periods beginning after December 15, 2020. Early adoption is permitted for any entity in any interim or annual period for which consolidated financial statements have not been issued or made available for issuance, but not before an entity adopts ASC Topic 606. The Company early adopted this guidance on January 1, 2017, which did not result in a material impact on its consolidated financial statements and related disclosures.</w:t>
      </w:r>
    </w:p>
    <w:p>
      <w:pPr>
        <w:spacing w:after="0" w:line="124"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In February 2016, the FASB issued ASU No. 2016-02, Leases (Topic 842) (“ASU No. 2016-02”). In July 2018, the FASB issued ASU No. 2018-10, Codification Improvements to Topic 842, Leases, which provides clarification to ASU 2016-02. These ASUs (collectively, the “new lease standard”) require an entity to recognize a lease liability and a right-of-use (“ROU”) asset on the balance sheet for leases with lease terms of more than twelve months. Lessor accounting is largely unchanged, while lessees will no longer be provided with a source of off-balance sheet financing. This guidance is effective for fiscal years beginning after December 15, 2018, including interim periods within those fiscal years. In July 2018, the FASB issued ASU No. 2018-11, Leases (Topic 842)—Targeted Improvements, which allows entities to elect a modified retrospective transition method where entities may continue to apply the existing lease guidance during the comparative periods and apply the new lease requirements through a cumulative effect adjustment in the period of adoptions rather than in the earliest period presented.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both"/>
        <w:ind w:firstLine="761"/>
        <w:spacing w:after="0" w:line="270" w:lineRule="auto"/>
        <w:rPr>
          <w:sz w:val="20"/>
          <w:szCs w:val="20"/>
          <w:color w:val="auto"/>
        </w:rPr>
      </w:pPr>
      <w:r>
        <w:rPr>
          <w:rFonts w:ascii="Arial" w:cs="Arial" w:eastAsia="Arial" w:hAnsi="Arial"/>
          <w:sz w:val="17"/>
          <w:szCs w:val="17"/>
          <w:color w:val="auto"/>
        </w:rPr>
        <w:t>On January 1, 2019, the Company adopted ASU No. 2016-02, Leases (Topic 842), and its associated amendments using the modified retrospective transition method by applying the new standard to all leases existing at the date of initial application and not restating comparative periods. There was no cumulative-effect adjustment recorded to retained earnings upon adoption. Under the standard, a lessee is required to recognize a lease liability and ROU asset for all leases. The new guidance also modified the classification criteria and requires additional disclosures to enable users of financial statements to understand the amount, timing, and uncertainty of cash flows arising from leases. Consistent with current guidance, a lessee’s recognition, measurement, and presentation of expenses and cash flows arising from a lease continues to depend primarily on its classification. The Company elected the package of practical expedients permitted under the transition guidance, which allowed the Company to carryforward its historical lease classification, its assessment on whether a contract was or contains a lease, and its initial direct costs for any leases that existed prior to January 1, 2019. In addition, the Company elected the short-term lease exception as a practical expedient.</w:t>
      </w:r>
    </w:p>
    <w:p>
      <w:pPr>
        <w:spacing w:after="0" w:line="15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At the date of adoption, the Company derecognized a deferred rent liability in the amount of $0.3 million, and recognized a ROU asset and respective lease liability in the amount of $1.7 million and $2.0 million, respectively. As of June 30, 2019, lease liabilities in the amount of $1.0 million and $0.5 million are included in “Accrued and other current liabilities” and “Other long-term liabilities,”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 Not Yet Adopted</w:t>
      </w:r>
    </w:p>
    <w:p>
      <w:pPr>
        <w:spacing w:after="0" w:line="185"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which amends the impairment model by requiring entities to use a forward-looking approach based on expected losses to estimate credit losses on certain types of financial instruments, including trade receivables and available-for-sale debt securities. The guidance is effective for the Company beginning in the first quarter of 2020. Early adoption beginning January 1, 2019 is permitted. The Company is currently evaluating the impact of the new guidance on its condensed consolidated financial statements and related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85"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The Company is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The Company has irrevocably elected not to avail itself of this exemption from new or revised accounting standards, and therefore, the Company will be subject to the same new or revised accounting standards as other public companies that are not emerging growth companies.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the Company’s revenues disaggregated by customer type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242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9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7"/>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VA MVP</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8,536</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3,976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16,879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5,952</w:t>
            </w: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 other customers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7,289</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4,823</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13,021</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7,011</w:t>
            </w: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15,825</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8,799</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29,900</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12,963</w:t>
            </w: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761"/>
        <w:spacing w:after="0" w:line="342" w:lineRule="auto"/>
        <w:rPr>
          <w:sz w:val="20"/>
          <w:szCs w:val="20"/>
          <w:color w:val="auto"/>
        </w:rPr>
      </w:pPr>
      <w:r>
        <w:rPr>
          <w:rFonts w:ascii="Arial" w:cs="Arial" w:eastAsia="Arial" w:hAnsi="Arial"/>
          <w:sz w:val="16"/>
          <w:szCs w:val="16"/>
          <w:color w:val="auto"/>
        </w:rPr>
        <w:t>Countries outside of the United States, based on the billing addresses of customers, represented less than 1% and 4% of the Company’s revenues for the three months ended June 30, 2019 and 2018, respectively, and less than 2% and 4% for the six months ended June 30, 2019 and 2018, respectively.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had no contract assets as of June 30, 2019 and December 31, 2018, respectively.</w:t>
      </w:r>
    </w:p>
    <w:p>
      <w:pPr>
        <w:spacing w:after="0" w:line="198"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Company’s contract liabilities consist of customer deposits in excess of revenues recognized and are presented as current liabilities in the condensed consolidated balance sheets.</w:t>
      </w:r>
    </w:p>
    <w:p>
      <w:pPr>
        <w:spacing w:after="0" w:line="130"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The balance of contract liabilities was $41.9 million and $42.9 million as of June 30, 2019 and December 31, 2018, respectively. Contract liabilities of $8.4 million and $0.5 million were recognized in revenues during the three months ended June 30, 2019 and 2018, respectively. Contract liabilities of $16.1 million and $2.0 million were recognized in revenues during the six months ended June 30, 2019 and 2018,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both"/>
        <w:ind w:right="20" w:firstLine="761"/>
        <w:spacing w:after="0" w:line="277" w:lineRule="auto"/>
        <w:rPr>
          <w:sz w:val="20"/>
          <w:szCs w:val="20"/>
          <w:color w:val="auto"/>
        </w:rPr>
      </w:pPr>
      <w:r>
        <w:rPr>
          <w:rFonts w:ascii="Arial" w:cs="Arial" w:eastAsia="Arial" w:hAnsi="Arial"/>
          <w:sz w:val="18"/>
          <w:szCs w:val="18"/>
          <w:color w:val="auto"/>
        </w:rPr>
        <w:t>As of December 31, 2018, the remaining performance obligations under contracts for which revenues are expected to be recognized over a period of more than one year is $73.0 million. Management expects to recognize such revenues over a three-year period.</w:t>
      </w:r>
    </w:p>
    <w:p>
      <w:pPr>
        <w:spacing w:after="0" w:line="143"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As of June 30, 2019, the remaining performance obligations under contracts for which revenues are expected to be recognized over a period of more than one year is $57.4 million. Management expects to recognize such revenues over a two-year period.</w:t>
      </w:r>
    </w:p>
    <w:p>
      <w:pPr>
        <w:spacing w:after="0" w:line="130"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The Company does not disclose remaining performance obligations under its other contracts since contract terms are less than one year and are recognized over a term of less than 12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Details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Inventory and other deferred costs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417"/>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00" w:type="dxa"/>
            <w:vAlign w:val="bottom"/>
          </w:tcPr>
          <w:p>
            <w:pPr>
              <w:spacing w:after="0"/>
              <w:rPr>
                <w:sz w:val="14"/>
                <w:szCs w:val="14"/>
                <w:color w:val="auto"/>
              </w:rPr>
            </w:pPr>
          </w:p>
        </w:tc>
        <w:tc>
          <w:tcPr>
            <w:tcW w:w="346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jc w:val="right"/>
              <w:ind w:right="697"/>
              <w:spacing w:after="0"/>
              <w:rPr>
                <w:sz w:val="20"/>
                <w:szCs w:val="20"/>
                <w:color w:val="auto"/>
              </w:rPr>
            </w:pPr>
            <w:r>
              <w:rPr>
                <w:rFonts w:ascii="Arial" w:cs="Arial" w:eastAsia="Arial" w:hAnsi="Arial"/>
                <w:sz w:val="14"/>
                <w:szCs w:val="14"/>
                <w:b w:val="1"/>
                <w:bCs w:val="1"/>
                <w:color w:val="auto"/>
              </w:rPr>
              <w:t>2018</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3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1,625</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2,134</w:t>
            </w:r>
          </w:p>
        </w:tc>
      </w:tr>
      <w:tr>
        <w:trPr>
          <w:trHeight w:val="230"/>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deferred costs</w:t>
            </w:r>
          </w:p>
        </w:tc>
        <w:tc>
          <w:tcPr>
            <w:tcW w:w="23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1,913</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1,298</w:t>
            </w:r>
          </w:p>
        </w:tc>
      </w:tr>
      <w:tr>
        <w:trPr>
          <w:trHeight w:val="223"/>
        </w:trPr>
        <w:tc>
          <w:tcPr>
            <w:tcW w:w="55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inventory and other deferred costs</w:t>
            </w:r>
          </w:p>
        </w:tc>
        <w:tc>
          <w:tcPr>
            <w:tcW w:w="23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3,538</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3,432</w:t>
            </w:r>
          </w:p>
        </w:tc>
      </w:tr>
      <w:tr>
        <w:trPr>
          <w:trHeight w:val="20"/>
        </w:trPr>
        <w:tc>
          <w:tcPr>
            <w:tcW w:w="5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Depreciation and amortization expense for the three months ended June 30, 2019 and 2018 was $1.1 million and $0.7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respectively, and for the six months ended June 30, 2019 and 2018 was $2.2 million and $1.2 million, respectively.</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414"/>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40" w:type="dxa"/>
            <w:vAlign w:val="bottom"/>
          </w:tcPr>
          <w:p>
            <w:pPr>
              <w:spacing w:after="0"/>
              <w:rPr>
                <w:sz w:val="14"/>
                <w:szCs w:val="14"/>
                <w:color w:val="auto"/>
              </w:rPr>
            </w:pPr>
          </w:p>
        </w:tc>
        <w:tc>
          <w:tcPr>
            <w:tcW w:w="342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jc w:val="right"/>
              <w:ind w:right="694"/>
              <w:spacing w:after="0"/>
              <w:rPr>
                <w:sz w:val="20"/>
                <w:szCs w:val="20"/>
                <w:color w:val="auto"/>
              </w:rPr>
            </w:pPr>
            <w:r>
              <w:rPr>
                <w:rFonts w:ascii="Arial" w:cs="Arial" w:eastAsia="Arial" w:hAnsi="Arial"/>
                <w:sz w:val="14"/>
                <w:szCs w:val="14"/>
                <w:b w:val="1"/>
                <w:bCs w:val="1"/>
                <w:color w:val="auto"/>
              </w:rPr>
              <w:t>2018</w:t>
            </w:r>
          </w:p>
        </w:tc>
      </w:tr>
      <w:tr>
        <w:trPr>
          <w:trHeight w:val="223"/>
        </w:trPr>
        <w:tc>
          <w:tcPr>
            <w:tcW w:w="5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23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7"/>
              </w:rPr>
              <w:t>2,457</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2,843</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Operating lease right-of-use liabilities</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1,030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w:t>
            </w: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Accrued taxes</w:t>
            </w:r>
          </w:p>
        </w:tc>
        <w:tc>
          <w:tcPr>
            <w:tcW w:w="2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181</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Accrued interest</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207</w:t>
            </w: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Deferred rent</w:t>
            </w:r>
          </w:p>
        </w:tc>
        <w:tc>
          <w:tcPr>
            <w:tcW w:w="2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99</w:t>
            </w: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Accrued liabilities</w:t>
            </w:r>
          </w:p>
        </w:tc>
        <w:tc>
          <w:tcPr>
            <w:tcW w:w="2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ind w:right="54"/>
              <w:spacing w:after="0"/>
              <w:rPr>
                <w:sz w:val="20"/>
                <w:szCs w:val="20"/>
                <w:color w:val="auto"/>
              </w:rPr>
            </w:pPr>
            <w:r>
              <w:rPr>
                <w:rFonts w:ascii="Arial" w:cs="Arial" w:eastAsia="Arial" w:hAnsi="Arial"/>
                <w:sz w:val="18"/>
                <w:szCs w:val="18"/>
                <w:color w:val="auto"/>
              </w:rPr>
              <w:t>59</w:t>
            </w:r>
          </w:p>
        </w:tc>
      </w:tr>
      <w:tr>
        <w:trPr>
          <w:trHeight w:val="230"/>
        </w:trPr>
        <w:tc>
          <w:tcPr>
            <w:tcW w:w="554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revenues</w:t>
            </w:r>
          </w:p>
        </w:tc>
        <w:tc>
          <w:tcPr>
            <w:tcW w:w="232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3</w:t>
            </w:r>
          </w:p>
        </w:tc>
      </w:tr>
      <w:tr>
        <w:trPr>
          <w:trHeight w:val="223"/>
        </w:trPr>
        <w:tc>
          <w:tcPr>
            <w:tcW w:w="5540" w:type="dxa"/>
            <w:vAlign w:val="bottom"/>
          </w:tcPr>
          <w:p>
            <w:pPr>
              <w:ind w:left="260"/>
              <w:spacing w:after="0"/>
              <w:rPr>
                <w:sz w:val="20"/>
                <w:szCs w:val="20"/>
                <w:color w:val="auto"/>
              </w:rPr>
            </w:pPr>
            <w:r>
              <w:rPr>
                <w:rFonts w:ascii="Arial" w:cs="Arial" w:eastAsia="Arial" w:hAnsi="Arial"/>
                <w:sz w:val="18"/>
                <w:szCs w:val="18"/>
                <w:color w:val="auto"/>
              </w:rPr>
              <w:t>Total accrued and other current liabilities</w:t>
            </w:r>
          </w:p>
        </w:tc>
        <w:tc>
          <w:tcPr>
            <w:tcW w:w="2320" w:type="dxa"/>
            <w:vAlign w:val="bottom"/>
          </w:tcPr>
          <w:p>
            <w:pPr>
              <w:spacing w:after="0"/>
              <w:rPr>
                <w:sz w:val="19"/>
                <w:szCs w:val="19"/>
                <w:color w:val="auto"/>
              </w:rPr>
            </w:pPr>
          </w:p>
        </w:tc>
        <w:tc>
          <w:tcPr>
            <w:tcW w:w="1100" w:type="dxa"/>
            <w:vAlign w:val="bottom"/>
            <w:tcBorders>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4,676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3,392</w:t>
            </w:r>
          </w:p>
        </w:tc>
      </w:tr>
      <w:tr>
        <w:trPr>
          <w:trHeight w:val="20"/>
        </w:trPr>
        <w:tc>
          <w:tcPr>
            <w:tcW w:w="5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189"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Financial assets and liabilities are recorded at fair value. Fair value is defined as the price that would be received to sell an asset or paid to transfer a liability (an exit price) in an orderly transaction between market participants at the reporting date. The authoritative guidance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three-level hierarchy for the inputs to valuation techniques is briefly summarized as follows:</w:t>
      </w:r>
    </w:p>
    <w:p>
      <w:pPr>
        <w:spacing w:after="0" w:line="18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Level 1 — Unadjusted quoted prices in active markets that are accessible to the reporting entity at the measurement date for identical assets and liabilities.</w:t>
      </w:r>
    </w:p>
    <w:p>
      <w:pPr>
        <w:spacing w:after="0" w:line="130"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143" w:lineRule="exact"/>
        <w:rPr>
          <w:sz w:val="20"/>
          <w:szCs w:val="20"/>
          <w:color w:val="auto"/>
        </w:rPr>
      </w:pPr>
    </w:p>
    <w:p>
      <w:pPr>
        <w:ind w:left="1280" w:hanging="516"/>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similar assets and liabilities in active markets</w:t>
      </w:r>
    </w:p>
    <w:p>
      <w:pPr>
        <w:spacing w:after="0" w:line="184" w:lineRule="exact"/>
        <w:rPr>
          <w:rFonts w:ascii="Arial" w:cs="Arial" w:eastAsia="Arial" w:hAnsi="Arial"/>
          <w:sz w:val="18"/>
          <w:szCs w:val="18"/>
          <w:color w:val="auto"/>
        </w:rPr>
      </w:pPr>
    </w:p>
    <w:p>
      <w:pPr>
        <w:ind w:left="5620" w:right="3980" w:hanging="4856"/>
        <w:spacing w:after="0" w:line="512" w:lineRule="auto"/>
        <w:tabs>
          <w:tab w:leader="none" w:pos="1274"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ind w:left="1280" w:right="20" w:hanging="516"/>
        <w:spacing w:after="0" w:line="277" w:lineRule="auto"/>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Observable inputs other than quoted prices that are used in the valuation of the asset or liabilities (e.g., interest rate and yield curve quotes at commonly quoted intervals)</w:t>
      </w:r>
    </w:p>
    <w:p>
      <w:pPr>
        <w:spacing w:after="0" w:line="129" w:lineRule="exact"/>
        <w:rPr>
          <w:rFonts w:ascii="Arial" w:cs="Arial" w:eastAsia="Arial" w:hAnsi="Arial"/>
          <w:sz w:val="18"/>
          <w:szCs w:val="18"/>
          <w:color w:val="auto"/>
        </w:rPr>
      </w:pPr>
    </w:p>
    <w:p>
      <w:pPr>
        <w:ind w:left="1280" w:hanging="516"/>
        <w:spacing w:after="0"/>
        <w:tabs>
          <w:tab w:leader="none" w:pos="1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w:t>
      </w:r>
    </w:p>
    <w:p>
      <w:pPr>
        <w:spacing w:after="0" w:line="185" w:lineRule="exact"/>
        <w:rPr>
          <w:sz w:val="20"/>
          <w:szCs w:val="20"/>
          <w:color w:val="auto"/>
        </w:rPr>
      </w:pPr>
    </w:p>
    <w:p>
      <w:pPr>
        <w:ind w:left="760" w:right="20"/>
        <w:spacing w:after="0" w:line="308" w:lineRule="auto"/>
        <w:rPr>
          <w:sz w:val="20"/>
          <w:szCs w:val="20"/>
          <w:color w:val="auto"/>
        </w:rPr>
      </w:pPr>
      <w:r>
        <w:rPr>
          <w:rFonts w:ascii="Arial" w:cs="Arial" w:eastAsia="Arial" w:hAnsi="Arial"/>
          <w:sz w:val="17"/>
          <w:szCs w:val="17"/>
          <w:color w:val="auto"/>
        </w:rPr>
        <w:t>Level 3 — Unobservable inputs for the assets or liabilities (i.e., supported by little or no market activity). Level 3 inputs include management’s own assumptions about the assumptions that market participants would use in pricing the asset or liability (including assumptions about risk).</w:t>
      </w:r>
    </w:p>
    <w:p>
      <w:pPr>
        <w:spacing w:after="0" w:line="120"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This hierarchy requires the Company to use observable market data, when available, and to minimize the use of unobservable inputs when determining fair value.</w:t>
      </w:r>
    </w:p>
    <w:p>
      <w:pPr>
        <w:spacing w:after="0" w:line="130"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The following table represents the fair value hierarchy for the Company’s financial assets and financial liabilities measured at fair value on a recurring basis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center"/>
              <w:ind w:left="37"/>
              <w:spacing w:after="0"/>
              <w:rPr>
                <w:sz w:val="20"/>
                <w:szCs w:val="20"/>
                <w:color w:val="auto"/>
              </w:rPr>
            </w:pPr>
            <w:r>
              <w:rPr>
                <w:rFonts w:ascii="Arial" w:cs="Arial" w:eastAsia="Arial" w:hAnsi="Arial"/>
                <w:sz w:val="14"/>
                <w:szCs w:val="14"/>
                <w:b w:val="1"/>
                <w:bCs w:val="1"/>
                <w:color w:val="auto"/>
                <w:w w:val="90"/>
              </w:rPr>
              <w:t>As of June 30, 2019</w:t>
            </w: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160,352</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160,352</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 measured at fair value</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160,352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160,352</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left="17"/>
              <w:spacing w:after="0"/>
              <w:rPr>
                <w:sz w:val="20"/>
                <w:szCs w:val="20"/>
                <w:color w:val="auto"/>
              </w:rPr>
            </w:pPr>
            <w:r>
              <w:rPr>
                <w:rFonts w:ascii="Arial" w:cs="Arial" w:eastAsia="Arial" w:hAnsi="Arial"/>
                <w:sz w:val="14"/>
                <w:szCs w:val="14"/>
                <w:b w:val="1"/>
                <w:bCs w:val="1"/>
                <w:color w:val="auto"/>
                <w:w w:val="92"/>
              </w:rPr>
              <w:t>As of December 31, 2018</w:t>
            </w: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1180" w:type="dxa"/>
            <w:vAlign w:val="bottom"/>
            <w:gridSpan w:val="2"/>
          </w:tcPr>
          <w:p>
            <w:pPr>
              <w:ind w:left="140"/>
              <w:spacing w:after="0" w:line="155" w:lineRule="exact"/>
              <w:rPr>
                <w:sz w:val="20"/>
                <w:szCs w:val="20"/>
                <w:color w:val="auto"/>
              </w:rPr>
            </w:pPr>
            <w:r>
              <w:rPr>
                <w:rFonts w:ascii="Arial" w:cs="Arial" w:eastAsia="Arial" w:hAnsi="Arial"/>
                <w:sz w:val="14"/>
                <w:szCs w:val="14"/>
                <w:b w:val="1"/>
                <w:bCs w:val="1"/>
                <w:color w:val="auto"/>
              </w:rPr>
              <w:t>Level 2</w:t>
            </w: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454"/>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18,142</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654"/>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18,142</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assets measured at fair value</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18,142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18,142</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warrants liability</w:t>
            </w: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654"/>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683</w:t>
            </w:r>
          </w:p>
        </w:tc>
        <w:tc>
          <w:tcPr>
            <w:tcW w:w="38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 liabilities measured at fair value</w:t>
            </w: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683</w:t>
            </w:r>
          </w:p>
        </w:tc>
        <w:tc>
          <w:tcPr>
            <w:tcW w:w="160" w:type="dxa"/>
            <w:vAlign w:val="bottom"/>
            <w:gridSpan w:val="2"/>
          </w:tcPr>
          <w:p>
            <w:pPr>
              <w:spacing w:after="0"/>
              <w:rPr>
                <w:sz w:val="19"/>
                <w:szCs w:val="19"/>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761"/>
        <w:spacing w:after="0" w:line="257" w:lineRule="auto"/>
        <w:rPr>
          <w:sz w:val="20"/>
          <w:szCs w:val="20"/>
          <w:color w:val="auto"/>
        </w:rPr>
      </w:pPr>
      <w:r>
        <w:rPr>
          <w:rFonts w:ascii="Arial" w:cs="Arial" w:eastAsia="Arial" w:hAnsi="Arial"/>
          <w:sz w:val="18"/>
          <w:szCs w:val="18"/>
          <w:color w:val="auto"/>
        </w:rPr>
        <w:t>The Black-Scholes option-pricing model was used to estimate the fair value of the convertible preferred stock warrants at the date of issuance and at each subsequent consolidated balance sheet date. The fair value of the convertible preferred stock warrants was also estimated at the time of conversion to common stock warrants (see Note 10). Under this option-pricing model, convertible preferred stock warrants were valued by creating a series of call options with exercise prices based on the liquidation preferences and conversion terms of each equity class. The values of the redeemable convertible preferred stock and common stock are inferred by analyzing these options.</w:t>
      </w:r>
    </w:p>
    <w:p>
      <w:pPr>
        <w:spacing w:after="0" w:line="148" w:lineRule="exact"/>
        <w:rPr>
          <w:sz w:val="20"/>
          <w:szCs w:val="20"/>
          <w:color w:val="auto"/>
        </w:rPr>
      </w:pPr>
    </w:p>
    <w:p>
      <w:pPr>
        <w:jc w:val="both"/>
        <w:ind w:right="20" w:firstLine="761"/>
        <w:spacing w:after="0" w:line="257" w:lineRule="auto"/>
        <w:rPr>
          <w:sz w:val="20"/>
          <w:szCs w:val="20"/>
          <w:color w:val="auto"/>
        </w:rPr>
      </w:pPr>
      <w:r>
        <w:rPr>
          <w:rFonts w:ascii="Arial" w:cs="Arial" w:eastAsia="Arial" w:hAnsi="Arial"/>
          <w:sz w:val="18"/>
          <w:szCs w:val="18"/>
          <w:color w:val="auto"/>
        </w:rPr>
        <w:t>The fair value of each convertible preferred stock warrant was estimated using the Black-Scholes option-pricing model with the assumptions described below. For the periods indicated the Company has limited historical volatility information available, and the expected volatility was based on actual volatility for comparable public companies projected over the expected terms of the warrants. The Company did not apply a forfeiture rate to the warrants as there is not enough historical information available to estimate such a rate. The risk-free interest rate was based on the U.S. Treasury yield curve over the expected term of the warrants.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Six Months Ended</w:t>
            </w:r>
          </w:p>
        </w:tc>
        <w:tc>
          <w:tcPr>
            <w:tcW w:w="194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r>
      <w:tr>
        <w:trPr>
          <w:trHeight w:val="149"/>
        </w:trPr>
        <w:tc>
          <w:tcPr>
            <w:tcW w:w="37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20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June 30,</w:t>
            </w:r>
          </w:p>
        </w:tc>
        <w:tc>
          <w:tcPr>
            <w:tcW w:w="1940" w:type="dxa"/>
            <w:vAlign w:val="bottom"/>
            <w:gridSpan w:val="2"/>
          </w:tcPr>
          <w:p>
            <w:pPr>
              <w:jc w:val="center"/>
              <w:ind w:right="5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2"/>
                <w:szCs w:val="12"/>
                <w:color w:val="auto"/>
              </w:rPr>
            </w:pPr>
          </w:p>
        </w:tc>
      </w:tr>
      <w:tr>
        <w:trPr>
          <w:trHeight w:val="171"/>
        </w:trPr>
        <w:tc>
          <w:tcPr>
            <w:tcW w:w="3700" w:type="dxa"/>
            <w:vAlign w:val="bottom"/>
          </w:tcPr>
          <w:p>
            <w:pPr>
              <w:spacing w:after="0"/>
              <w:rPr>
                <w:sz w:val="14"/>
                <w:szCs w:val="14"/>
                <w:color w:val="auto"/>
              </w:rPr>
            </w:pPr>
          </w:p>
        </w:tc>
        <w:tc>
          <w:tcPr>
            <w:tcW w:w="5620" w:type="dxa"/>
            <w:vAlign w:val="bottom"/>
            <w:gridSpan w:val="3"/>
          </w:tcPr>
          <w:p>
            <w:pPr>
              <w:jc w:val="center"/>
              <w:ind w:left="3514"/>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1940" w:type="dxa"/>
            <w:vAlign w:val="bottom"/>
            <w:gridSpan w:val="2"/>
          </w:tcPr>
          <w:p>
            <w:pPr>
              <w:jc w:val="right"/>
              <w:ind w:right="79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4"/>
                <w:szCs w:val="14"/>
                <w:color w:val="auto"/>
              </w:rPr>
            </w:pPr>
          </w:p>
        </w:tc>
      </w:tr>
      <w:tr>
        <w:trPr>
          <w:trHeight w:val="223"/>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37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10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- 5.26</w:t>
            </w:r>
          </w:p>
        </w:tc>
        <w:tc>
          <w:tcPr>
            <w:tcW w:w="1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w:t>
            </w:r>
          </w:p>
        </w:tc>
        <w:tc>
          <w:tcPr>
            <w:tcW w:w="10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- 7.00</w:t>
            </w:r>
          </w:p>
        </w:tc>
        <w:tc>
          <w:tcPr>
            <w:tcW w:w="2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Volatility</w:t>
            </w:r>
          </w:p>
        </w:tc>
        <w:tc>
          <w:tcPr>
            <w:tcW w:w="4560" w:type="dxa"/>
            <w:vAlign w:val="bottom"/>
            <w:gridSpan w:val="2"/>
          </w:tcPr>
          <w:p>
            <w:pPr>
              <w:jc w:val="right"/>
              <w:spacing w:after="0"/>
              <w:rPr>
                <w:sz w:val="20"/>
                <w:szCs w:val="20"/>
                <w:color w:val="auto"/>
              </w:rPr>
            </w:pPr>
            <w:r>
              <w:rPr>
                <w:rFonts w:ascii="Arial" w:cs="Arial" w:eastAsia="Arial" w:hAnsi="Arial"/>
                <w:sz w:val="18"/>
                <w:szCs w:val="18"/>
                <w:color w:val="auto"/>
              </w:rPr>
              <w:t>57.20%</w:t>
            </w:r>
          </w:p>
        </w:tc>
        <w:tc>
          <w:tcPr>
            <w:tcW w:w="1060" w:type="dxa"/>
            <w:vAlign w:val="bottom"/>
          </w:tcPr>
          <w:p>
            <w:pPr>
              <w:ind w:left="20"/>
              <w:spacing w:after="0"/>
              <w:rPr>
                <w:sz w:val="20"/>
                <w:szCs w:val="20"/>
                <w:color w:val="auto"/>
              </w:rPr>
            </w:pPr>
            <w:r>
              <w:rPr>
                <w:rFonts w:ascii="Arial" w:cs="Arial" w:eastAsia="Arial" w:hAnsi="Arial"/>
                <w:sz w:val="18"/>
                <w:szCs w:val="18"/>
                <w:color w:val="auto"/>
              </w:rPr>
              <w:t>- 57.24%</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55.56%</w:t>
            </w:r>
          </w:p>
        </w:tc>
        <w:tc>
          <w:tcPr>
            <w:tcW w:w="1080" w:type="dxa"/>
            <w:vAlign w:val="bottom"/>
          </w:tcPr>
          <w:p>
            <w:pPr>
              <w:ind w:left="20"/>
              <w:spacing w:after="0"/>
              <w:rPr>
                <w:sz w:val="20"/>
                <w:szCs w:val="20"/>
                <w:color w:val="auto"/>
              </w:rPr>
            </w:pPr>
            <w:r>
              <w:rPr>
                <w:rFonts w:ascii="Arial" w:cs="Arial" w:eastAsia="Arial" w:hAnsi="Arial"/>
                <w:sz w:val="18"/>
                <w:szCs w:val="18"/>
                <w:color w:val="auto"/>
              </w:rPr>
              <w:t>- 56.42%</w:t>
            </w:r>
          </w:p>
        </w:tc>
        <w:tc>
          <w:tcPr>
            <w:tcW w:w="20" w:type="dxa"/>
            <w:vAlign w:val="bottom"/>
          </w:tcPr>
          <w:p>
            <w:pPr>
              <w:spacing w:after="0"/>
              <w:rPr>
                <w:sz w:val="19"/>
                <w:szCs w:val="19"/>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5620" w:type="dxa"/>
            <w:vAlign w:val="bottom"/>
            <w:gridSpan w:val="3"/>
            <w:shd w:val="clear" w:color="auto" w:fill="CFF0FC"/>
          </w:tcPr>
          <w:p>
            <w:pPr>
              <w:jc w:val="center"/>
              <w:ind w:left="3514"/>
              <w:spacing w:after="0"/>
              <w:rPr>
                <w:sz w:val="20"/>
                <w:szCs w:val="20"/>
                <w:color w:val="auto"/>
              </w:rPr>
            </w:pPr>
            <w:r>
              <w:rPr>
                <w:rFonts w:ascii="Arial" w:cs="Arial" w:eastAsia="Arial" w:hAnsi="Arial"/>
                <w:sz w:val="18"/>
                <w:szCs w:val="18"/>
                <w:color w:val="auto"/>
                <w:w w:val="90"/>
              </w:rPr>
              <w:t>1.75%</w:t>
            </w: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- 3.01%</w:t>
            </w:r>
          </w:p>
        </w:tc>
        <w:tc>
          <w:tcPr>
            <w:tcW w:w="2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Dividend yield</w:t>
            </w:r>
          </w:p>
        </w:tc>
        <w:tc>
          <w:tcPr>
            <w:tcW w:w="5620" w:type="dxa"/>
            <w:vAlign w:val="bottom"/>
            <w:gridSpan w:val="3"/>
          </w:tcPr>
          <w:p>
            <w:pPr>
              <w:jc w:val="center"/>
              <w:ind w:left="3534"/>
              <w:spacing w:after="0"/>
              <w:rPr>
                <w:sz w:val="20"/>
                <w:szCs w:val="20"/>
                <w:color w:val="auto"/>
              </w:rPr>
            </w:pPr>
            <w:r>
              <w:rPr>
                <w:rFonts w:ascii="Arial" w:cs="Arial" w:eastAsia="Arial" w:hAnsi="Arial"/>
                <w:sz w:val="18"/>
                <w:szCs w:val="18"/>
                <w:color w:val="auto"/>
                <w:w w:val="92"/>
              </w:rPr>
              <w:t>0%</w:t>
            </w:r>
          </w:p>
        </w:tc>
        <w:tc>
          <w:tcPr>
            <w:tcW w:w="160" w:type="dxa"/>
            <w:vAlign w:val="bottom"/>
          </w:tcPr>
          <w:p>
            <w:pPr>
              <w:spacing w:after="0"/>
              <w:rPr>
                <w:sz w:val="20"/>
                <w:szCs w:val="20"/>
                <w:color w:val="auto"/>
              </w:rPr>
            </w:pPr>
          </w:p>
        </w:tc>
        <w:tc>
          <w:tcPr>
            <w:tcW w:w="1940" w:type="dxa"/>
            <w:vAlign w:val="bottom"/>
            <w:gridSpan w:val="2"/>
          </w:tcPr>
          <w:p>
            <w:pPr>
              <w:jc w:val="right"/>
              <w:ind w:right="83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0"/>
                <w:szCs w:val="20"/>
                <w:color w:val="auto"/>
              </w:rPr>
            </w:pPr>
          </w:p>
        </w:tc>
      </w:tr>
      <w:tr>
        <w:trPr>
          <w:trHeight w:val="647"/>
        </w:trPr>
        <w:tc>
          <w:tcPr>
            <w:tcW w:w="3700" w:type="dxa"/>
            <w:vAlign w:val="bottom"/>
          </w:tcPr>
          <w:p>
            <w:pPr>
              <w:spacing w:after="0"/>
              <w:rPr>
                <w:sz w:val="24"/>
                <w:szCs w:val="24"/>
                <w:color w:val="auto"/>
              </w:rPr>
            </w:pPr>
          </w:p>
        </w:tc>
        <w:tc>
          <w:tcPr>
            <w:tcW w:w="3720" w:type="dxa"/>
            <w:vAlign w:val="bottom"/>
          </w:tcPr>
          <w:p>
            <w:pPr>
              <w:jc w:val="right"/>
              <w:ind w:right="1534"/>
              <w:spacing w:after="0"/>
              <w:rPr>
                <w:sz w:val="20"/>
                <w:szCs w:val="20"/>
                <w:color w:val="auto"/>
              </w:rPr>
            </w:pPr>
            <w:r>
              <w:rPr>
                <w:rFonts w:ascii="Arial" w:cs="Arial" w:eastAsia="Arial" w:hAnsi="Arial"/>
                <w:sz w:val="18"/>
                <w:szCs w:val="18"/>
                <w:color w:val="auto"/>
              </w:rPr>
              <w:t>16</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37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16" w:name="page17"/>
    <w:bookmarkEnd w:id="16"/>
    <w:p>
      <w:pPr>
        <w:jc w:val="center"/>
        <w:ind w:right="60"/>
        <w:spacing w:after="0"/>
        <w:rPr>
          <w:sz w:val="20"/>
          <w:szCs w:val="20"/>
          <w:color w:val="auto"/>
        </w:rPr>
      </w:pPr>
      <w:r>
        <w:rPr>
          <w:rFonts w:ascii="Arial" w:cs="Arial" w:eastAsia="Arial" w:hAnsi="Arial"/>
          <w:sz w:val="16"/>
          <w:szCs w:val="16"/>
          <w:color w:val="auto"/>
        </w:rPr>
        <w:t>The following table sets forth a summary of the changes in the fair value of the Company’s Level 3 financial instruments (in thousands):</w:t>
      </w:r>
    </w:p>
    <w:p>
      <w:pPr>
        <w:spacing w:after="0" w:line="253" w:lineRule="exact"/>
        <w:rPr>
          <w:sz w:val="20"/>
          <w:szCs w:val="20"/>
          <w:color w:val="auto"/>
        </w:rPr>
      </w:pPr>
    </w:p>
    <w:p>
      <w:pPr>
        <w:jc w:val="right"/>
        <w:ind w:right="800"/>
        <w:spacing w:after="0"/>
        <w:rPr>
          <w:sz w:val="20"/>
          <w:szCs w:val="20"/>
          <w:color w:val="auto"/>
        </w:rPr>
      </w:pPr>
      <w:r>
        <w:rPr>
          <w:rFonts w:ascii="Arial" w:cs="Arial" w:eastAsia="Arial" w:hAnsi="Arial"/>
          <w:sz w:val="14"/>
          <w:szCs w:val="14"/>
          <w:b w:val="1"/>
          <w:bCs w:val="1"/>
          <w:color w:val="auto"/>
        </w:rPr>
        <w:t>Warrant</w:t>
      </w:r>
    </w:p>
    <w:p>
      <w:pPr>
        <w:ind w:left="10080"/>
        <w:spacing w:after="0" w:line="236" w:lineRule="auto"/>
        <w:rPr>
          <w:sz w:val="20"/>
          <w:szCs w:val="20"/>
          <w:color w:val="auto"/>
        </w:rPr>
      </w:pPr>
      <w:r>
        <w:rPr>
          <w:rFonts w:ascii="Arial" w:cs="Arial" w:eastAsia="Arial" w:hAnsi="Arial"/>
          <w:sz w:val="14"/>
          <w:szCs w:val="14"/>
          <w:b w:val="1"/>
          <w:bCs w:val="1"/>
          <w:color w:val="auto"/>
        </w:rPr>
        <w:t>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Balance — December 31,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Change in fair value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 of warrant liability to additional paid in capital on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Balance — June 30, 2019</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Amounts outstanding under the Company’s financing arrangements consisted of the following (in thousands):</w:t>
      </w:r>
    </w:p>
    <w:p>
      <w:pPr>
        <w:spacing w:after="0" w:line="321" w:lineRule="exact"/>
        <w:rPr>
          <w:sz w:val="20"/>
          <w:szCs w:val="20"/>
          <w:color w:val="auto"/>
        </w:rPr>
      </w:pPr>
    </w:p>
    <w:p>
      <w:pPr>
        <w:jc w:val="center"/>
        <w:ind w:left="8380"/>
        <w:spacing w:after="0"/>
        <w:rPr>
          <w:sz w:val="20"/>
          <w:szCs w:val="20"/>
          <w:color w:val="auto"/>
        </w:rPr>
      </w:pPr>
      <w:r>
        <w:rPr>
          <w:rFonts w:ascii="Arial" w:cs="Arial" w:eastAsia="Arial" w:hAnsi="Arial"/>
          <w:sz w:val="12"/>
          <w:szCs w:val="12"/>
          <w:b w:val="1"/>
          <w:bCs w:val="1"/>
          <w:color w:val="auto"/>
        </w:rPr>
        <w:t>June 30,</w:t>
      </w:r>
    </w:p>
    <w:p>
      <w:pPr>
        <w:spacing w:after="0" w:line="34"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760" w:type="dxa"/>
            <w:vAlign w:val="bottom"/>
            <w:tcBorders>
              <w:top w:val="single" w:sz="8" w:color="auto"/>
            </w:tcBorders>
            <w:gridSpan w:val="2"/>
          </w:tcPr>
          <w:p>
            <w:pPr>
              <w:jc w:val="right"/>
              <w:ind w:right="585"/>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683</w:t>
            </w:r>
          </w:p>
        </w:tc>
      </w:tr>
      <w:tr>
        <w:trPr>
          <w:trHeight w:val="230"/>
        </w:trPr>
        <w:tc>
          <w:tcPr>
            <w:tcW w:w="760" w:type="dxa"/>
            <w:vAlign w:val="bottom"/>
            <w:gridSpan w:val="2"/>
          </w:tcPr>
          <w:p>
            <w:pPr>
              <w:jc w:val="right"/>
              <w:ind w:right="585"/>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1,403</w:t>
            </w:r>
          </w:p>
        </w:tc>
      </w:tr>
      <w:tr>
        <w:trPr>
          <w:trHeight w:val="230"/>
        </w:trPr>
        <w:tc>
          <w:tcPr>
            <w:tcW w:w="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r>
      <w:tr>
        <w:trPr>
          <w:trHeight w:val="223"/>
        </w:trPr>
        <w:tc>
          <w:tcPr>
            <w:tcW w:w="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December 31,</w:t>
      </w:r>
    </w:p>
    <w:p>
      <w:pPr>
        <w:spacing w:after="0" w:line="11"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2018</w:t>
      </w:r>
    </w:p>
    <w:p>
      <w:pPr>
        <w:spacing w:after="0" w:line="1" w:lineRule="exact"/>
        <w:rPr>
          <w:sz w:val="20"/>
          <w:szCs w:val="20"/>
          <w:color w:val="auto"/>
        </w:rPr>
      </w:pPr>
    </w:p>
    <w:p>
      <w:pPr>
        <w:sectPr>
          <w:pgSz w:w="11900" w:h="16838" w:orient="portrait"/>
          <w:cols w:equalWidth="0" w:num="2">
            <w:col w:w="8900" w:space="500"/>
            <w:col w:w="2020"/>
          </w:cols>
          <w:pgMar w:left="240" w:top="341"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Credit agreement</w:t>
            </w:r>
          </w:p>
        </w:tc>
        <w:tc>
          <w:tcPr>
            <w:tcW w:w="276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r>
      <w:tr>
        <w:trPr>
          <w:trHeight w:val="230"/>
        </w:trPr>
        <w:tc>
          <w:tcPr>
            <w:tcW w:w="5100" w:type="dxa"/>
            <w:vAlign w:val="bottom"/>
          </w:tcPr>
          <w:p>
            <w:pPr>
              <w:ind w:left="260"/>
              <w:spacing w:after="0"/>
              <w:rPr>
                <w:sz w:val="20"/>
                <w:szCs w:val="20"/>
                <w:color w:val="auto"/>
              </w:rPr>
            </w:pPr>
            <w:r>
              <w:rPr>
                <w:rFonts w:ascii="Arial" w:cs="Arial" w:eastAsia="Arial" w:hAnsi="Arial"/>
                <w:sz w:val="18"/>
                <w:szCs w:val="18"/>
                <w:color w:val="auto"/>
              </w:rPr>
              <w:t>Revolving Loan</w:t>
            </w:r>
          </w:p>
        </w:tc>
        <w:tc>
          <w:tcPr>
            <w:tcW w:w="334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5,000</w:t>
            </w:r>
          </w:p>
        </w:tc>
      </w:tr>
      <w:tr>
        <w:trPr>
          <w:trHeight w:val="230"/>
        </w:trPr>
        <w:tc>
          <w:tcPr>
            <w:tcW w:w="51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Growth Capital Loan</w:t>
            </w:r>
          </w:p>
        </w:tc>
        <w:tc>
          <w:tcPr>
            <w:tcW w:w="27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20,000</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Total principal payments due</w:t>
            </w:r>
          </w:p>
        </w:tc>
        <w:tc>
          <w:tcPr>
            <w:tcW w:w="2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20,000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5,000</w:t>
            </w: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Less reduction in carrying value</w:t>
            </w:r>
          </w:p>
        </w:tc>
        <w:tc>
          <w:tcPr>
            <w:tcW w:w="27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Total amounts outstanding</w:t>
            </w:r>
          </w:p>
        </w:tc>
        <w:tc>
          <w:tcPr>
            <w:tcW w:w="2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19,036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52"/>
              <w:spacing w:after="0"/>
              <w:rPr>
                <w:sz w:val="20"/>
                <w:szCs w:val="20"/>
                <w:color w:val="auto"/>
              </w:rPr>
            </w:pPr>
            <w:r>
              <w:rPr>
                <w:rFonts w:ascii="Arial" w:cs="Arial" w:eastAsia="Arial" w:hAnsi="Arial"/>
                <w:sz w:val="18"/>
                <w:szCs w:val="18"/>
                <w:color w:val="auto"/>
              </w:rPr>
              <w:t>4,996</w:t>
            </w: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276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(4,996)</w:t>
            </w:r>
          </w:p>
        </w:tc>
      </w:tr>
      <w:tr>
        <w:trPr>
          <w:trHeight w:val="223"/>
        </w:trPr>
        <w:tc>
          <w:tcPr>
            <w:tcW w:w="5100" w:type="dxa"/>
            <w:vAlign w:val="bottom"/>
          </w:tcPr>
          <w:p>
            <w:pPr>
              <w:spacing w:after="0"/>
              <w:rPr>
                <w:sz w:val="20"/>
                <w:szCs w:val="20"/>
                <w:color w:val="auto"/>
              </w:rPr>
            </w:pPr>
            <w:r>
              <w:rPr>
                <w:rFonts w:ascii="Arial" w:cs="Arial" w:eastAsia="Arial" w:hAnsi="Arial"/>
                <w:sz w:val="18"/>
                <w:szCs w:val="18"/>
                <w:color w:val="auto"/>
              </w:rPr>
              <w:t>Long-Term portion</w:t>
            </w:r>
          </w:p>
        </w:tc>
        <w:tc>
          <w:tcPr>
            <w:tcW w:w="276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18,016</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0"/>
        </w:trPr>
        <w:tc>
          <w:tcPr>
            <w:tcW w:w="7860" w:type="dxa"/>
            <w:vAlign w:val="bottom"/>
            <w:gridSpan w:val="2"/>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413"/>
        </w:trPr>
        <w:tc>
          <w:tcPr>
            <w:tcW w:w="9540" w:type="dxa"/>
            <w:vAlign w:val="bottom"/>
            <w:gridSpan w:val="5"/>
          </w:tcPr>
          <w:p>
            <w:pPr>
              <w:ind w:left="760"/>
              <w:spacing w:after="0"/>
              <w:rPr>
                <w:sz w:val="20"/>
                <w:szCs w:val="20"/>
                <w:color w:val="auto"/>
              </w:rPr>
            </w:pPr>
            <w:r>
              <w:rPr>
                <w:rFonts w:ascii="Arial" w:cs="Arial" w:eastAsia="Arial" w:hAnsi="Arial"/>
                <w:sz w:val="18"/>
                <w:szCs w:val="18"/>
                <w:color w:val="auto"/>
                <w:w w:val="95"/>
              </w:rPr>
              <w:t>The repayment schedule relating to the Company’s long-term debt as of June 30, 2019 is as follows (in thousands):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61"/>
        </w:trPr>
        <w:tc>
          <w:tcPr>
            <w:tcW w:w="5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jc w:val="right"/>
              <w:ind w:right="732"/>
              <w:spacing w:after="0"/>
              <w:rPr>
                <w:sz w:val="20"/>
                <w:szCs w:val="20"/>
                <w:color w:val="auto"/>
              </w:rPr>
            </w:pPr>
            <w:r>
              <w:rPr>
                <w:rFonts w:ascii="Arial" w:cs="Arial" w:eastAsia="Arial" w:hAnsi="Arial"/>
                <w:sz w:val="14"/>
                <w:szCs w:val="14"/>
                <w:b w:val="1"/>
                <w:bCs w:val="1"/>
                <w:color w:val="auto"/>
              </w:rPr>
              <w:t>June 30,</w:t>
            </w:r>
          </w:p>
        </w:tc>
      </w:tr>
      <w:tr>
        <w:trPr>
          <w:trHeight w:val="215"/>
        </w:trPr>
        <w:tc>
          <w:tcPr>
            <w:tcW w:w="5100" w:type="dxa"/>
            <w:vAlign w:val="bottom"/>
            <w:tcBorders>
              <w:bottom w:val="single" w:sz="8" w:color="CFF0FC"/>
            </w:tcBorders>
          </w:tcPr>
          <w:p>
            <w:pPr>
              <w:spacing w:after="0"/>
              <w:rPr>
                <w:sz w:val="18"/>
                <w:szCs w:val="18"/>
                <w:color w:val="auto"/>
              </w:rPr>
            </w:pPr>
          </w:p>
        </w:tc>
        <w:tc>
          <w:tcPr>
            <w:tcW w:w="2760" w:type="dxa"/>
            <w:vAlign w:val="bottom"/>
            <w:tcBorders>
              <w:bottom w:val="single" w:sz="8" w:color="CFF0FC"/>
            </w:tcBorders>
          </w:tcPr>
          <w:p>
            <w:pPr>
              <w:spacing w:after="0"/>
              <w:rPr>
                <w:sz w:val="18"/>
                <w:szCs w:val="18"/>
                <w:color w:val="auto"/>
              </w:rPr>
            </w:pPr>
          </w:p>
        </w:tc>
        <w:tc>
          <w:tcPr>
            <w:tcW w:w="58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832"/>
              <w:spacing w:after="0"/>
              <w:rPr>
                <w:sz w:val="20"/>
                <w:szCs w:val="20"/>
                <w:color w:val="auto"/>
              </w:rPr>
            </w:pPr>
            <w:r>
              <w:rPr>
                <w:rFonts w:ascii="Arial" w:cs="Arial" w:eastAsia="Arial" w:hAnsi="Arial"/>
                <w:sz w:val="14"/>
                <w:szCs w:val="14"/>
                <w:b w:val="1"/>
                <w:bCs w:val="1"/>
                <w:color w:val="auto"/>
              </w:rPr>
              <w:t>2019</w:t>
            </w:r>
          </w:p>
        </w:tc>
      </w:tr>
      <w:tr>
        <w:trPr>
          <w:trHeight w:val="223"/>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2019 (remaining six months)</w:t>
            </w:r>
          </w:p>
        </w:tc>
        <w:tc>
          <w:tcPr>
            <w:tcW w:w="27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2020</w:t>
            </w:r>
          </w:p>
        </w:tc>
        <w:tc>
          <w:tcPr>
            <w:tcW w:w="2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4,395</w:t>
            </w: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7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6,463</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2022</w:t>
            </w:r>
          </w:p>
        </w:tc>
        <w:tc>
          <w:tcPr>
            <w:tcW w:w="2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7,212</w:t>
            </w:r>
          </w:p>
        </w:tc>
      </w:tr>
      <w:tr>
        <w:trPr>
          <w:trHeight w:val="230"/>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7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1,930</w:t>
            </w:r>
          </w:p>
        </w:tc>
      </w:tr>
      <w:tr>
        <w:trPr>
          <w:trHeight w:val="230"/>
        </w:trPr>
        <w:tc>
          <w:tcPr>
            <w:tcW w:w="5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76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5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7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20,000</w:t>
            </w:r>
          </w:p>
        </w:tc>
      </w:tr>
      <w:tr>
        <w:trPr>
          <w:trHeight w:val="20"/>
        </w:trPr>
        <w:tc>
          <w:tcPr>
            <w:tcW w:w="5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w:t>
      </w:r>
    </w:p>
    <w:p>
      <w:pPr>
        <w:spacing w:after="0" w:line="198"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In September 2014, the Company entered into a loan and security agreement with Silicon Valley Bank, to borrow up to $3.0 million under an equipment loan that will be secured with the equipment financed (the “Term Loan”). On October 3, 2014, the Company borrowed $2.4 million under the Term Loan. The Term Loan required 12 interest-only payments, followed by 36 equal monthly installments of principal, plus interest, which began on October 3, 2015.</w:t>
      </w:r>
    </w:p>
    <w:p>
      <w:pPr>
        <w:spacing w:after="0" w:line="146" w:lineRule="exact"/>
        <w:rPr>
          <w:sz w:val="20"/>
          <w:szCs w:val="20"/>
          <w:color w:val="auto"/>
        </w:rPr>
      </w:pPr>
    </w:p>
    <w:p>
      <w:pPr>
        <w:jc w:val="both"/>
        <w:ind w:firstLine="761"/>
        <w:spacing w:after="0" w:line="308" w:lineRule="auto"/>
        <w:rPr>
          <w:sz w:val="20"/>
          <w:szCs w:val="20"/>
          <w:color w:val="auto"/>
        </w:rPr>
      </w:pPr>
      <w:r>
        <w:rPr>
          <w:rFonts w:ascii="Arial" w:cs="Arial" w:eastAsia="Arial" w:hAnsi="Arial"/>
          <w:sz w:val="17"/>
          <w:szCs w:val="17"/>
          <w:color w:val="auto"/>
        </w:rPr>
        <w:t>In connection with the Term Loan, the Company issued to the bank a warrant exercisable for ten years from the date of grant to purchase 22,489 shares of the Company’s Series B redeemable convertible preferred stock at an exercise price of $4.60 per share (see Note 10).</w:t>
      </w:r>
    </w:p>
    <w:p>
      <w:pPr>
        <w:spacing w:after="0" w:line="106"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The estimated fair value of the warrants upon draw down of $0.1 million was based on the Black-Scholes option-pricing model. The Company recorded the fair value of the warrant at issuance as a reduction in the debt-carrying value and as a warrant liability. The debt-carrying value reduction is being accreted using the effective interest method as additional interest expense over the contractual period of four years for the Term Loan.</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September 30, 2018, the Term Loan was repaid in full.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Revolving Loan</w:t>
      </w:r>
    </w:p>
    <w:p>
      <w:pPr>
        <w:spacing w:after="0" w:line="198"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In June 2017, the Company entered into a $10.0 million revolving loan and security agreement (the “Revolving Loan”) with TriplePoint Capital LLC (“TriplePoint”). Borrowings under the Revolving Loan bear an interest rate of prime, plus 6.75%. The Revolving Loan also has a 5.5% end of term loan payment on the highest outstanding principal amount. The Revolving Loan requires monthly interest-only payments until the maturity date. The Revolving Loan’s original maturity date was December 31, 2018, and in December 2018 the maturity date was further extended until March 22, 2019. Upon determining that the change in cash flows between the previous and current credit facility was not greater than 10%, the Company accounted for the transaction as a debt modification.</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As of December 31, 2018, the Company’s outstanding principal under the Revolving Loan was $5.0 million and $5.0 million was available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borrow.</w:t>
      </w:r>
    </w:p>
    <w:p>
      <w:pPr>
        <w:spacing w:after="0" w:line="170"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In connection with the Revolving Loan, the Company issued to TriplePoint a warrant to purchase up to 62,096 shares of the Company’s Series C redeemable convertible preferred stock at an exercise price of $8.052 per share (see Note 10).</w:t>
      </w:r>
    </w:p>
    <w:p>
      <w:pPr>
        <w:spacing w:after="0" w:line="143"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The estimated fair value of the warrant upon draw down of $0.1 million was based on the Black-Scholes option-pricing model. The Company recorded the fair value of the warrant at issuance as a reduction in the debt-carrying value and as a warrant liability. The debt-carrying value reduction is being accreted using the effective interest method as additional interest expense over the contractual period of 1.5 years for the Revolving Loan.</w:t>
      </w:r>
    </w:p>
    <w:p>
      <w:pPr>
        <w:spacing w:after="0" w:line="125" w:lineRule="exact"/>
        <w:rPr>
          <w:sz w:val="20"/>
          <w:szCs w:val="20"/>
          <w:color w:val="auto"/>
        </w:rPr>
      </w:pPr>
    </w:p>
    <w:p>
      <w:pPr>
        <w:jc w:val="both"/>
        <w:ind w:firstLine="761"/>
        <w:spacing w:after="0" w:line="342" w:lineRule="auto"/>
        <w:rPr>
          <w:sz w:val="20"/>
          <w:szCs w:val="20"/>
          <w:color w:val="auto"/>
        </w:rPr>
      </w:pPr>
      <w:r>
        <w:rPr>
          <w:rFonts w:ascii="Arial" w:cs="Arial" w:eastAsia="Arial" w:hAnsi="Arial"/>
          <w:sz w:val="16"/>
          <w:szCs w:val="16"/>
          <w:color w:val="auto"/>
        </w:rPr>
        <w:t>The Revolving Loan had an effective interest rate of 19.22% per year. The Revolving Loan interest expense for the three and six months ended June 30, 2018 was $0.2 million and $0.4 million, respectively. Interest expense for the three and six months ended June 30, 2019 was not significant.</w:t>
      </w:r>
    </w:p>
    <w:p>
      <w:pPr>
        <w:spacing w:after="0" w:line="83"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The Company accrued $0.2 million as of December 31, 2018 related to accretion of final payment due at maturity per agreement using the effective interest rate method.</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March 22, 2019, this Revolving Loan was repaid in full.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Growth Capital Loan</w:t>
      </w:r>
    </w:p>
    <w:p>
      <w:pPr>
        <w:spacing w:after="0" w:line="185"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On March 22, 2019, the Company entered into a growth capital loan (the “Growth Capital Loan”) with TriplePoint to provide for a $20.0 million growth capital loan facility and as of June 30, 2019 had drawn down the full $20.0 million available under the facility. The Company used $5.3 million of the growth capital loan facility to repay, in its entirety, all amounts outstanding under the Revolving Loan. Borrowings under the Growth Capital Loan bear interest at a floating rate of prime rate plus 5.00% for borrowings up to $15.0 million and the prime rate plus 6.50% for borrowing greater than $15.0 million; provided, however, that in an event of default, as defined in the loan and security agreement, the interest rate applicable to borrowings under such agreement will be increased by 5.0%. Under the agreement, the Company is required to make monthly interest-only payments through April 1, 2020 and is required to make 36 equal monthly payments of principal, plus accrued interest, from April 1, 2020 through March 1, 2023, when all unpaid principal and interest becomes due and payable. The Company may voluntarily prepay all, but not part, of the outstanding principal at any time prior to the maturity date, subject to a prepayment fee of 1.00% of the outstanding balance, if prepaid in months one through 12 of the loan term. If prepaid after month 12 of the loan term of any growth capital loan, no additional prepayment premium shall be due. In addition to the final payment, the Company will pay an amount equal to 2.75% of each principal amount drawn under this growth capital loan facility.</w:t>
      </w:r>
    </w:p>
    <w:p>
      <w:pPr>
        <w:spacing w:after="0" w:line="156"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In connection with the growth capital loan facility, the Company issued a warrant to purchase 65,502 shares of common stock to TriplePoint at an exercise price of $9.16 per share. The Company recorded the issuance-date fair value of the warrant of $0.6 million and fees paid to TriplePoint of $0.3 million as a debt discount which is amortized over the term of the Growth Capital Loan using the effective interest rate method.</w:t>
      </w:r>
    </w:p>
    <w:p>
      <w:pPr>
        <w:spacing w:after="0" w:line="1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Upon issuance, the Growth Capital loan had an effective interest rate of 15.23% per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Notes</w:t>
      </w:r>
    </w:p>
    <w:p>
      <w:pPr>
        <w:spacing w:after="0" w:line="198"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On June 29, 2017, the Company entered into a convertible promissory note agreement with certain existing redeemable convertible preferred stockholders and third parties (collectively, the “Investors”) for the issuance of convertible promissory notes with a face value of $12.2 million (the “Convertible Notes”). Under the terms of the Convertible Notes agreement, the Convertible Notes bear interest of 8% per annum, with a maturity date of June 28, 2018. In the event that the Company issued and sold shares of its equity securities (the “Equity Securities”) to Investors on or before the maturity date in an equity financing with total proceeds to the Company of not less than $10 million (including the conversion of the Convertible Notes or other convertible securities issued for capital raising purposes) (a “Qualified Financing”), then the outstanding principal amount of the Convertible Notes and any unpaid accrued interest would have automatically converted in whole without any further action by the holder into such Equity Securities sold in the Qualified Financing at a conversion price equal to the price paid per share for Equity Securities by the Investors in the Qualified Financing multiplied by 0.8. If the Company consummated a change of control while the Convertible Notes remained outstanding, the Company would have repaid the holders in cash an amount equal to 150% of the outstanding principal amount of the Convertible Notes, plus any unpaid accrued interest on the original principal. The Convertible Notes had customary events of default.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jc w:val="both"/>
        <w:ind w:firstLine="761"/>
        <w:spacing w:after="0" w:line="291" w:lineRule="auto"/>
        <w:rPr>
          <w:sz w:val="20"/>
          <w:szCs w:val="20"/>
          <w:color w:val="auto"/>
        </w:rPr>
      </w:pPr>
      <w:r>
        <w:rPr>
          <w:rFonts w:ascii="Arial" w:cs="Arial" w:eastAsia="Arial" w:hAnsi="Arial"/>
          <w:sz w:val="16"/>
          <w:szCs w:val="16"/>
          <w:color w:val="auto"/>
        </w:rPr>
        <w:t>Certain conversion and redemption features of the Convertible Notes met the requirements for separate accounting and were accounted for as a single, compound derivative instrument. The compound derivative instrument was recorded at fair value at inception and was subject to remeasurement to fair value at each consolidated balance sheet date, with any changes in fair value recognized in the consolidated statements of operations as other income (expense). The estimated fair value of the compound derivative instrument was $0.5 million at issuance and was recorded as a reduction in the carrying value of the Convertible Notes and as a single compound derivative liability. The Convertible Notes carrying value reduction was accreted using the effective interest method as interest expense over the Convertible Notes contractual period of one year. The Convertible Notes had an effective interest rate of 12.69% per year. The compound derivative instrument fair value was $0 as of December 2018 and June 30, 2019.</w:t>
      </w:r>
    </w:p>
    <w:p>
      <w:pPr>
        <w:spacing w:after="0" w:line="140" w:lineRule="exact"/>
        <w:rPr>
          <w:sz w:val="20"/>
          <w:szCs w:val="20"/>
          <w:color w:val="auto"/>
        </w:rPr>
      </w:pPr>
    </w:p>
    <w:p>
      <w:pPr>
        <w:jc w:val="both"/>
        <w:ind w:firstLine="761"/>
        <w:spacing w:after="0" w:line="268" w:lineRule="auto"/>
        <w:rPr>
          <w:sz w:val="20"/>
          <w:szCs w:val="20"/>
          <w:color w:val="auto"/>
        </w:rPr>
      </w:pPr>
      <w:r>
        <w:rPr>
          <w:rFonts w:ascii="Arial" w:cs="Arial" w:eastAsia="Arial" w:hAnsi="Arial"/>
          <w:sz w:val="17"/>
          <w:szCs w:val="17"/>
          <w:color w:val="auto"/>
        </w:rPr>
        <w:t xml:space="preserve">On May 31, 2018, the original maturity date for the Convertible Notes was extended to June 28, 2019 (previously June 28, 2018). The maturity date extension was deemed substantial and was accounted for as a debt extinguishment under ASC 470, </w:t>
      </w:r>
      <w:r>
        <w:rPr>
          <w:rFonts w:ascii="Arial" w:cs="Arial" w:eastAsia="Arial" w:hAnsi="Arial"/>
          <w:sz w:val="17"/>
          <w:szCs w:val="17"/>
          <w:i w:val="1"/>
          <w:iCs w:val="1"/>
          <w:color w:val="auto"/>
        </w:rPr>
        <w:t>Debt</w:t>
      </w:r>
      <w:r>
        <w:rPr>
          <w:rFonts w:ascii="Arial" w:cs="Arial" w:eastAsia="Arial" w:hAnsi="Arial"/>
          <w:sz w:val="17"/>
          <w:szCs w:val="17"/>
          <w:color w:val="auto"/>
        </w:rPr>
        <w:t>. In connection with the debt extinguishment on May 31, 2018, the fair value of the Convertible Notes was allocated between the carrying amount of the Convertible Notes and accrued interested of $13.1 million, a compound derivate asset of $0.6 million, and an equity component of $3.9 million, which was credited to additional paid-in capital within the consolidated statements of redeemable convertible preferred stock and stockholders’ equity (deficit). A $3.3 million loss on debt extinguishment was also recorded in the accompanying consolidated statements of operations. The new carrying value of the Convertible Notes was accreted using the effective interest method as interest expense over the new contractual period of 1.1 years. On August 20, 2018, the maturity date for the Convertible Notes was changed to September 20, 2018 (previously June 28, 2019). The term change was deemed substantial and was accounted for as a debt extinguishment under ASC 470. In connection with the debt extinguishment on August 20, 2018, the fair value of the Convertible Notes was allocated between the new carrying amount of the Convertible Notes and accrued interest of $13.4 million, and an equity component of $0.8 million, which resulted in an additional credit to additional paid-in capital. Upon modification, the compound derivative asset was eliminated. A $0.8 million loss on debt extinguishment was also recorded in the accompanying consolidated statements of operations. The new carrying value of Convertible Notes was accreted using the effective interest method as interest expense over the new contractual period of 1.1 years.</w:t>
      </w:r>
    </w:p>
    <w:p>
      <w:pPr>
        <w:spacing w:after="0" w:line="147"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On August 20, 2018, the maturity date for the Convertible Notes was changed to September 20, 2018 (previously June 28, 2019). The term change was deemed substantial and was accounted for as a debt extinguishment under ASC 470. In connection with the debt extinguishment on August 20, 2018, the fair value of the Convertible Notes was allocated between the new carrying amount of the Convertible Notes and accrued interest of $13.4 million, and an equity component of $0.8 million, which resulted in an additional credit to additional paid-in capital. A $0.8 million loss on debt extinguishment was also recorded in the consolidated statements of operations. The new carrying value of Convertible Notes was accreted using the effective interest method as interest expense over the new contractual period of one month.</w:t>
      </w:r>
    </w:p>
    <w:p>
      <w:pPr>
        <w:spacing w:after="0" w:line="153" w:lineRule="exact"/>
        <w:rPr>
          <w:sz w:val="20"/>
          <w:szCs w:val="20"/>
          <w:color w:val="auto"/>
        </w:rPr>
      </w:pPr>
    </w:p>
    <w:p>
      <w:pPr>
        <w:jc w:val="both"/>
        <w:ind w:right="20" w:firstLine="761"/>
        <w:spacing w:after="0" w:line="264" w:lineRule="auto"/>
        <w:rPr>
          <w:sz w:val="20"/>
          <w:szCs w:val="20"/>
          <w:color w:val="auto"/>
        </w:rPr>
      </w:pPr>
      <w:r>
        <w:rPr>
          <w:rFonts w:ascii="Arial" w:cs="Arial" w:eastAsia="Arial" w:hAnsi="Arial"/>
          <w:sz w:val="18"/>
          <w:szCs w:val="18"/>
          <w:color w:val="auto"/>
        </w:rPr>
        <w:t>On September 20, 2018, upon the maturity of the Convertible Notes, the carrying amount, including accrued interest of $13.4 million was converted into 1,667,997 shares of the Company’s Series C redeemable convertible preferred stock at a conversion price equal to $8.052 per share. No gain or loss was recorded on the conversion.</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interest expense on the Convertible Notes for the three and six months ended June 30, 2018 was $0.3 million and $0.7 million,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Obligations</w:t>
      </w:r>
    </w:p>
    <w:p>
      <w:pPr>
        <w:spacing w:after="0" w:line="198"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In February 2015, the Company entered into a noncancelable operating lease for approximately 31,280 square feet of space used for its current laboratory and office space. The lease expires on November 30, 2020 and includes an option to extend the term for a period of three years immediately following the expiration of the term with rent payments equal to then current fair market rental for the space.</w:t>
      </w:r>
    </w:p>
    <w:p>
      <w:pPr>
        <w:spacing w:after="0" w:line="141"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Company recognizes rent expense on a straight-line basis over the noncancelable lease term. The Company’s rent expense was $0.3 million and $0.5 million for the three and six months ended June 30, 2018, respectively.</w:t>
      </w:r>
    </w:p>
    <w:p>
      <w:pPr>
        <w:spacing w:after="0" w:line="130"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The Company adopted ASC 842 as of January 1, 2019. In determining the present value of lease payments, the Company uses its incremental borrowing rate based on the information available at the lease commencement date if the rate implicit in the lease is not readily determinable. At the date of adoption of ASC 842, the Company determined the amounts of lease liability using a discount rate of 8%, which represents the Company’s incremental borrowing rate. The Company determines its incremental borrowing rate for lease liability using its current borrowing rate, adjusted for various factors including level of collateralization and term. The optional renewal period was not recognized as part of the right-of-use asset or lease liability. Operating lease cost for the three and six month periods ended June 30, 2019 was $0.3 million and $0.5 million, respectively. Cash paid for operating lease liabilities, included in cash flow from operating activities in the Condensed Consolidated Statement of Cash Flows was $0.5 million for the six month period ended June 30, 2019. As of June 30, 2019, the remaining lease term for the lease is 1.4 years.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ind w:left="760"/>
        <w:spacing w:after="0"/>
        <w:rPr>
          <w:sz w:val="20"/>
          <w:szCs w:val="20"/>
          <w:color w:val="auto"/>
        </w:rPr>
      </w:pPr>
      <w:r>
        <w:rPr>
          <w:rFonts w:ascii="Arial" w:cs="Arial" w:eastAsia="Arial" w:hAnsi="Arial"/>
          <w:sz w:val="18"/>
          <w:szCs w:val="18"/>
          <w:color w:val="auto"/>
        </w:rPr>
        <w:t>Future minimum lease payments at December 31, 2018 under this noncancelable operating lease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Amount</w:t>
            </w:r>
          </w:p>
        </w:tc>
      </w:tr>
      <w:tr>
        <w:trPr>
          <w:trHeight w:val="223"/>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1,091</w:t>
            </w:r>
          </w:p>
        </w:tc>
      </w:tr>
      <w:tr>
        <w:trPr>
          <w:trHeight w:val="230"/>
        </w:trPr>
        <w:tc>
          <w:tcPr>
            <w:tcW w:w="9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1,030</w:t>
            </w:r>
          </w:p>
        </w:tc>
      </w:tr>
      <w:tr>
        <w:trPr>
          <w:trHeight w:val="223"/>
        </w:trPr>
        <w:tc>
          <w:tcPr>
            <w:tcW w:w="9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future minimum lease payments</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2,121</w:t>
            </w:r>
          </w:p>
        </w:tc>
      </w:tr>
      <w:tr>
        <w:trPr>
          <w:trHeight w:val="20"/>
        </w:trPr>
        <w:tc>
          <w:tcPr>
            <w:tcW w:w="9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Future minimum lease payments at June 30, 2019 under this noncancelable operating lease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Borders>
              <w:bottom w:val="single" w:sz="8" w:color="CFF0FC"/>
            </w:tcBorders>
          </w:tcPr>
          <w:p>
            <w:pPr>
              <w:spacing w:after="0"/>
              <w:rPr>
                <w:sz w:val="14"/>
                <w:szCs w:val="14"/>
                <w:color w:val="auto"/>
              </w:rPr>
            </w:pPr>
          </w:p>
        </w:tc>
        <w:tc>
          <w:tcPr>
            <w:tcW w:w="284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Amount</w:t>
            </w: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2019 (remaining six months)</w:t>
            </w:r>
          </w:p>
        </w:tc>
        <w:tc>
          <w:tcPr>
            <w:tcW w:w="28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552</w:t>
            </w:r>
          </w:p>
        </w:tc>
      </w:tr>
      <w:tr>
        <w:trPr>
          <w:trHeight w:val="230"/>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2020</w:t>
            </w:r>
          </w:p>
        </w:tc>
        <w:tc>
          <w:tcPr>
            <w:tcW w:w="28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1,030</w:t>
            </w: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Total future minimum lease payments</w:t>
            </w:r>
          </w:p>
        </w:tc>
        <w:tc>
          <w:tcPr>
            <w:tcW w:w="28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1,582</w:t>
            </w:r>
          </w:p>
        </w:tc>
      </w:tr>
      <w:tr>
        <w:trPr>
          <w:trHeight w:val="230"/>
        </w:trPr>
        <w:tc>
          <w:tcPr>
            <w:tcW w:w="6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Less: Imputed interest</w:t>
            </w:r>
          </w:p>
        </w:tc>
        <w:tc>
          <w:tcPr>
            <w:tcW w:w="28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Present value of future minimum lease payments</w:t>
            </w:r>
          </w:p>
        </w:tc>
        <w:tc>
          <w:tcPr>
            <w:tcW w:w="28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1,498</w:t>
            </w:r>
          </w:p>
        </w:tc>
      </w:tr>
      <w:tr>
        <w:trPr>
          <w:trHeight w:val="230"/>
        </w:trPr>
        <w:tc>
          <w:tcPr>
            <w:tcW w:w="65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Less: Current portion of operating lease liability</w:t>
            </w:r>
          </w:p>
        </w:tc>
        <w:tc>
          <w:tcPr>
            <w:tcW w:w="28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r>
      <w:tr>
        <w:trPr>
          <w:trHeight w:val="223"/>
        </w:trPr>
        <w:tc>
          <w:tcPr>
            <w:tcW w:w="6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liabilities - noncurrent</w:t>
            </w:r>
          </w:p>
        </w:tc>
        <w:tc>
          <w:tcPr>
            <w:tcW w:w="28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468</w:t>
            </w:r>
          </w:p>
        </w:tc>
      </w:tr>
      <w:tr>
        <w:trPr>
          <w:trHeight w:val="20"/>
        </w:trPr>
        <w:tc>
          <w:tcPr>
            <w:tcW w:w="65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Redeemable Convertible Preferred Stock</w:t>
      </w:r>
    </w:p>
    <w:p>
      <w:pPr>
        <w:spacing w:after="0" w:line="229"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Series A redeemable convertible preferred stock, Series B redeemable convertible preferred stock and Series C redeemable convertible preferred stock (collectively the “Redeemable Convertible Preferred Stock”) outstanding consisted of the following as of December 31, 2018 and as of immediately prior to the automatic conversion of the Redeemable Convertible Preferred Stock into common stock:</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gridSpan w:val="5"/>
          </w:tcPr>
          <w:p>
            <w:pPr>
              <w:ind w:left="700"/>
              <w:spacing w:after="0"/>
              <w:rPr>
                <w:sz w:val="20"/>
                <w:szCs w:val="20"/>
                <w:color w:val="auto"/>
              </w:rPr>
            </w:pPr>
            <w:r>
              <w:rPr>
                <w:rFonts w:ascii="Arial" w:cs="Arial" w:eastAsia="Arial" w:hAnsi="Arial"/>
                <w:sz w:val="14"/>
                <w:szCs w:val="14"/>
                <w:b w:val="1"/>
                <w:bCs w:val="1"/>
                <w:color w:val="auto"/>
              </w:rPr>
              <w:t>December 31, 2018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9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960" w:type="dxa"/>
            <w:vAlign w:val="bottom"/>
          </w:tcPr>
          <w:p>
            <w:pPr>
              <w:spacing w:after="0"/>
              <w:rPr>
                <w:sz w:val="11"/>
                <w:szCs w:val="11"/>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140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88"/>
              </w:rPr>
              <w:t>Shares Issued</w:t>
            </w:r>
          </w:p>
        </w:tc>
        <w:tc>
          <w:tcPr>
            <w:tcW w:w="160" w:type="dxa"/>
            <w:vAlign w:val="bottom"/>
          </w:tcPr>
          <w:p>
            <w:pPr>
              <w:spacing w:after="0"/>
              <w:rPr>
                <w:sz w:val="11"/>
                <w:szCs w:val="11"/>
                <w:color w:val="auto"/>
              </w:rPr>
            </w:pPr>
          </w:p>
        </w:tc>
        <w:tc>
          <w:tcPr>
            <w:tcW w:w="126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Aggregate</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w w:val="99"/>
              </w:rPr>
              <w:t>Net Carrying</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16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Liquidation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Authorized</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Preference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43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28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520" w:type="dxa"/>
            <w:vAlign w:val="bottom"/>
            <w:tcBorders>
              <w:top w:val="single" w:sz="8" w:color="auto"/>
              <w:bottom w:val="single" w:sz="8" w:color="auto"/>
            </w:tcBorders>
            <w:gridSpan w:val="5"/>
          </w:tcPr>
          <w:p>
            <w:pPr>
              <w:jc w:val="right"/>
              <w:ind w:right="876"/>
              <w:spacing w:after="0" w:line="155"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Series A</w:t>
            </w:r>
          </w:p>
        </w:tc>
        <w:tc>
          <w:tcPr>
            <w:tcW w:w="12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31,250,000</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7,812,497</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20,500</w:t>
            </w:r>
          </w:p>
        </w:tc>
        <w:tc>
          <w:tcPr>
            <w:tcW w:w="14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20,261</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Series B</w:t>
            </w: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19,288,150</w:t>
            </w:r>
          </w:p>
        </w:tc>
        <w:tc>
          <w:tcPr>
            <w:tcW w:w="14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8"/>
                <w:szCs w:val="18"/>
                <w:color w:val="auto"/>
              </w:rPr>
              <w:t>4,799,548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22,078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22,047</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Series C</w:t>
            </w:r>
          </w:p>
        </w:tc>
        <w:tc>
          <w:tcPr>
            <w:tcW w:w="12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24,700,000</w:t>
            </w:r>
          </w:p>
        </w:tc>
        <w:tc>
          <w:tcPr>
            <w:tcW w:w="14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rPr>
              <w:t>5,862,697</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rPr>
              <w:t>47,206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47,096</w:t>
            </w:r>
          </w:p>
        </w:tc>
        <w:tc>
          <w:tcPr>
            <w:tcW w:w="0" w:type="dxa"/>
            <w:vAlign w:val="bottom"/>
          </w:tcPr>
          <w:p>
            <w:pPr>
              <w:spacing w:after="0"/>
              <w:rPr>
                <w:sz w:val="1"/>
                <w:szCs w:val="1"/>
                <w:color w:val="auto"/>
              </w:rPr>
            </w:pP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 redeemable convertible preferred stock</w:t>
            </w:r>
          </w:p>
        </w:tc>
        <w:tc>
          <w:tcPr>
            <w:tcW w:w="12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75,238,150</w:t>
            </w:r>
          </w:p>
        </w:tc>
        <w:tc>
          <w:tcPr>
            <w:tcW w:w="140" w:type="dxa"/>
            <w:vAlign w:val="bottom"/>
          </w:tcPr>
          <w:p>
            <w:pPr>
              <w:spacing w:after="0"/>
              <w:rPr>
                <w:sz w:val="19"/>
                <w:szCs w:val="19"/>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rPr>
              <w:t>18,474,742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89,784</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89,404</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Immediately prior to the closing of the Company’s IPO, all shares of the Company’s then-outstanding Redeemable Convertible Preferred Stock, as shown in the table above, automatically converted on a one-for-one basis into an aggregate of 18,474,703 shares of common stock. The Reverse Stock Split was effected on a holder-by-holder basis with no fractional shares issued, which resulted in 39 fewer shares of common stock issued as compared to the amounts shown in the above table.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Equity Incentive Plan and 2019 Equity Incentive Plan</w:t>
      </w:r>
    </w:p>
    <w:p>
      <w:pPr>
        <w:spacing w:after="0" w:line="185"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In 2011, the Company established its 2011 Equity Incentive Plan (the “2011 Plan”) that provided for the granting of stock options to employees and nonemployees of the Company. Under the 2011 Plan, the Company had the ability to issue incentive stock options (“ISOs”), nonstatutory stock options (“NSOs”), stock appreciation rights, restricted stock awards, and restricted stock unit awards. Options under the 2011 Plan could be granted for periods of up to 10 years. The ISOs could be granted at a price per share not less than the fair value at the date of grant. The exercise price of an ISO granted to a 10% stockholder was not less than 110% of the estimated fair value of the shares on the date of grant, as determined by the board of directors (the “Board”). Options granted to new hires generally vested over a four-year period, with 25% vesting at the end of one year and the remaining vesting monthly thereafter; options granted as merit awards generally vested monthly over a four-year period.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both"/>
        <w:ind w:firstLine="761"/>
        <w:spacing w:after="0" w:line="302" w:lineRule="auto"/>
        <w:rPr>
          <w:sz w:val="20"/>
          <w:szCs w:val="20"/>
          <w:color w:val="auto"/>
        </w:rPr>
      </w:pPr>
      <w:r>
        <w:rPr>
          <w:rFonts w:ascii="Arial" w:cs="Arial" w:eastAsia="Arial" w:hAnsi="Arial"/>
          <w:sz w:val="16"/>
          <w:szCs w:val="16"/>
          <w:color w:val="auto"/>
        </w:rPr>
        <w:t>For stock option grants issued prior to December 31, 2015, the Company allowed employees to exercise options granted under the 2011 Plan prior to vesting (early exercise of stock options). The unvested shares are subject to the Company’s repurchase rights at the original purchase price. Initially, the proceeds were recorded as an accrued liability from the early exercise of stock options and reclassified to common stock as the Company’s repurchase rights lapse. There were 262 and 548 unvested shares subject to the Company’s repurchase rights as of December 31, 2018 and June 30, 2019, respectively.</w:t>
      </w:r>
    </w:p>
    <w:p>
      <w:pPr>
        <w:spacing w:after="0" w:line="127"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 Company’s Board adopted and the Company’s stockholders approved the Company’s 2019 Equity Incentive Plan (the “2019 Plan”) in May 2019 and June 2019, respectively. The 2019 Plan became effective in June 2019 in connection with the Company’s IPO, and no further grants will be made under the 2011 Plan. Shares reserved and remaining available for issuance under the 2011 Plan were added to the 2019 Plan reserve upon its effectiveness. No stock awards have yet been granted under the 2019 Plan as of June 30, 2019.</w:t>
      </w:r>
    </w:p>
    <w:p>
      <w:pPr>
        <w:spacing w:after="0" w:line="146"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The 2019 Plan provides for the grant of ISOs, NSOs, stock appreciation rights, restricted stock awards, restricted stock unit awards, performance-based stock awards, and other forms of equity compensation. Additionally, the 2019 Plan provides for the grant of performance cash awards. ISOs may be granted only to the Company’s employees and to any of the Company’s parent or subsidiary corporation’s employees. All other awards may be granted to employees, including officers, and to non-employee directors and consultants of the Company and any of the Company’s affiliates. The exercise price of a stock option generally cannot be less than 100% of the fair market value of our common stock on the date of grant. Options under the 2019 Plan may be granted for periods of up to 10 years.</w:t>
      </w:r>
    </w:p>
    <w:p>
      <w:pPr>
        <w:spacing w:after="0" w:line="153" w:lineRule="exact"/>
        <w:rPr>
          <w:sz w:val="20"/>
          <w:szCs w:val="20"/>
          <w:color w:val="auto"/>
        </w:rPr>
      </w:pPr>
    </w:p>
    <w:p>
      <w:pPr>
        <w:ind w:firstLine="761"/>
        <w:spacing w:after="0" w:line="308" w:lineRule="auto"/>
        <w:rPr>
          <w:sz w:val="20"/>
          <w:szCs w:val="20"/>
          <w:color w:val="auto"/>
        </w:rPr>
      </w:pPr>
      <w:r>
        <w:rPr>
          <w:rFonts w:ascii="Arial" w:cs="Arial" w:eastAsia="Arial" w:hAnsi="Arial"/>
          <w:sz w:val="17"/>
          <w:szCs w:val="17"/>
          <w:color w:val="auto"/>
        </w:rPr>
        <w:t>At December 31, 2018 there were 4,647,839 shares of common stock available for issuance under the 2011 Plan. At June 30, 2019 there were 4,563,163 shares of common stock available for issuance under the 2011 Plan and 2,726,681 available for issuance under the 2019 Plan.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the Company’s stock option activity under the 2011 Plan for the six months ended June 30, 2019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Outstanding Options</w:t>
            </w: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5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left="268"/>
              <w:spacing w:after="0" w:line="133" w:lineRule="exact"/>
              <w:rPr>
                <w:sz w:val="20"/>
                <w:szCs w:val="20"/>
                <w:color w:val="auto"/>
              </w:rPr>
            </w:pPr>
            <w:r>
              <w:rPr>
                <w:rFonts w:ascii="Arial" w:cs="Arial" w:eastAsia="Arial" w:hAnsi="Arial"/>
                <w:sz w:val="14"/>
                <w:szCs w:val="14"/>
                <w:b w:val="1"/>
                <w:bCs w:val="1"/>
                <w:color w:val="auto"/>
                <w:w w:val="91"/>
              </w:rPr>
              <w:t>Weighted-</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Average</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4"/>
              </w:rPr>
              <w:t>Weighted-</w:t>
            </w:r>
          </w:p>
        </w:tc>
        <w:tc>
          <w:tcPr>
            <w:tcW w:w="11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2"/>
              </w:rPr>
              <w:t>Remaining</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vMerge w:val="restart"/>
          </w:tcPr>
          <w:p>
            <w:pPr>
              <w:jc w:val="center"/>
              <w:ind w:right="297"/>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1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16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7"/>
              </w:rPr>
              <w:t>Term (in</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jc w:val="center"/>
              <w:ind w:right="297"/>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20"/>
                <w:szCs w:val="20"/>
                <w:color w:val="auto"/>
              </w:rPr>
            </w:pPr>
            <w:r>
              <w:rPr>
                <w:rFonts w:ascii="Arial" w:cs="Arial" w:eastAsia="Arial" w:hAnsi="Arial"/>
                <w:sz w:val="14"/>
                <w:szCs w:val="14"/>
                <w:color w:val="auto"/>
              </w:rPr>
              <w:t>(in thousands, except share and per share data)</w:t>
            </w:r>
          </w:p>
        </w:tc>
        <w:tc>
          <w:tcPr>
            <w:tcW w:w="1600" w:type="dxa"/>
            <w:vAlign w:val="bottom"/>
          </w:tcPr>
          <w:p>
            <w:pPr>
              <w:jc w:val="right"/>
              <w:ind w:right="575"/>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Exercise Price</w:t>
            </w:r>
          </w:p>
        </w:tc>
        <w:tc>
          <w:tcPr>
            <w:tcW w:w="1160" w:type="dxa"/>
            <w:vAlign w:val="bottom"/>
          </w:tcPr>
          <w:p>
            <w:pPr>
              <w:jc w:val="center"/>
              <w:ind w:left="268"/>
              <w:spacing w:after="0"/>
              <w:rPr>
                <w:sz w:val="20"/>
                <w:szCs w:val="20"/>
                <w:color w:val="auto"/>
              </w:rPr>
            </w:pPr>
            <w:r>
              <w:rPr>
                <w:rFonts w:ascii="Arial" w:cs="Arial" w:eastAsia="Arial" w:hAnsi="Arial"/>
                <w:sz w:val="14"/>
                <w:szCs w:val="14"/>
                <w:b w:val="1"/>
                <w:bCs w:val="1"/>
                <w:color w:val="auto"/>
                <w:w w:val="92"/>
              </w:rPr>
              <w:t>years)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jc w:val="center"/>
              <w:ind w:right="29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Balance—December 31, 2018</w:t>
            </w:r>
          </w:p>
        </w:tc>
        <w:tc>
          <w:tcPr>
            <w:tcW w:w="1600" w:type="dxa"/>
            <w:vAlign w:val="bottom"/>
            <w:tcBorders>
              <w:top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4,110,130</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3.16</w:t>
            </w:r>
          </w:p>
        </w:tc>
        <w:tc>
          <w:tcPr>
            <w:tcW w:w="1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1"/>
              </w:rPr>
              <w:t>6.94</w:t>
            </w: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24,716</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Options granted</w:t>
            </w:r>
          </w:p>
        </w:tc>
        <w:tc>
          <w:tcPr>
            <w:tcW w:w="1600" w:type="dxa"/>
            <w:vAlign w:val="bottom"/>
          </w:tcPr>
          <w:p>
            <w:pPr>
              <w:jc w:val="right"/>
              <w:ind w:right="35"/>
              <w:spacing w:after="0"/>
              <w:rPr>
                <w:sz w:val="20"/>
                <w:szCs w:val="20"/>
                <w:color w:val="auto"/>
              </w:rPr>
            </w:pPr>
            <w:r>
              <w:rPr>
                <w:rFonts w:ascii="Arial" w:cs="Arial" w:eastAsia="Arial" w:hAnsi="Arial"/>
                <w:sz w:val="18"/>
                <w:szCs w:val="18"/>
                <w:color w:val="auto"/>
              </w:rPr>
              <w:t>724,940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38"/>
              <w:spacing w:after="0"/>
              <w:rPr>
                <w:sz w:val="20"/>
                <w:szCs w:val="20"/>
                <w:color w:val="auto"/>
              </w:rPr>
            </w:pPr>
            <w:r>
              <w:rPr>
                <w:rFonts w:ascii="Arial" w:cs="Arial" w:eastAsia="Arial" w:hAnsi="Arial"/>
                <w:sz w:val="18"/>
                <w:szCs w:val="18"/>
                <w:color w:val="auto"/>
              </w:rPr>
              <w:t>11.19</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(244,189)</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Options cancelled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(27,718)</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tcPr>
          <w:p>
            <w:pPr>
              <w:jc w:val="right"/>
              <w:ind w:right="38"/>
              <w:spacing w:after="0"/>
              <w:rPr>
                <w:sz w:val="20"/>
                <w:szCs w:val="20"/>
                <w:color w:val="auto"/>
              </w:rPr>
            </w:pPr>
            <w:r>
              <w:rPr>
                <w:rFonts w:ascii="Arial" w:cs="Arial" w:eastAsia="Arial" w:hAnsi="Arial"/>
                <w:sz w:val="18"/>
                <w:szCs w:val="18"/>
                <w:color w:val="auto"/>
              </w:rPr>
              <w:t>6.91</w:t>
            </w:r>
          </w:p>
        </w:tc>
        <w:tc>
          <w:tcPr>
            <w:tcW w:w="14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jc w:val="right"/>
              <w:ind w:right="3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Balance—June 30, 2019</w:t>
            </w:r>
          </w:p>
        </w:tc>
        <w:tc>
          <w:tcPr>
            <w:tcW w:w="16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4,563,163</w:t>
            </w:r>
          </w:p>
        </w:tc>
        <w:tc>
          <w:tcPr>
            <w:tcW w:w="340" w:type="dxa"/>
            <w:vAlign w:val="bottom"/>
            <w:tcBorders>
              <w:bottom w:val="single" w:sz="8" w:color="CFF0FC"/>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FF0FC"/>
            </w:tcBorders>
            <w:shd w:val="clear" w:color="auto" w:fill="CFF0FC"/>
          </w:tcPr>
          <w:p>
            <w:pPr>
              <w:jc w:val="right"/>
              <w:ind w:right="38"/>
              <w:spacing w:after="0"/>
              <w:rPr>
                <w:sz w:val="20"/>
                <w:szCs w:val="20"/>
                <w:color w:val="auto"/>
              </w:rPr>
            </w:pPr>
            <w:r>
              <w:rPr>
                <w:rFonts w:ascii="Arial" w:cs="Arial" w:eastAsia="Arial" w:hAnsi="Arial"/>
                <w:sz w:val="18"/>
                <w:szCs w:val="18"/>
                <w:color w:val="auto"/>
              </w:rPr>
              <w:t>4.44</w:t>
            </w:r>
          </w:p>
        </w:tc>
        <w:tc>
          <w:tcPr>
            <w:tcW w:w="1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91"/>
              </w:rPr>
              <w:t>7.02</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8"/>
                <w:szCs w:val="18"/>
                <w:color w:val="auto"/>
              </w:rPr>
              <w:t>103,632</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aggregate intrinsic value of unexercised stock options is calculated as the difference between the closing price of the Company’s common stock of $27.15 on June 28, 2019 (the last trading day of the quarter) and the exercise prices of the underlying stock options.</w:t>
      </w:r>
    </w:p>
    <w:p>
      <w:pPr>
        <w:spacing w:after="0" w:line="170" w:lineRule="exact"/>
        <w:rPr>
          <w:sz w:val="20"/>
          <w:szCs w:val="20"/>
          <w:color w:val="auto"/>
        </w:rPr>
      </w:pPr>
    </w:p>
    <w:p>
      <w:pPr>
        <w:jc w:val="both"/>
        <w:ind w:firstLine="761"/>
        <w:spacing w:after="0" w:line="312" w:lineRule="auto"/>
        <w:rPr>
          <w:sz w:val="20"/>
          <w:szCs w:val="20"/>
          <w:color w:val="auto"/>
        </w:rPr>
      </w:pPr>
      <w:r>
        <w:rPr>
          <w:rFonts w:ascii="Arial" w:cs="Arial" w:eastAsia="Arial" w:hAnsi="Arial"/>
          <w:sz w:val="16"/>
          <w:szCs w:val="16"/>
          <w:color w:val="auto"/>
        </w:rPr>
        <w:t>The weighted-average grant date fair value of options granted was $8.40 and $3.37 per share for the three months ended June 30, 2019 and 2018, respectively, and $8.07 and $3.37 per share for the six months ended June 30, 2019 and 2018, respectively. As of June 30, 2019, the unrecognized stock-based compensation of unvested options was $10.3 million, which is expected to be recognized over a weighted-average period of 3.3 years.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Stock Options</w:t>
      </w:r>
    </w:p>
    <w:p>
      <w:pPr>
        <w:spacing w:after="0" w:line="198"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The Company estimated the fair value of stock options using the Black-Scholes option-pricing model. The fair value of stock options is recognized on a straight-line basis over the requisite service periods of the awards.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ind w:left="760"/>
        <w:spacing w:after="0"/>
        <w:rPr>
          <w:sz w:val="20"/>
          <w:szCs w:val="20"/>
          <w:color w:val="auto"/>
        </w:rPr>
      </w:pPr>
      <w:r>
        <w:rPr>
          <w:rFonts w:ascii="Arial" w:cs="Arial" w:eastAsia="Arial" w:hAnsi="Arial"/>
          <w:sz w:val="18"/>
          <w:szCs w:val="18"/>
          <w:color w:val="auto"/>
        </w:rPr>
        <w:t>The fair value of stock options was estimated using the following weighted-average assumptions: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4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Pr>
          <w:p>
            <w:pPr>
              <w:spacing w:after="0"/>
              <w:rPr>
                <w:sz w:val="14"/>
                <w:szCs w:val="14"/>
                <w:color w:val="auto"/>
              </w:rPr>
            </w:pPr>
          </w:p>
        </w:tc>
        <w:tc>
          <w:tcPr>
            <w:tcW w:w="2700" w:type="dxa"/>
            <w:vAlign w:val="bottom"/>
            <w:gridSpan w:val="3"/>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456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center"/>
              <w:ind w:right="597"/>
              <w:spacing w:after="0" w:line="155"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top w:val="single" w:sz="8" w:color="auto"/>
              <w:bottom w:val="single" w:sz="8" w:color="CFF0FC"/>
            </w:tcBorders>
          </w:tcPr>
          <w:p>
            <w:pPr>
              <w:spacing w:after="0"/>
              <w:rPr>
                <w:sz w:val="13"/>
                <w:szCs w:val="13"/>
                <w:color w:val="auto"/>
              </w:rPr>
            </w:pPr>
          </w:p>
        </w:tc>
        <w:tc>
          <w:tcPr>
            <w:tcW w:w="1600" w:type="dxa"/>
            <w:vAlign w:val="bottom"/>
            <w:tcBorders>
              <w:top w:val="single" w:sz="8" w:color="auto"/>
              <w:bottom w:val="single" w:sz="8" w:color="auto"/>
            </w:tcBorders>
          </w:tcPr>
          <w:p>
            <w:pPr>
              <w:jc w:val="center"/>
              <w:ind w:right="34"/>
              <w:spacing w:after="0" w:line="155"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FF0FC"/>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center"/>
              <w:ind w:right="597"/>
              <w:spacing w:after="0" w:line="155"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top w:val="single" w:sz="8" w:color="auto"/>
              <w:bottom w:val="single" w:sz="8" w:color="CFF0FC"/>
            </w:tcBorders>
          </w:tcPr>
          <w:p>
            <w:pPr>
              <w:spacing w:after="0"/>
              <w:rPr>
                <w:sz w:val="13"/>
                <w:szCs w:val="13"/>
                <w:color w:val="auto"/>
              </w:rPr>
            </w:pPr>
          </w:p>
        </w:tc>
        <w:tc>
          <w:tcPr>
            <w:tcW w:w="1600" w:type="dxa"/>
            <w:vAlign w:val="bottom"/>
            <w:tcBorders>
              <w:top w:val="single" w:sz="8" w:color="auto"/>
              <w:bottom w:val="single" w:sz="8" w:color="auto"/>
            </w:tcBorders>
          </w:tcPr>
          <w:p>
            <w:pPr>
              <w:jc w:val="center"/>
              <w:ind w:right="34"/>
              <w:spacing w:after="0" w:line="155" w:lineRule="exact"/>
              <w:rPr>
                <w:sz w:val="20"/>
                <w:szCs w:val="20"/>
                <w:color w:val="auto"/>
              </w:rPr>
            </w:pPr>
            <w:r>
              <w:rPr>
                <w:rFonts w:ascii="Arial" w:cs="Arial" w:eastAsia="Arial" w:hAnsi="Arial"/>
                <w:sz w:val="14"/>
                <w:szCs w:val="14"/>
                <w:b w:val="1"/>
                <w:bCs w:val="1"/>
                <w:color w:val="auto"/>
                <w:w w:val="89"/>
              </w:rPr>
              <w:t>2018</w:t>
            </w: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6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5.00 - 6.08</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574"/>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0"/>
              </w:rPr>
              <w:t>5.00 - 6.87</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right"/>
              <w:ind w:right="574"/>
              <w:spacing w:after="0"/>
              <w:rPr>
                <w:sz w:val="20"/>
                <w:szCs w:val="20"/>
                <w:color w:val="auto"/>
              </w:rPr>
            </w:pPr>
            <w:r>
              <w:rPr>
                <w:rFonts w:ascii="Arial" w:cs="Arial" w:eastAsia="Arial" w:hAnsi="Arial"/>
                <w:sz w:val="18"/>
                <w:szCs w:val="18"/>
                <w:color w:val="auto"/>
              </w:rPr>
              <w:t>5.99</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Volatility</w:t>
            </w:r>
          </w:p>
        </w:tc>
        <w:tc>
          <w:tcPr>
            <w:tcW w:w="660" w:type="dxa"/>
            <w:vAlign w:val="bottom"/>
          </w:tcPr>
          <w:p>
            <w:pPr>
              <w:jc w:val="right"/>
              <w:spacing w:after="0"/>
              <w:rPr>
                <w:sz w:val="20"/>
                <w:szCs w:val="20"/>
                <w:color w:val="auto"/>
              </w:rPr>
            </w:pPr>
            <w:r>
              <w:rPr>
                <w:rFonts w:ascii="Arial" w:cs="Arial" w:eastAsia="Arial" w:hAnsi="Arial"/>
                <w:sz w:val="18"/>
                <w:szCs w:val="18"/>
                <w:color w:val="auto"/>
              </w:rPr>
              <w:t>56.89</w:t>
            </w:r>
          </w:p>
        </w:tc>
        <w:tc>
          <w:tcPr>
            <w:tcW w:w="960" w:type="dxa"/>
            <w:vAlign w:val="bottom"/>
          </w:tcPr>
          <w:p>
            <w:pPr>
              <w:ind w:left="40"/>
              <w:spacing w:after="0"/>
              <w:rPr>
                <w:sz w:val="20"/>
                <w:szCs w:val="20"/>
                <w:color w:val="auto"/>
              </w:rPr>
            </w:pPr>
            <w:r>
              <w:rPr>
                <w:rFonts w:ascii="Arial" w:cs="Arial" w:eastAsia="Arial" w:hAnsi="Arial"/>
                <w:sz w:val="18"/>
                <w:szCs w:val="18"/>
                <w:color w:val="auto"/>
              </w:rPr>
              <w:t>- 57.27%</w:t>
            </w:r>
          </w:p>
        </w:tc>
        <w:tc>
          <w:tcPr>
            <w:tcW w:w="140" w:type="dxa"/>
            <w:vAlign w:val="bottom"/>
          </w:tcPr>
          <w:p>
            <w:pPr>
              <w:spacing w:after="0"/>
              <w:rPr>
                <w:sz w:val="19"/>
                <w:szCs w:val="19"/>
                <w:color w:val="auto"/>
              </w:rPr>
            </w:pPr>
          </w:p>
        </w:tc>
        <w:tc>
          <w:tcPr>
            <w:tcW w:w="1600" w:type="dxa"/>
            <w:vAlign w:val="bottom"/>
          </w:tcPr>
          <w:p>
            <w:pPr>
              <w:jc w:val="center"/>
              <w:ind w:right="34"/>
              <w:spacing w:after="0"/>
              <w:rPr>
                <w:sz w:val="20"/>
                <w:szCs w:val="20"/>
                <w:color w:val="auto"/>
              </w:rPr>
            </w:pPr>
            <w:r>
              <w:rPr>
                <w:rFonts w:ascii="Arial" w:cs="Arial" w:eastAsia="Arial" w:hAnsi="Arial"/>
                <w:sz w:val="18"/>
                <w:szCs w:val="18"/>
                <w:color w:val="auto"/>
                <w:w w:val="91"/>
              </w:rPr>
              <w:t>56.20%</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56.20</w:t>
            </w:r>
          </w:p>
        </w:tc>
        <w:tc>
          <w:tcPr>
            <w:tcW w:w="960" w:type="dxa"/>
            <w:vAlign w:val="bottom"/>
          </w:tcPr>
          <w:p>
            <w:pPr>
              <w:ind w:left="40"/>
              <w:spacing w:after="0"/>
              <w:rPr>
                <w:sz w:val="20"/>
                <w:szCs w:val="20"/>
                <w:color w:val="auto"/>
              </w:rPr>
            </w:pPr>
            <w:r>
              <w:rPr>
                <w:rFonts w:ascii="Arial" w:cs="Arial" w:eastAsia="Arial" w:hAnsi="Arial"/>
                <w:sz w:val="18"/>
                <w:szCs w:val="18"/>
                <w:color w:val="auto"/>
              </w:rPr>
              <w:t>- 57.27%</w:t>
            </w:r>
          </w:p>
        </w:tc>
        <w:tc>
          <w:tcPr>
            <w:tcW w:w="140" w:type="dxa"/>
            <w:vAlign w:val="bottom"/>
          </w:tcPr>
          <w:p>
            <w:pPr>
              <w:spacing w:after="0"/>
              <w:rPr>
                <w:sz w:val="19"/>
                <w:szCs w:val="19"/>
                <w:color w:val="auto"/>
              </w:rPr>
            </w:pPr>
          </w:p>
        </w:tc>
        <w:tc>
          <w:tcPr>
            <w:tcW w:w="1600" w:type="dxa"/>
            <w:vAlign w:val="bottom"/>
          </w:tcPr>
          <w:p>
            <w:pPr>
              <w:jc w:val="center"/>
              <w:ind w:right="34"/>
              <w:spacing w:after="0"/>
              <w:rPr>
                <w:sz w:val="20"/>
                <w:szCs w:val="20"/>
                <w:color w:val="auto"/>
              </w:rPr>
            </w:pPr>
            <w:r>
              <w:rPr>
                <w:rFonts w:ascii="Arial" w:cs="Arial" w:eastAsia="Arial" w:hAnsi="Arial"/>
                <w:sz w:val="18"/>
                <w:szCs w:val="18"/>
                <w:color w:val="auto"/>
                <w:w w:val="91"/>
              </w:rPr>
              <w:t>56.20%</w:t>
            </w: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- 2.36%</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center"/>
              <w:ind w:right="34"/>
              <w:spacing w:after="0"/>
              <w:rPr>
                <w:sz w:val="20"/>
                <w:szCs w:val="20"/>
                <w:color w:val="auto"/>
              </w:rPr>
            </w:pPr>
            <w:r>
              <w:rPr>
                <w:rFonts w:ascii="Arial" w:cs="Arial" w:eastAsia="Arial" w:hAnsi="Arial"/>
                <w:sz w:val="18"/>
                <w:szCs w:val="18"/>
                <w:color w:val="auto"/>
                <w:w w:val="90"/>
              </w:rPr>
              <w:t>2.84 - 2.88%</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- 2.52%</w:t>
            </w:r>
          </w:p>
        </w:tc>
        <w:tc>
          <w:tcPr>
            <w:tcW w:w="140" w:type="dxa"/>
            <w:vAlign w:val="bottom"/>
            <w:shd w:val="clear" w:color="auto" w:fill="CFF0FC"/>
          </w:tcPr>
          <w:p>
            <w:pPr>
              <w:spacing w:after="0"/>
              <w:rPr>
                <w:sz w:val="19"/>
                <w:szCs w:val="19"/>
                <w:color w:val="auto"/>
              </w:rPr>
            </w:pPr>
          </w:p>
        </w:tc>
        <w:tc>
          <w:tcPr>
            <w:tcW w:w="1600" w:type="dxa"/>
            <w:vAlign w:val="bottom"/>
            <w:shd w:val="clear" w:color="auto" w:fill="CFF0FC"/>
          </w:tcPr>
          <w:p>
            <w:pPr>
              <w:jc w:val="center"/>
              <w:ind w:right="34"/>
              <w:spacing w:after="0"/>
              <w:rPr>
                <w:sz w:val="20"/>
                <w:szCs w:val="20"/>
                <w:color w:val="auto"/>
              </w:rPr>
            </w:pPr>
            <w:r>
              <w:rPr>
                <w:rFonts w:ascii="Arial" w:cs="Arial" w:eastAsia="Arial" w:hAnsi="Arial"/>
                <w:sz w:val="18"/>
                <w:szCs w:val="18"/>
                <w:color w:val="auto"/>
                <w:w w:val="90"/>
              </w:rPr>
              <w:t>2.84 - 2.88%</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Dividend yield</w:t>
            </w:r>
          </w:p>
        </w:tc>
        <w:tc>
          <w:tcPr>
            <w:tcW w:w="660" w:type="dxa"/>
            <w:vAlign w:val="bottom"/>
          </w:tcPr>
          <w:p>
            <w:pPr>
              <w:spacing w:after="0"/>
              <w:rPr>
                <w:sz w:val="20"/>
                <w:szCs w:val="20"/>
                <w:color w:val="auto"/>
              </w:rPr>
            </w:pPr>
          </w:p>
        </w:tc>
        <w:tc>
          <w:tcPr>
            <w:tcW w:w="960" w:type="dxa"/>
            <w:vAlign w:val="bottom"/>
          </w:tcPr>
          <w:p>
            <w:pPr>
              <w:jc w:val="center"/>
              <w:ind w:right="597"/>
              <w:spacing w:after="0"/>
              <w:rPr>
                <w:sz w:val="20"/>
                <w:szCs w:val="20"/>
                <w:color w:val="auto"/>
              </w:rPr>
            </w:pPr>
            <w:r>
              <w:rPr>
                <w:rFonts w:ascii="Arial" w:cs="Arial" w:eastAsia="Arial" w:hAnsi="Arial"/>
                <w:sz w:val="18"/>
                <w:szCs w:val="18"/>
                <w:color w:val="auto"/>
                <w:w w:val="92"/>
              </w:rPr>
              <w:t>0%</w:t>
            </w:r>
          </w:p>
        </w:tc>
        <w:tc>
          <w:tcPr>
            <w:tcW w:w="140" w:type="dxa"/>
            <w:vAlign w:val="bottom"/>
          </w:tcPr>
          <w:p>
            <w:pPr>
              <w:spacing w:after="0"/>
              <w:rPr>
                <w:sz w:val="20"/>
                <w:szCs w:val="20"/>
                <w:color w:val="auto"/>
              </w:rPr>
            </w:pPr>
          </w:p>
        </w:tc>
        <w:tc>
          <w:tcPr>
            <w:tcW w:w="1600" w:type="dxa"/>
            <w:vAlign w:val="bottom"/>
          </w:tcPr>
          <w:p>
            <w:pPr>
              <w:jc w:val="center"/>
              <w:ind w:right="34"/>
              <w:spacing w:after="0"/>
              <w:rPr>
                <w:sz w:val="20"/>
                <w:szCs w:val="20"/>
                <w:color w:val="auto"/>
              </w:rPr>
            </w:pPr>
            <w:r>
              <w:rPr>
                <w:rFonts w:ascii="Arial" w:cs="Arial" w:eastAsia="Arial" w:hAnsi="Arial"/>
                <w:sz w:val="18"/>
                <w:szCs w:val="18"/>
                <w:color w:val="auto"/>
                <w:w w:val="92"/>
              </w:rPr>
              <w:t>0%</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jc w:val="center"/>
              <w:ind w:right="597"/>
              <w:spacing w:after="0"/>
              <w:rPr>
                <w:sz w:val="20"/>
                <w:szCs w:val="20"/>
                <w:color w:val="auto"/>
              </w:rPr>
            </w:pPr>
            <w:r>
              <w:rPr>
                <w:rFonts w:ascii="Arial" w:cs="Arial" w:eastAsia="Arial" w:hAnsi="Arial"/>
                <w:sz w:val="18"/>
                <w:szCs w:val="18"/>
                <w:color w:val="auto"/>
                <w:w w:val="92"/>
              </w:rPr>
              <w:t>0%</w:t>
            </w:r>
          </w:p>
        </w:tc>
        <w:tc>
          <w:tcPr>
            <w:tcW w:w="140" w:type="dxa"/>
            <w:vAlign w:val="bottom"/>
          </w:tcPr>
          <w:p>
            <w:pPr>
              <w:spacing w:after="0"/>
              <w:rPr>
                <w:sz w:val="20"/>
                <w:szCs w:val="20"/>
                <w:color w:val="auto"/>
              </w:rPr>
            </w:pPr>
          </w:p>
        </w:tc>
        <w:tc>
          <w:tcPr>
            <w:tcW w:w="1600" w:type="dxa"/>
            <w:vAlign w:val="bottom"/>
          </w:tcPr>
          <w:p>
            <w:pPr>
              <w:jc w:val="center"/>
              <w:ind w:right="34"/>
              <w:spacing w:after="0"/>
              <w:rPr>
                <w:sz w:val="20"/>
                <w:szCs w:val="20"/>
                <w:color w:val="auto"/>
              </w:rPr>
            </w:pPr>
            <w:r>
              <w:rPr>
                <w:rFonts w:ascii="Arial" w:cs="Arial" w:eastAsia="Arial" w:hAnsi="Arial"/>
                <w:sz w:val="18"/>
                <w:szCs w:val="18"/>
                <w:color w:val="auto"/>
                <w:w w:val="92"/>
              </w:rPr>
              <w:t>0%</w:t>
            </w:r>
          </w:p>
        </w:tc>
      </w:tr>
    </w:tbl>
    <w:p>
      <w:pPr>
        <w:spacing w:after="0" w:line="174" w:lineRule="exact"/>
        <w:rPr>
          <w:sz w:val="20"/>
          <w:szCs w:val="20"/>
          <w:color w:val="auto"/>
        </w:rPr>
      </w:pPr>
    </w:p>
    <w:p>
      <w:pPr>
        <w:jc w:val="both"/>
        <w:ind w:right="20" w:firstLine="761"/>
        <w:spacing w:after="0" w:line="257"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is calculated using the simplified method, which is available if there is insufficient historical data about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patterns and post-vesting employment termination behavior. The simplified method is based on the vesting period and the contractual term for each grant, or for each vesting tranche for awards with graded vesting. The midpoint of the vesting date and the maximum contractual expiration date is used as the expected term under this method. For awards with multiple vesting tranches, the times from grant until the midpoints for each of the tranches may be averaged to provide an overall expected term.</w:t>
      </w:r>
    </w:p>
    <w:p>
      <w:pPr>
        <w:spacing w:after="0" w:line="148" w:lineRule="exact"/>
        <w:rPr>
          <w:sz w:val="20"/>
          <w:szCs w:val="20"/>
          <w:color w:val="auto"/>
        </w:rPr>
      </w:pPr>
    </w:p>
    <w:p>
      <w:pPr>
        <w:jc w:val="both"/>
        <w:ind w:right="20" w:firstLine="761"/>
        <w:spacing w:after="0" w:line="259" w:lineRule="auto"/>
        <w:rPr>
          <w:sz w:val="20"/>
          <w:szCs w:val="20"/>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Company used an average historical stock price volatility of a peer group of publicly traded companies to be representative</w:t>
      </w:r>
      <w:r>
        <w:rPr>
          <w:rFonts w:ascii="Arial" w:cs="Arial" w:eastAsia="Arial" w:hAnsi="Arial"/>
          <w:sz w:val="18"/>
          <w:szCs w:val="18"/>
          <w:i w:val="1"/>
          <w:iCs w:val="1"/>
          <w:color w:val="auto"/>
        </w:rPr>
        <w:t xml:space="preserve"> </w:t>
      </w:r>
      <w:r>
        <w:rPr>
          <w:rFonts w:ascii="Arial" w:cs="Arial" w:eastAsia="Arial" w:hAnsi="Arial"/>
          <w:sz w:val="18"/>
          <w:szCs w:val="18"/>
          <w:color w:val="auto"/>
        </w:rPr>
        <w:t>of its expected future stock price volatility, as the Company did not have sufficient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146"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implied yield currently available on U.S. Treasury zero-coupon issues with</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terms equivalent to the expected term of a stock award.</w:t>
      </w:r>
    </w:p>
    <w:p>
      <w:pPr>
        <w:spacing w:after="0" w:line="143"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i w:val="1"/>
          <w:iCs w:val="1"/>
          <w:color w:val="auto"/>
        </w:rPr>
        <w:t xml:space="preserve">Expected Dividend Rate. </w:t>
      </w:r>
      <w:r>
        <w:rPr>
          <w:rFonts w:ascii="Arial" w:cs="Arial" w:eastAsia="Arial" w:hAnsi="Arial"/>
          <w:sz w:val="18"/>
          <w:szCs w:val="18"/>
          <w:color w:val="auto"/>
        </w:rPr>
        <w:t>The Company has not paid and does not anticipate paying any dividends in the near future. Accordingly,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the dividend yield to be zero.</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Employee Stock Purchase Plan</w:t>
      </w:r>
    </w:p>
    <w:p>
      <w:pPr>
        <w:spacing w:after="0" w:line="185" w:lineRule="exact"/>
        <w:rPr>
          <w:sz w:val="20"/>
          <w:szCs w:val="20"/>
          <w:color w:val="auto"/>
        </w:rPr>
      </w:pPr>
    </w:p>
    <w:p>
      <w:pPr>
        <w:jc w:val="both"/>
        <w:ind w:right="20" w:firstLine="761"/>
        <w:spacing w:after="0" w:line="264" w:lineRule="auto"/>
        <w:rPr>
          <w:sz w:val="20"/>
          <w:szCs w:val="20"/>
          <w:color w:val="auto"/>
        </w:rPr>
      </w:pPr>
      <w:r>
        <w:rPr>
          <w:rFonts w:ascii="Arial" w:cs="Arial" w:eastAsia="Arial" w:hAnsi="Arial"/>
          <w:sz w:val="18"/>
          <w:szCs w:val="18"/>
          <w:color w:val="auto"/>
        </w:rPr>
        <w:t>In May 2019, the Board adopted the 2019 Employee Stock Purchase Plan (the “ESPP”), which was approved by the Company’s stockholders in June 2019. A total of 250,000 shares of common stock are initially reserved for issuance under the ESPP. The number of shares may be increased in accordance with the terms of the ESPP.</w:t>
      </w:r>
    </w:p>
    <w:p>
      <w:pPr>
        <w:spacing w:after="0" w:line="154" w:lineRule="exact"/>
        <w:rPr>
          <w:sz w:val="20"/>
          <w:szCs w:val="20"/>
          <w:color w:val="auto"/>
        </w:rPr>
      </w:pPr>
    </w:p>
    <w:p>
      <w:pPr>
        <w:jc w:val="both"/>
        <w:ind w:right="20" w:firstLine="761"/>
        <w:spacing w:after="0" w:line="257" w:lineRule="auto"/>
        <w:rPr>
          <w:sz w:val="20"/>
          <w:szCs w:val="20"/>
          <w:color w:val="auto"/>
        </w:rPr>
      </w:pPr>
      <w:r>
        <w:rPr>
          <w:rFonts w:ascii="Arial" w:cs="Arial" w:eastAsia="Arial" w:hAnsi="Arial"/>
          <w:sz w:val="18"/>
          <w:szCs w:val="18"/>
          <w:color w:val="auto"/>
        </w:rPr>
        <w:t>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 offering period, whichever is lower. Except for the initial offering period, the ESPP provides for separate six-month offering periods beginning on May 1 and November 1 of each year. The initial offering period runs from June 20, 2019 through October 31, 2019.</w:t>
      </w:r>
    </w:p>
    <w:p>
      <w:pPr>
        <w:spacing w:after="0" w:line="148" w:lineRule="exact"/>
        <w:rPr>
          <w:sz w:val="20"/>
          <w:szCs w:val="20"/>
          <w:color w:val="auto"/>
        </w:rPr>
      </w:pPr>
    </w:p>
    <w:p>
      <w:pPr>
        <w:jc w:val="both"/>
        <w:ind w:right="20" w:firstLine="761"/>
        <w:spacing w:after="0" w:line="259" w:lineRule="auto"/>
        <w:rPr>
          <w:sz w:val="20"/>
          <w:szCs w:val="20"/>
          <w:color w:val="auto"/>
        </w:rPr>
      </w:pPr>
      <w:r>
        <w:rPr>
          <w:rFonts w:ascii="Arial" w:cs="Arial" w:eastAsia="Arial" w:hAnsi="Arial"/>
          <w:sz w:val="18"/>
          <w:szCs w:val="18"/>
          <w:color w:val="auto"/>
        </w:rPr>
        <w:t>During the six-months ended June 30, 2019, no shares of common stock were purchased under the ESPP. The total compensation expense related to the ESPP for the six-months ended June 30, 2019 was not material. The following assumptions were used to calculate the stock-based compensation for each stock purchase right granted under the ESPP: a weighted-average expected life of 0.37 years; expected volatility of 59.1%; a risk-free interest rate of 2.1%; and a zero dividend yield.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summary of stock-based compensation expense by function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80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4"/>
          </w:tcPr>
          <w:p>
            <w:pPr>
              <w:jc w:val="right"/>
              <w:ind w:right="814"/>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r>
      <w:tr>
        <w:trPr>
          <w:trHeight w:val="156"/>
        </w:trPr>
        <w:tc>
          <w:tcPr>
            <w:tcW w:w="4560" w:type="dxa"/>
            <w:vAlign w:val="bottom"/>
          </w:tcPr>
          <w:p>
            <w:pPr>
              <w:spacing w:after="0"/>
              <w:rPr>
                <w:sz w:val="13"/>
                <w:szCs w:val="13"/>
                <w:color w:val="auto"/>
              </w:rPr>
            </w:pPr>
          </w:p>
        </w:tc>
        <w:tc>
          <w:tcPr>
            <w:tcW w:w="980" w:type="dxa"/>
            <w:vAlign w:val="bottom"/>
          </w:tcPr>
          <w:p>
            <w:pPr>
              <w:jc w:val="right"/>
              <w:ind w:right="27"/>
              <w:spacing w:after="0" w:line="155" w:lineRule="exact"/>
              <w:rPr>
                <w:sz w:val="20"/>
                <w:szCs w:val="20"/>
                <w:color w:val="auto"/>
              </w:rPr>
            </w:pPr>
            <w:r>
              <w:rPr>
                <w:rFonts w:ascii="Arial" w:cs="Arial" w:eastAsia="Arial" w:hAnsi="Arial"/>
                <w:sz w:val="14"/>
                <w:szCs w:val="14"/>
                <w:b w:val="1"/>
                <w:bCs w:val="1"/>
                <w:color w:val="auto"/>
              </w:rPr>
              <w:t>2019</w:t>
            </w:r>
          </w:p>
        </w:tc>
        <w:tc>
          <w:tcPr>
            <w:tcW w:w="620" w:type="dxa"/>
            <w:vAlign w:val="bottom"/>
          </w:tcPr>
          <w:p>
            <w:pPr>
              <w:spacing w:after="0"/>
              <w:rPr>
                <w:sz w:val="13"/>
                <w:szCs w:val="13"/>
                <w:color w:val="auto"/>
              </w:rPr>
            </w:pPr>
          </w:p>
        </w:tc>
        <w:tc>
          <w:tcPr>
            <w:tcW w:w="1200" w:type="dxa"/>
            <w:vAlign w:val="bottom"/>
            <w:gridSpan w:val="2"/>
          </w:tcPr>
          <w:p>
            <w:pPr>
              <w:jc w:val="right"/>
              <w:ind w:right="90"/>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jc w:val="right"/>
              <w:ind w:right="636"/>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jc w:val="right"/>
              <w:ind w:right="634"/>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980" w:type="dxa"/>
            <w:vAlign w:val="bottom"/>
            <w:tcBorders>
              <w:top w:val="single" w:sz="8" w:color="auto"/>
            </w:tcBorders>
            <w:shd w:val="clear" w:color="auto" w:fill="CFF0FC"/>
          </w:tcPr>
          <w:p>
            <w:pPr>
              <w:jc w:val="right"/>
              <w:ind w:right="8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105</w:t>
            </w:r>
          </w:p>
        </w:tc>
        <w:tc>
          <w:tcPr>
            <w:tcW w:w="1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w:t>
            </w:r>
          </w:p>
        </w:tc>
        <w:tc>
          <w:tcPr>
            <w:tcW w:w="1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190</w:t>
            </w:r>
          </w:p>
        </w:tc>
        <w:tc>
          <w:tcPr>
            <w:tcW w:w="1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19"/>
                <w:szCs w:val="19"/>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color w:val="auto"/>
              </w:rPr>
              <w:t>357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1,348</w:t>
            </w:r>
          </w:p>
        </w:tc>
        <w:tc>
          <w:tcPr>
            <w:tcW w:w="1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1,708</w:t>
            </w:r>
          </w:p>
        </w:tc>
        <w:tc>
          <w:tcPr>
            <w:tcW w:w="1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9"/>
                <w:szCs w:val="19"/>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980" w:type="dxa"/>
            <w:vAlign w:val="bottom"/>
            <w:tcBorders>
              <w:bottom w:val="single" w:sz="8" w:color="auto"/>
            </w:tcBorders>
          </w:tcPr>
          <w:p>
            <w:pPr>
              <w:jc w:val="right"/>
              <w:ind w:right="8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1,646</w:t>
            </w: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2,255</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583</w:t>
            </w:r>
          </w:p>
        </w:tc>
        <w:tc>
          <w:tcPr>
            <w:tcW w:w="2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jc w:val="right"/>
              <w:ind w:right="27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22" w:name="page23"/>
    <w:bookmarkEnd w:id="22"/>
    <w:p>
      <w:pPr>
        <w:ind w:left="760"/>
        <w:spacing w:after="0"/>
        <w:rPr>
          <w:sz w:val="20"/>
          <w:szCs w:val="20"/>
          <w:color w:val="auto"/>
        </w:rPr>
      </w:pPr>
      <w:r>
        <w:rPr>
          <w:rFonts w:ascii="Arial" w:cs="Arial" w:eastAsia="Arial" w:hAnsi="Arial"/>
          <w:sz w:val="16"/>
          <w:szCs w:val="16"/>
          <w:color w:val="auto"/>
        </w:rPr>
        <w:t>During the three months ended June 30, 2019, 67,418 shares with performance conditions vested. The awards were subject to two vesting criteria:</w:t>
      </w:r>
    </w:p>
    <w:p>
      <w:pPr>
        <w:spacing w:after="0" w:line="46" w:lineRule="exact"/>
        <w:rPr>
          <w:sz w:val="20"/>
          <w:szCs w:val="20"/>
          <w:color w:val="auto"/>
        </w:rPr>
      </w:pPr>
    </w:p>
    <w:p>
      <w:pPr>
        <w:ind w:firstLine="8"/>
        <w:spacing w:after="0" w:line="261"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a time-based service criterion, and (ii) a performance criterion of an initial public offering, which were met in connection with our June 20, 2019 IPO. The Company recognized $0.3 million of stock-based compensation expense for all such awards.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Redeemable Convertible Preferred Stock Warrants</w:t>
      </w:r>
    </w:p>
    <w:p>
      <w:pPr>
        <w:spacing w:after="0" w:line="189"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In September 2014, in connection with the Term Loan (see Note 6), the Company issued a warrant to purchase 22,489 shares of its Series B redeemable convertible preferred stock at an exercise price of $4.60 per share. The estimated fair value of the Series B convertible preferred stock warrant on the date of issuance of $0.1 million was recorded as a debt reduction. As of the issuance date, the fair value of the Series B convertible preferred stock warrant was calculated using the Black-Scholes option-pricing model and was based on a contractual term of ten years, a risk-free interest rate of 2.52%, expected volatility of 66.53%, and 0% expected dividend yield.</w:t>
      </w:r>
    </w:p>
    <w:p>
      <w:pPr>
        <w:spacing w:after="0" w:line="148"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In June 2017, as additional consideration for the Revolving Loan (see Note 6), the Company issued a warrant to purchase up to 62,096 shares of its Series C redeemable convertible preferred stock at an exercise price of $8.052, subject to certain adjustments, such as any stock splits, stock dividends, recapitalizations, reclassifications, combinations, or similar transactions. The remaining term of the Series C convertible preferred stock warrant is seven years from June 28, 2017.</w:t>
      </w:r>
    </w:p>
    <w:p>
      <w:pPr>
        <w:spacing w:after="0" w:line="160" w:lineRule="exact"/>
        <w:rPr>
          <w:sz w:val="20"/>
          <w:szCs w:val="20"/>
          <w:color w:val="auto"/>
        </w:rPr>
      </w:pPr>
    </w:p>
    <w:p>
      <w:pPr>
        <w:jc w:val="both"/>
        <w:ind w:right="20" w:firstLine="761"/>
        <w:spacing w:after="0" w:line="312" w:lineRule="auto"/>
        <w:rPr>
          <w:sz w:val="20"/>
          <w:szCs w:val="20"/>
          <w:color w:val="auto"/>
        </w:rPr>
      </w:pPr>
      <w:r>
        <w:rPr>
          <w:rFonts w:ascii="Arial" w:cs="Arial" w:eastAsia="Arial" w:hAnsi="Arial"/>
          <w:sz w:val="16"/>
          <w:szCs w:val="16"/>
          <w:color w:val="auto"/>
        </w:rPr>
        <w:t>The estimated fair value of the Series C convertible preferred stock warrant on the date of issuance of $0.1 million was recorded as a debt reduction. As of the issuance date, the fair value of the Series C convertible preferred stock warrant was calculated using the Black-Scholes option-pricing model and was based on a contractual term of seven years, a risk-free interest rate of 1.97%, expected volatility of 64.33%, and 0% expected dividend yield.</w:t>
      </w:r>
    </w:p>
    <w:p>
      <w:pPr>
        <w:spacing w:after="0" w:line="106"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At initial recognition, the convertible preferred stock warrants were recorded at their estimated fair values and were subject to remeasurement at each consolidated balance sheet date, with changes in fair value recognized as a component of net income. As of December 31, 2018, the fair values of the convertible preferred stock warrants were calculated to be $0.7 million.</w:t>
      </w:r>
    </w:p>
    <w:p>
      <w:pPr>
        <w:spacing w:after="0" w:line="141"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Immediately prior to the closing of the Company’s IPO, the redeemable convertible preferred stock warrants automatically converted to common stock warrants, and were reclassified as common stock warrants. As a result of the automatic conversion of the redeemable convertible preferred stock warrants to common stock warrants, the Company revalued the redeemable convertible preferred stock warrants as of the completion of the IPO and reclassified the outstanding preferred stock warrant liability balance to additional paid-in capital with no further remeasurements as the common stock warrants are now deemed permanent equity. The fair value transferred to additional paid-in capital was $2.1 million.</w:t>
      </w:r>
    </w:p>
    <w:p>
      <w:pPr>
        <w:spacing w:after="0" w:line="146"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Subsequent to the conversion to a common stock warrant and before the end of the quarter ended June 30, 2019, the common stock warrant for 22,489 shares was exercised. As a result, the Company issued 19,069 shares of common stock as the contract allows a net share settlement. As of June 30, 2019, the common stock warrant for 62,096 shares was still outstanding.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Common Stock Warrants</w:t>
      </w:r>
    </w:p>
    <w:p>
      <w:pPr>
        <w:spacing w:after="0" w:line="189"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In connection with the sale of Series A redeemable convertible preferred stock in August 2011, the Company issued a warrant to purchase 188,643 shares of common stock to an investor who purchased Series A redeemable convertible preferred stock in August 2011 at an exercise price of $0.04 per share. The Company recorded the issuance-date fair value of the warrant of $0.1 million in equity as the warrant met all criteria for equity classification. The common stock warrant was exercised in June 2019 prior to the Company’s IPO and is no longer outstanding as of June 30, 2019.</w:t>
      </w:r>
    </w:p>
    <w:p>
      <w:pPr>
        <w:spacing w:after="0" w:line="144"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In connection with the Growth Capital Loan agreement (see Note 6), the Company issued a warrant to purchase 65,502 shares of common stock to the lender at an exercise price of $9.16 per share. The Company recorded the issuance-date fair value of the warrant of $0.6 million in equity as the warrant met all criteria for equity classification. The warrant is still outstanding at June 30,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85" w:lineRule="exact"/>
        <w:rPr>
          <w:sz w:val="20"/>
          <w:szCs w:val="20"/>
          <w:color w:val="auto"/>
        </w:rPr>
      </w:pPr>
    </w:p>
    <w:p>
      <w:pPr>
        <w:jc w:val="both"/>
        <w:ind w:right="20" w:firstLine="761"/>
        <w:spacing w:after="0" w:line="290"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Accruals for litigation and contingencies are reflected in the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As of December 31, 2018 and June 30, 2019, the Company was not involved in any material 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w:t>
      </w:r>
    </w:p>
    <w:p>
      <w:pPr>
        <w:spacing w:after="0" w:line="185" w:lineRule="exact"/>
        <w:rPr>
          <w:sz w:val="20"/>
          <w:szCs w:val="20"/>
          <w:color w:val="auto"/>
        </w:rPr>
      </w:pPr>
    </w:p>
    <w:p>
      <w:pPr>
        <w:jc w:val="both"/>
        <w:ind w:right="20" w:firstLine="761"/>
        <w:spacing w:after="0" w:line="279" w:lineRule="auto"/>
        <w:rPr>
          <w:sz w:val="20"/>
          <w:szCs w:val="20"/>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Net Loss per Share Attributable to Common Stockholders</w:t>
      </w:r>
    </w:p>
    <w:p>
      <w:pPr>
        <w:spacing w:after="0" w:line="202" w:lineRule="exact"/>
        <w:rPr>
          <w:sz w:val="20"/>
          <w:szCs w:val="20"/>
          <w:color w:val="auto"/>
        </w:rPr>
      </w:pPr>
    </w:p>
    <w:p>
      <w:pPr>
        <w:jc w:val="both"/>
        <w:ind w:right="20" w:firstLine="761"/>
        <w:spacing w:after="0" w:line="259" w:lineRule="auto"/>
        <w:rPr>
          <w:sz w:val="20"/>
          <w:szCs w:val="20"/>
          <w:color w:val="auto"/>
        </w:rPr>
      </w:pPr>
      <w:r>
        <w:rPr>
          <w:rFonts w:ascii="Arial" w:cs="Arial" w:eastAsia="Arial" w:hAnsi="Arial"/>
          <w:sz w:val="18"/>
          <w:szCs w:val="18"/>
          <w:color w:val="auto"/>
        </w:rPr>
        <w:t>Basic net loss per share is computed by dividing the net loss by the weighted-average number of common shares outstanding for the period. Because the Company reported a net loss for the three and six months ended June 30, 2019 and 2018, the number of shares used to calculate diluted net loss per common share is the same as the number of shares used to calculate basic net loss per common share for those periods presented because the potentially dilutive shares would have been antidilutive if included in the calculation.</w:t>
      </w:r>
    </w:p>
    <w:p>
      <w:pPr>
        <w:spacing w:after="0" w:line="146" w:lineRule="exact"/>
        <w:rPr>
          <w:sz w:val="20"/>
          <w:szCs w:val="20"/>
          <w:color w:val="auto"/>
        </w:rPr>
      </w:pPr>
    </w:p>
    <w:p>
      <w:pPr>
        <w:jc w:val="both"/>
        <w:ind w:right="20" w:firstLine="761"/>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242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62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Net loss attributable to common stockholders</w:t>
            </w:r>
          </w:p>
        </w:tc>
        <w:tc>
          <w:tcPr>
            <w:tcW w:w="5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(5,869)</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(7,315)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(11,554)</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Weighted-average shares outstanding</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6,597,811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3,064,123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4,854,125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3,062,435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weighted-average shares subject to repurchase</w:t>
            </w:r>
          </w:p>
        </w:tc>
        <w:tc>
          <w:tcPr>
            <w:tcW w:w="3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20" w:type="dxa"/>
            <w:vAlign w:val="bottom"/>
          </w:tcPr>
          <w:p>
            <w:pPr>
              <w:ind w:left="260"/>
              <w:spacing w:after="0"/>
              <w:rPr>
                <w:sz w:val="20"/>
                <w:szCs w:val="20"/>
                <w:color w:val="auto"/>
              </w:rPr>
            </w:pPr>
            <w:r>
              <w:rPr>
                <w:rFonts w:ascii="Arial" w:cs="Arial" w:eastAsia="Arial" w:hAnsi="Arial"/>
                <w:sz w:val="18"/>
                <w:szCs w:val="18"/>
                <w:color w:val="auto"/>
                <w:w w:val="88"/>
              </w:rPr>
              <w:t>Weighted-average shares outstanding used in computing net loss per share</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attributable to common stockholders — basic and diluted</w:t>
            </w:r>
          </w:p>
        </w:tc>
        <w:tc>
          <w:tcPr>
            <w:tcW w:w="3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6,597,007</w:t>
            </w:r>
          </w:p>
        </w:tc>
        <w:tc>
          <w:tcPr>
            <w:tcW w:w="1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3,063,126</w:t>
            </w:r>
          </w:p>
        </w:tc>
        <w:tc>
          <w:tcPr>
            <w:tcW w:w="1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4,853,325</w:t>
            </w:r>
          </w:p>
        </w:tc>
        <w:tc>
          <w:tcPr>
            <w:tcW w:w="1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3,061,069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2"/>
              </w:rPr>
              <w:t>Net loss per share attributable to common stockholders — basic and diluted</w:t>
            </w:r>
          </w:p>
        </w:tc>
        <w:tc>
          <w:tcPr>
            <w:tcW w:w="3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1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4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24</w:t>
            </w: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62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6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4" w:name="page25"/>
    <w:bookmarkEnd w:id="24"/>
    <w:p>
      <w:pPr>
        <w:ind w:firstLine="761"/>
        <w:spacing w:after="0" w:line="277"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diluted net loss per share attributable to common stockholders for the periods presented because including them would have been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78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2680" w:type="dxa"/>
            <w:vAlign w:val="bottom"/>
            <w:gridSpan w:val="3"/>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r>
      <w:tr>
        <w:trPr>
          <w:trHeight w:val="156"/>
        </w:trPr>
        <w:tc>
          <w:tcPr>
            <w:tcW w:w="596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2018</w:t>
            </w: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Redeemable convertible preferred stock</w:t>
            </w: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16,806,746</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16,806,746</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Conversion of Convertible Notes</w:t>
            </w:r>
            <w:r>
              <w:rPr>
                <w:rFonts w:ascii="Arial" w:cs="Arial" w:eastAsia="Arial" w:hAnsi="Arial"/>
                <w:sz w:val="15"/>
                <w:szCs w:val="15"/>
                <w:color w:val="auto"/>
              </w:rPr>
              <w:t>(1)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1,639,716</w:t>
            </w:r>
          </w:p>
        </w:tc>
        <w:tc>
          <w:tcPr>
            <w:tcW w:w="1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1,639,716</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w:t>
            </w: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127,598</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188,643</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127,598</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188,643</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Series B preferred stock warrant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22,489</w:t>
            </w:r>
          </w:p>
        </w:tc>
        <w:tc>
          <w:tcPr>
            <w:tcW w:w="12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22,489</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Series C preferred stock warrant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62,096</w:t>
            </w:r>
          </w:p>
        </w:tc>
        <w:tc>
          <w:tcPr>
            <w:tcW w:w="1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62,096</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4,563,163</w:t>
            </w:r>
          </w:p>
        </w:tc>
        <w:tc>
          <w:tcPr>
            <w:tcW w:w="140" w:type="dxa"/>
            <w:vAlign w:val="bottom"/>
          </w:tcPr>
          <w:p>
            <w:pPr>
              <w:spacing w:after="0"/>
              <w:rPr>
                <w:sz w:val="19"/>
                <w:szCs w:val="19"/>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3,398,484</w:t>
            </w:r>
          </w:p>
        </w:tc>
        <w:tc>
          <w:tcPr>
            <w:tcW w:w="120" w:type="dxa"/>
            <w:vAlign w:val="bottom"/>
          </w:tcPr>
          <w:p>
            <w:pPr>
              <w:spacing w:after="0"/>
              <w:rPr>
                <w:sz w:val="19"/>
                <w:szCs w:val="19"/>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4,563,163</w:t>
            </w:r>
          </w:p>
        </w:tc>
        <w:tc>
          <w:tcPr>
            <w:tcW w:w="14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3,398,484</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Unvested early exercised common stock options</w:t>
            </w:r>
          </w:p>
        </w:tc>
        <w:tc>
          <w:tcPr>
            <w:tcW w:w="12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548</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548</w:t>
            </w: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195</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61,892</w:t>
            </w: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61,892</w:t>
            </w:r>
          </w:p>
        </w:tc>
        <w:tc>
          <w:tcPr>
            <w:tcW w:w="140" w:type="dxa"/>
            <w:vAlign w:val="bottom"/>
          </w:tcPr>
          <w:p>
            <w:pPr>
              <w:spacing w:after="0"/>
              <w:rPr>
                <w:sz w:val="19"/>
                <w:szCs w:val="19"/>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4,753,201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22,118,369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4,753,201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22,118,369</w:t>
            </w:r>
          </w:p>
        </w:tc>
      </w:tr>
      <w:tr>
        <w:trPr>
          <w:trHeight w:val="20"/>
        </w:trPr>
        <w:tc>
          <w:tcPr>
            <w:tcW w:w="59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Calculated as $12.2 million principal and $1.0 million accrued but unpaid interest as of June 30, 2018.</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elsewhere in this Quarterly Report on Form 10-Q and our final prospectus filed with the Securities and Exchange Commission (the “SEC”) pursuant to Rule 424(b) under the Securities Act of 1933, as amended, on June 20, 2019 (the “Prospectus”).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“Special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Prospectus</w:t>
      </w:r>
    </w:p>
    <w:p>
      <w:pPr>
        <w:spacing w:after="0" w:line="139"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i w:val="1"/>
          <w:iCs w:val="1"/>
          <w:color w:val="auto"/>
        </w:rPr>
        <w:t>This Quarterly Report on Form 10-Q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Quarterly Report on Form 10-Q is also based on our internal estimates.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761"/>
        <w:spacing w:after="0" w:line="288" w:lineRule="auto"/>
        <w:rPr>
          <w:sz w:val="20"/>
          <w:szCs w:val="20"/>
          <w:color w:val="auto"/>
        </w:rPr>
      </w:pPr>
      <w:r>
        <w:rPr>
          <w:rFonts w:ascii="Arial" w:cs="Arial" w:eastAsia="Arial" w:hAnsi="Arial"/>
          <w:sz w:val="16"/>
          <w:szCs w:val="16"/>
          <w:color w:val="auto"/>
        </w:rPr>
        <w:t>We are a growing cancer genomics company transforming the development of next-generation therapies by providing more comprehensive molecular data about each patient’s cancer and immune response. We designed our NeXT Platform to adapt to the complex and evolving understanding of cancer, providing our biopharmaceutical customers with information on all of the approximately 20,000 human genes, together with the immune system, in contrast to many cancer panels that cover roughly 50 to 500 genes. We are also developing a complementary liquid biopsy assay that analyzes all human genes versus the more narrowly focused liquid biopsy assays that are currently available. By combining technological innovation, operational scale, and regulatory differentiation, our NeXT Platform is designed to help our customers obtain new insights into the mechanisms of response and resistance to therapy as well as new potential therapeutic targets. Our platform enhances the ability of biopharmaceutical companies to unlock the potential of conducting translational research in the clinic rather than with pre-clinical animal models or cancer cell lines. We are also planning to release a diagnostic based on our NeXT Platform that we envision being used initially by biopharmaceutical customers and clinical collaborators. Since inception, we have provided our services to more than 45 biopharmaceutical customers, including several of the largest pharmaceutical companies in the world.</w:t>
      </w:r>
    </w:p>
    <w:p>
      <w:pPr>
        <w:spacing w:after="0" w:line="142"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We have focused on human genome sequencing since our inception in 2011. In 2013, we introduced our patented ACE Exome technology, providing enhanced and more complete coverage over all of the approximately 20,000 human genes. The superior performance of ACE Exome technology compared to other exomes was described in Genome Medicine and Nature Review publications.</w:t>
      </w:r>
    </w:p>
    <w:p>
      <w:pPr>
        <w:spacing w:after="0" w:line="141"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In November 2016, we launched our ACE ImmunoID product, the first generation of our immuno-oncology genomics platform that combined our ACE exome and transcriptome technology with analytics to provide a more comprehensive tumor profiling solution for biopharma customers conducting cancer clinical trials and translational research. With ACE ImmunoID for Personalized Cancer Therapy, we further enhanced the platform for personalized cancer therapy customers with additional neoantigen analytics, improved turnaround times, and access to a Device Master File that we filed with the U.S. Food and Drug Administration. With the ACE ImmunoID for Biomarkers, we extended the platform further with ImmunogenomicsID, a broad immunogenomics biomarker analysis engine. In November 2018, we announced ImmunoID NeXT, our universal cancer immunogenomics platform, which is the first technology to enable comprehensive analysis of both a tumor and its immune microenvironment from a single sample and provides utility across immuno-oncology, targeted, and personalized therapies. We expect to do a full commercial launch of ImmunoID NeXT in 2019.</w:t>
      </w:r>
    </w:p>
    <w:p>
      <w:pPr>
        <w:spacing w:after="0" w:line="138"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In parallel with the work described above, we also developed multiple clinical diagnostic tests. Clinical diagnostic testing has remained a small portion of our business, primarily because we have elected not to expend the time and resources necessary to secure third-party reimbursement, choosing instead to pursue more immediate revenue opportunities. Nevertheless, it has helped us to develop important capabilities that do not depend on third-party reimbursement. In June 2015, we launched our ACE CancerPlus Test based on a 1,400-gene panel. We plan to build on this experience in 2019 by introducing a clinical diagnostic test based on our ImmunoID NeXT Platform, which will include all of the approximately 20,000 human genes and will be targeted initially to biopharmaceutical customers.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jc w:val="both"/>
        <w:ind w:firstLine="761"/>
        <w:spacing w:after="0" w:line="279" w:lineRule="auto"/>
        <w:rPr>
          <w:sz w:val="20"/>
          <w:szCs w:val="20"/>
          <w:color w:val="auto"/>
        </w:rPr>
      </w:pPr>
      <w:r>
        <w:rPr>
          <w:rFonts w:ascii="Arial" w:cs="Arial" w:eastAsia="Arial" w:hAnsi="Arial"/>
          <w:sz w:val="17"/>
          <w:szCs w:val="17"/>
          <w:color w:val="auto"/>
        </w:rPr>
        <w:t>In parallel with the development of our platform technology, we have also provided DNA sequencing and analysis services under contract with the U.S. Department of Veterans Affairs (the “VA”) Million Veteran Program (the “VA MVP”), beginning in 2012. This relationship with the VA MVP has enabled us to innovate, scale our operational infrastructure, and achieve greater efficiencies in our lab. Our customers include large-cap pharmaceutical companies, emerging biotechnology companies, universities, non-profit medical research institutes, and government entities.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sets forth, for the periods presented, certain unaudited condensed consolidated statements of operations information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15,825</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8,799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29,900</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12,963</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 of revenues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9,923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6,403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20,014</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10,468</w:t>
            </w:r>
          </w:p>
        </w:tc>
        <w:tc>
          <w:tcPr>
            <w:tcW w:w="0" w:type="dxa"/>
            <w:vAlign w:val="bottom"/>
          </w:tcPr>
          <w:p>
            <w:pPr>
              <w:spacing w:after="0"/>
              <w:rPr>
                <w:sz w:val="1"/>
                <w:szCs w:val="1"/>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4,497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9,742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6,449</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5,466</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2,604</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9,636</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19,886</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12,507</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39,392</w:t>
            </w: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21,834</w:t>
            </w:r>
          </w:p>
        </w:tc>
        <w:tc>
          <w:tcPr>
            <w:tcW w:w="0" w:type="dxa"/>
            <w:vAlign w:val="bottom"/>
          </w:tcPr>
          <w:p>
            <w:pPr>
              <w:spacing w:after="0"/>
              <w:rPr>
                <w:sz w:val="1"/>
                <w:szCs w:val="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(4,061)</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(9,492)</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(8,871)</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284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Loss on debt extinguishment</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 (expense) income, net</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(1,413)</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(5,867)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(11,550)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(12,687)</w:t>
            </w: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596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(5,869)</w:t>
            </w:r>
          </w:p>
        </w:tc>
        <w:tc>
          <w:tcPr>
            <w:tcW w:w="1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(7,315)</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(11,554)</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(12,690)</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basic and diluted</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Weighted-average shares outstanding, basic and diluted</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6,597,007</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3,063,126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4,853,325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3,061,069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2019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Comparison of the Three Months Ended June 30, 2019 and 2018</w:t>
      </w:r>
    </w:p>
    <w:p>
      <w:pPr>
        <w:spacing w:after="0" w:line="225" w:lineRule="exact"/>
        <w:rPr>
          <w:sz w:val="20"/>
          <w:szCs w:val="20"/>
          <w:color w:val="auto"/>
        </w:rPr>
      </w:pPr>
    </w:p>
    <w:p>
      <w:pPr>
        <w:ind w:right="40" w:firstLine="761"/>
        <w:spacing w:after="0" w:line="276" w:lineRule="auto"/>
        <w:rPr>
          <w:sz w:val="20"/>
          <w:szCs w:val="20"/>
          <w:color w:val="auto"/>
        </w:rPr>
      </w:pPr>
      <w:r>
        <w:rPr>
          <w:rFonts w:ascii="Arial" w:cs="Arial" w:eastAsia="Arial" w:hAnsi="Arial"/>
          <w:sz w:val="17"/>
          <w:szCs w:val="17"/>
          <w:color w:val="auto"/>
        </w:rPr>
        <w:t>Revenues were $15.8 million for the three months ended June 30, 2019 compared to $8.8 million for the three months ended June 30, 2018, an increase of $7.0 million, or 80%. This increase was primarily due to an increase in revenues from the U.S. Department of Veterans Affairs (the “VA”) Million Veteran Program (the “VA MVP”), which increased $4.5 million, or 115%, when compared to the three months ended June 30, 2018. Revenues from all other customers increased $2.5 million, or 51%, when compared to the three months ended June 30, 2018. The increases in revenues were primarily due to an increase in the volume of samples we tested in relation to the sequencing and data analysis services we provided to our customers.</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Comparison of the Six Months Ended June 30, 2019 and 2018</w:t>
      </w:r>
    </w:p>
    <w:p>
      <w:pPr>
        <w:spacing w:after="0" w:line="225" w:lineRule="exact"/>
        <w:rPr>
          <w:sz w:val="20"/>
          <w:szCs w:val="20"/>
          <w:color w:val="auto"/>
        </w:rPr>
      </w:pPr>
    </w:p>
    <w:p>
      <w:pPr>
        <w:ind w:right="80" w:firstLine="761"/>
        <w:spacing w:after="0" w:line="257" w:lineRule="auto"/>
        <w:rPr>
          <w:sz w:val="20"/>
          <w:szCs w:val="20"/>
          <w:color w:val="auto"/>
        </w:rPr>
      </w:pPr>
      <w:r>
        <w:rPr>
          <w:rFonts w:ascii="Arial" w:cs="Arial" w:eastAsia="Arial" w:hAnsi="Arial"/>
          <w:sz w:val="18"/>
          <w:szCs w:val="18"/>
          <w:color w:val="auto"/>
        </w:rPr>
        <w:t>Revenues were $29.9 million for the six months ended June 30, 2019 compared to $13.0 million for the six months ended June 30, 2018, an increase of $16.9 million, or 131%. This increase was primarily due to an increase in revenues from the VA MVP, which increased $10.9 million, or 184%, when compared to the six months ended June 30, 2018. Revenues from all other customers increased $6.0 million, or 86%, when compared to the six months ended June 30, 2018. The increases in revenues were primarily due to an increase in the volume of samples we tested in relation to the sequencing and data analysis services we provided to our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Comparison of the Three Months Ended June 30, 2019 and 2018</w:t>
      </w:r>
    </w:p>
    <w:p>
      <w:pPr>
        <w:spacing w:after="0" w:line="22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Costs of revenues were $9.9 million for the three months ended June 30, 2019 compared to $6.4 million for the three months ended June 30, 2018, an increase of $3.5 million, or 55%. This increase was primarily due to the increase in revenues discussed above. The cost components related to the increase in costs of revenues were an increase in production materials of $2.1 million, an increase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related to personnel costs including salaries, bonuses, benefits, and stock-based compensation expenses of $0.5 million, an increase in depreciation, service maintenance on capitalized equipment, and the cost of expensed equipment of $0.4 million, an increase in the consumption cost of consumables and laboratory supplies of $0.2 million, and an increase in IT and facility costs of $0.3 million.</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Comparison of the Six Months Ended June 30, 2019 and 2018</w:t>
      </w:r>
    </w:p>
    <w:p>
      <w:pPr>
        <w:spacing w:after="0" w:line="22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Costs of revenues were $20.0 million for the six months ended June 30, 2019 compared to $10.5 million for the six months ended June 30, 2018, an increase of $9.5 million, or 91%. This increase was primarily due to the increase in revenues discussed above. The cost components related to the increase in costs of revenues were an increase in production materials of $5.0 million, an increase related to personnel costs including salaries, bonuses, benefits, and stock-based compensation expenses of $2.5 million, an increase in depreciation, service maintenance on capitalized equipment, and the cost of expensed equipment of $1.1 million, an increase in the consumption cost of consumables and laboratory supplies of $0.5 million, and an increase in IT and facility costs of $0.4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Comparison of the Three Months Ended June 30, 2019 and 2018</w:t>
      </w:r>
    </w:p>
    <w:p>
      <w:pPr>
        <w:spacing w:after="0" w:line="225"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Research and development expenses were $4.5 million for the three months ended June 30, 2019 compared to $3.5 million for the three months ended June 30, 2018, an increase of $1.0 million, or 29%. This was primarily due to increased development activities for new product offerings, lab and automation development costs, and IT and facility costs. Research and development expenses increased due to an increase of $0.7 million in personnel-related expenses, including salaries, bonuses, benefits, and stock-based compensation expenses, a $0.2 million increase in laboratory and automation supplies consumed and equipment, and $0.1 million increase in other costs.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Comparison of the Six Months Ended June 30, 2019 and 2018</w:t>
      </w:r>
    </w:p>
    <w:p>
      <w:pPr>
        <w:spacing w:after="0" w:line="22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Research and development expenses were $9.7 million for the six months ended June 30, 2019 compared to $6.4 million for the six months ended June 30, 2018, an increase of $3.3 million, or 51%. This was primarily due to increased development activities for new product offerings, lab and automation development costs, and IT and facility costs. Research and development expenses increased due to an increase of $1.6 million in personnel-related expenses, including salaries, bonuses, benefits, and stock-based compensation expenses, a $1.0 million increase in laboratory and automation supplies consumed, a $0.5 million increase in depreciation, service maintenance on capitalized equipment, and cost of expensed equipment, a $0.1 million increase in IT and facility costs, and $0.1 million increase in other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Comparison of the Three Months Ended June 30, 2019 and 2018</w:t>
      </w:r>
    </w:p>
    <w:p>
      <w:pPr>
        <w:spacing w:after="0" w:line="225"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Selling, general, and administrative expenses were $5.5 million for the three months ended June 30, 2019 compared to $2.6 million for the three months ended June 30, 2018, an increase of $2.9 million, or 110%. Selling, general, and administrative expenses increased due to a $2.2 million increase in personnel-related expenses including salaries, bonuses, benefits, and stock-based compensation expenses, and a $0.7 million increase in professional services and other costs.</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Comparison of the Six Months Ended June 30, 2019 and 2018</w:t>
      </w:r>
    </w:p>
    <w:p>
      <w:pPr>
        <w:spacing w:after="0" w:line="225"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Selling, general, and administrative expenses were $9.6 million for the six months ended June 30, 2019 compared to $4.9 million for the six months ended June 30, 2018, an increase of $4.7 million, or 96%. Selling, general, and administrative expenses increased due to a $3.0 million increase in personnel-related expenses including salaries, bonuses, benefits, and stock-based compensation expenses, a $1.2 million increase in professional services, and a $0.5 million increase in other costs.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00" w:type="dxa"/>
            <w:vAlign w:val="bottom"/>
            <w:gridSpan w:val="5"/>
          </w:tcPr>
          <w:p>
            <w:pPr>
              <w:jc w:val="right"/>
              <w:ind w:right="734"/>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4"/>
                <w:szCs w:val="14"/>
                <w:color w:val="auto"/>
              </w:rPr>
            </w:pPr>
          </w:p>
        </w:tc>
      </w:tr>
      <w:tr>
        <w:trPr>
          <w:trHeight w:val="156"/>
        </w:trPr>
        <w:tc>
          <w:tcPr>
            <w:tcW w:w="59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8"/>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8"/>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2018</w:t>
            </w:r>
          </w:p>
        </w:tc>
      </w:tr>
      <w:tr>
        <w:trPr>
          <w:trHeight w:val="156"/>
        </w:trPr>
        <w:tc>
          <w:tcPr>
            <w:tcW w:w="5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5"/>
              </w:rPr>
              <w:t>(in thousands)</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15"/>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Changes in fair values of warrants for Series B and Series C convertible</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596"/>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(1,403)</w:t>
            </w:r>
          </w:p>
        </w:tc>
        <w:tc>
          <w:tcPr>
            <w:tcW w:w="14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30"/>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Changes in fair value of the compound derivative instrument</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500" w:type="dxa"/>
            <w:vAlign w:val="bottom"/>
          </w:tcPr>
          <w:p>
            <w:pPr>
              <w:jc w:val="right"/>
              <w:ind w:right="54"/>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574</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960" w:type="dxa"/>
            <w:vAlign w:val="bottom"/>
          </w:tcPr>
          <w:p>
            <w:pPr>
              <w:ind w:left="260"/>
              <w:spacing w:after="0"/>
              <w:rPr>
                <w:sz w:val="20"/>
                <w:szCs w:val="20"/>
                <w:color w:val="auto"/>
              </w:rPr>
            </w:pPr>
            <w:r>
              <w:rPr>
                <w:rFonts w:ascii="Arial" w:cs="Arial" w:eastAsia="Arial" w:hAnsi="Arial"/>
                <w:sz w:val="18"/>
                <w:szCs w:val="18"/>
                <w:color w:val="auto"/>
              </w:rPr>
              <w:t>Total other (expense) income, net</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w:t>
            </w:r>
          </w:p>
        </w:tc>
        <w:tc>
          <w:tcPr>
            <w:tcW w:w="140" w:type="dxa"/>
            <w:vAlign w:val="bottom"/>
          </w:tcPr>
          <w:p>
            <w:pPr>
              <w:spacing w:after="0"/>
              <w:rPr>
                <w:sz w:val="19"/>
                <w:szCs w:val="19"/>
                <w:color w:val="auto"/>
              </w:rPr>
            </w:pPr>
          </w:p>
        </w:tc>
        <w:tc>
          <w:tcPr>
            <w:tcW w:w="78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569</w:t>
            </w: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Comparison of the Three Months Ended June 30, 2019 and 2018</w:t>
      </w:r>
    </w:p>
    <w:p>
      <w:pPr>
        <w:spacing w:after="0" w:line="225"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We had other expenses, net of $1.3 million for the three months ended June 30, 2019, compared to other income, net of $0.2 million for the three months ended June 30, 2018, a decrease of approximately $1.5 million. The decrease was primarily driven by a $1.3 million increase in the fair values of warrants for Series B and Series C redeemable convertible preferred stock in the 2019 period and a $0.2 million decrease in fair value of the compound derivative instrument in the 2018 period.</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Comparison of the Six Months Ended June 30, 2019 and 2018</w:t>
      </w:r>
    </w:p>
    <w:p>
      <w:pPr>
        <w:spacing w:after="0" w:line="225"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We had other expenses, net of $1.4 million for the six months ended June 30, 2019, compared to other income, net of $0.6 million for the six months ended June 30, 2018, a decrease of approximately $2.0 million. The decrease was primarily driven by a $1.4 million increase in the fair values of warrants for Series B and Series C redeemable convertible preferred stock in the 2019 period and a $0.6 million decrease in fair value of the compound derivative instrument in the 2018 period.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761"/>
        <w:spacing w:after="0" w:line="342" w:lineRule="auto"/>
        <w:rPr>
          <w:sz w:val="20"/>
          <w:szCs w:val="20"/>
          <w:color w:val="auto"/>
        </w:rPr>
      </w:pPr>
      <w:r>
        <w:rPr>
          <w:rFonts w:ascii="Arial" w:cs="Arial" w:eastAsia="Arial" w:hAnsi="Arial"/>
          <w:sz w:val="16"/>
          <w:szCs w:val="16"/>
          <w:color w:val="auto"/>
        </w:rPr>
        <w:t>From our inception through June 30, 2019, we have funded our operations primarily from the issuance of redeemable convertible preferred stock, cash from operations and debt financing. On March 22, 2019, we received $20.0 million in gross cash proceeds from a growth capital loan described below.</w:t>
      </w:r>
    </w:p>
    <w:p>
      <w:pPr>
        <w:spacing w:after="0" w:line="124"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On June 24, 2019, we closed our initial public offering (“IPO”), whereby we sold 9,109,725 shares of common stock at a price of $17.00 per share. The shares began trading on the Nasdaq Global Market on June 20, 2019. The net proceeds received by us from the IPO were $144.0 million, net of underwriting discounts and commissions. We incurred $4.0 million in costs directly related to the offering, $2.0 of which was paid during the six months ended June 30, 2019. As of June 30, 2019, we had cash and cash equivalents in the amount of $163.3 million.</w:t>
      </w:r>
    </w:p>
    <w:p>
      <w:pPr>
        <w:spacing w:after="0" w:line="171"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We anticipate that our current cash and cash equivalents, together with cash provided by operating activities are sufficient to fund our near-term capital and operating needs for at least the next 12 months.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In September 2014, we entered into a loan and security agreement with a bank, to borrow up to $3.0 million under an equipment loan secured by the equipment financed (the “Term Loan”). On October 3, 2014, we borrowed $2.4 million under the Term Loan. The Term Loan required 12 interest-only payments, followed by 36 equal monthly installments of principal, plus interest, which began on October 3, 2015.</w:t>
      </w:r>
    </w:p>
    <w:p>
      <w:pPr>
        <w:spacing w:after="0" w:line="181"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In connection with the Term Loan, we issued a warrant exercisable for ten years to purchase 22,489 shares of our Series B redeemable convertible preferred stock at an exercise price of $4.60 per share.</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September 30, 2018, the Term Loan was repaid in full.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Loan</w:t>
      </w:r>
    </w:p>
    <w:p>
      <w:pPr>
        <w:spacing w:after="0" w:line="225"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8"/>
          <w:szCs w:val="18"/>
          <w:color w:val="auto"/>
        </w:rPr>
        <w:t>In June 2017, we entered into a $10.0 million revolving loan and security agreement (the “Revolving Loan”) with TriplePoint Capital LLC (“TriplePoint”). Borrowings under the Revolving Loan had an interest rate of prime, plus 6.75%. The Revolving Loan also had a 5.5% end of term loan payment on the highest outstanding principal amount. The Revolving Loan required monthly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jc w:val="both"/>
        <w:spacing w:after="0" w:line="264" w:lineRule="auto"/>
        <w:rPr>
          <w:sz w:val="20"/>
          <w:szCs w:val="20"/>
          <w:color w:val="auto"/>
        </w:rPr>
      </w:pPr>
      <w:r>
        <w:rPr>
          <w:rFonts w:ascii="Arial" w:cs="Arial" w:eastAsia="Arial" w:hAnsi="Arial"/>
          <w:sz w:val="18"/>
          <w:szCs w:val="18"/>
          <w:color w:val="auto"/>
        </w:rPr>
        <w:t>interest-only payments until the maturity date. The Revolving Loan’s original maturity date was December 31, 2018 and in December 2018 the maturity date was further extended until March 22, 2019. The maturity date of the extension of the Revolving Loan was not deemed substantial therefore we accounted for the transaction as a debt modification.</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As of December 31, 2018, our outstanding principal under the Revolving Loan was $5.0 million and $5.0 million was available to borrow.</w:t>
      </w:r>
    </w:p>
    <w:p>
      <w:pPr>
        <w:spacing w:after="0" w:line="237"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In connection with the Revolving Loan, we issued a warrant to purchase up to 62,096 shares of our Series C redeemable convertible preferred stock at an exercise price of $8.052 per share.</w:t>
      </w:r>
    </w:p>
    <w:p>
      <w:pPr>
        <w:spacing w:after="0" w:line="170" w:lineRule="exact"/>
        <w:rPr>
          <w:sz w:val="20"/>
          <w:szCs w:val="20"/>
          <w:color w:val="auto"/>
        </w:rPr>
      </w:pPr>
    </w:p>
    <w:p>
      <w:pPr>
        <w:jc w:val="both"/>
        <w:ind w:firstLine="761"/>
        <w:spacing w:after="0" w:line="342" w:lineRule="auto"/>
        <w:rPr>
          <w:sz w:val="20"/>
          <w:szCs w:val="20"/>
          <w:color w:val="auto"/>
        </w:rPr>
      </w:pPr>
      <w:r>
        <w:rPr>
          <w:rFonts w:ascii="Arial" w:cs="Arial" w:eastAsia="Arial" w:hAnsi="Arial"/>
          <w:sz w:val="16"/>
          <w:szCs w:val="16"/>
          <w:color w:val="auto"/>
        </w:rPr>
        <w:t>The Revolving Loan had an effective interest rate of 19.22% per year. The Revolving Loan interest expense for the three and six months ended June 30, 2018 was $0.2 million and $0.4 million, respectively. Interest expense for the three and six months ended June 30, 2019 was not significant.</w:t>
      </w:r>
    </w:p>
    <w:p>
      <w:pPr>
        <w:spacing w:after="0" w:line="124" w:lineRule="exact"/>
        <w:rPr>
          <w:sz w:val="20"/>
          <w:szCs w:val="20"/>
          <w:color w:val="auto"/>
        </w:rPr>
      </w:pPr>
    </w:p>
    <w:p>
      <w:pPr>
        <w:jc w:val="both"/>
        <w:ind w:firstLine="761"/>
        <w:spacing w:after="0" w:line="342" w:lineRule="auto"/>
        <w:rPr>
          <w:sz w:val="20"/>
          <w:szCs w:val="20"/>
          <w:color w:val="auto"/>
        </w:rPr>
      </w:pPr>
      <w:r>
        <w:rPr>
          <w:rFonts w:ascii="Arial" w:cs="Arial" w:eastAsia="Arial" w:hAnsi="Arial"/>
          <w:sz w:val="16"/>
          <w:szCs w:val="16"/>
          <w:color w:val="auto"/>
        </w:rPr>
        <w:t>In March 2019, we entered into an amendment to the Revolving Loan with TriplePoint that provided for a $20.0 million growth capital loan facility (the “Growth Capital Loan”). In March 2019, we used $5.3 million of the Growth Capital Loan to repay all amounts owing in respect of the Revolving Loan.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Growth Capital Loan</w:t>
      </w:r>
    </w:p>
    <w:p>
      <w:pPr>
        <w:spacing w:after="0" w:line="225" w:lineRule="exact"/>
        <w:rPr>
          <w:sz w:val="20"/>
          <w:szCs w:val="20"/>
          <w:color w:val="auto"/>
        </w:rPr>
      </w:pPr>
    </w:p>
    <w:p>
      <w:pPr>
        <w:jc w:val="both"/>
        <w:ind w:firstLine="761"/>
        <w:spacing w:after="0" w:line="268" w:lineRule="auto"/>
        <w:rPr>
          <w:sz w:val="20"/>
          <w:szCs w:val="20"/>
          <w:color w:val="auto"/>
        </w:rPr>
      </w:pPr>
      <w:r>
        <w:rPr>
          <w:rFonts w:ascii="Arial" w:cs="Arial" w:eastAsia="Arial" w:hAnsi="Arial"/>
          <w:sz w:val="17"/>
          <w:szCs w:val="17"/>
          <w:color w:val="auto"/>
        </w:rPr>
        <w:t>On March 22, 2019, we entered into the Growth Capital Loan with TriplePoint to provide for a $20.0 million growth capital loan facility and as of June 30, 2019, had drawn down the full $20.0 million available under the facility. We used $5.3 million of the Growth Capital Loan to repay, in its entirety, all amounts outstanding under the Revolving Loan. Borrowings under the Growth Capital Loan bear interest at a floating rate of prime rate plus 5.00% for borrowings up to $15.0 million and the prime rate plus 6.50% for borrowing greater than $15.0 million; provided, however, that in an event of default, as defined in the loan and security agreement, the interest rate applicable to borrowings under such agreement will be increased by 5.0%. Under the agreement, we are required to make monthly interest-only payments through April 1, 2020 and are required to make 36 equal monthly payments of principal, plus accrued interest, from April 1, 2020 through March 1, 2023, when all unpaid principal and interest becomes due and payable. We may voluntarily prepay all, but not part, of the outstanding principal at any time prior to the maturity date, subject to a prepayment fee of 1.00% of the outstanding balance, if prepaid in months one through 12 of the loan term. If prepaid after month 12 of the loan term of any growth capital loan, no additional prepayment premium shall be due. In addition to the final payment, we will pay an amount equal to 2.75% of each principal amount drawn under this growth capital loan facility. In connection with the Growth Capital Loan, we issued a warrant to purchase 65,502 shares of common stock to the lender at an exercise price of $9.16 per share. We recorded the issuance-date fair value of the warrant of $0.6 million and fees paid to the lender of $0.3 million as a debt discount which is amortized over the term of the Growth Capital Loan using the effective interest rate method.</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Upon issuance, the Growth Capital Loan had an effective interest rate of 15.23% per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jc w:val="both"/>
        <w:ind w:firstLine="761"/>
        <w:spacing w:after="0" w:line="288" w:lineRule="auto"/>
        <w:rPr>
          <w:sz w:val="20"/>
          <w:szCs w:val="20"/>
          <w:color w:val="auto"/>
        </w:rPr>
      </w:pPr>
      <w:r>
        <w:rPr>
          <w:rFonts w:ascii="Arial" w:cs="Arial" w:eastAsia="Arial" w:hAnsi="Arial"/>
          <w:sz w:val="16"/>
          <w:szCs w:val="16"/>
          <w:color w:val="auto"/>
        </w:rPr>
        <w:t>On June 29, 2017, we entered into a convertible promissory note agreement with certain existing redeemable convertible preferred stockholders and third parties (collectively, the “Investors”) for the issuance of convertible promissory notes with a face value of $12.2 million (the “Convertible Notes”). Under the terms of the Convertible Notes agreement, the Convertible Notes bear interest of 8% per annum, with a maturity date of June 28, 2018. In the event that we issued and sold shares of its equity securities (the “Equity Securities”) to Investors on or before the maturity date in an equity financing with total proceeds to us of not less than $10 million (including the conversion of the Convertible Notes or other convertible securities issued for capital raising purposes) (a “Qualified Financing”), then the outstanding principal amount of the Convertible Notes and any unpaid accrued interest would have automatically converted in whole without any further action by the holder into such Equity Securities sold in the Qualified Financing at a conversion price equal to the price paid per share for Equity Securities by the Investors in the Qualified Financing multiplied by 0.8. If we consummated a change of control while the Convertible Notes remained outstanding, we would have repaid the holders in cash an amount equal to 150% of the outstanding principal amount of the Convertible Notes, plus any unpaid accrued interest on the original principal. The Convertible Notes had customary events of default.</w:t>
      </w:r>
    </w:p>
    <w:p>
      <w:pPr>
        <w:spacing w:after="0" w:line="169"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color w:val="auto"/>
        </w:rPr>
        <w:t>Certain conversion and redemption features of the Convertible Notes met the requirements for separate accounting and were accounted for as a single, compound derivative instrument. The compound derivative instrument was recorded at fair value at inception and was subject to remeasurement to fair value at each consolidated balance sheet date, with any changes in fair value recognized in the consolidated statements of operations. The estimated fair value of the compound derivative instrument at issuance was recorded as a reduction in the carrying value of the Convertible Notes and as a single compound derivative liability. The Convertible Notes carrying value reduction was accreted using the effective interest method as interest expense over the Convertible Notes contractual period of one year. The Convertible Notes had an effective interest rate of 12.69% per year.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 w:name="page31"/>
    <w:bookmarkEnd w:id="30"/>
    <w:p>
      <w:pPr>
        <w:jc w:val="both"/>
        <w:ind w:firstLine="761"/>
        <w:spacing w:after="0" w:line="254" w:lineRule="auto"/>
        <w:rPr>
          <w:sz w:val="20"/>
          <w:szCs w:val="20"/>
          <w:color w:val="auto"/>
        </w:rPr>
      </w:pPr>
      <w:r>
        <w:rPr>
          <w:rFonts w:ascii="Arial" w:cs="Arial" w:eastAsia="Arial" w:hAnsi="Arial"/>
          <w:sz w:val="18"/>
          <w:szCs w:val="18"/>
          <w:color w:val="auto"/>
        </w:rPr>
        <w:t xml:space="preserve">On May 31, 2018, the original maturity date for the Convertible Notes was extended to June 28, 2019 (previously June 28, 2018). The maturity date extension was deemed substantial and was accounted for as a debt extinguishment under Accounting Standards Codification (“ASC”) Topic 470, </w:t>
      </w:r>
      <w:r>
        <w:rPr>
          <w:rFonts w:ascii="Arial" w:cs="Arial" w:eastAsia="Arial" w:hAnsi="Arial"/>
          <w:sz w:val="18"/>
          <w:szCs w:val="18"/>
          <w:i w:val="1"/>
          <w:iCs w:val="1"/>
          <w:color w:val="auto"/>
        </w:rPr>
        <w:t>Debt</w:t>
      </w:r>
      <w:r>
        <w:rPr>
          <w:rFonts w:ascii="Arial" w:cs="Arial" w:eastAsia="Arial" w:hAnsi="Arial"/>
          <w:sz w:val="18"/>
          <w:szCs w:val="18"/>
          <w:color w:val="auto"/>
        </w:rPr>
        <w:t xml:space="preserve"> (“ASC 470”). In connection with the debt extinguishment on May 31, 2018, the fair value of the Convertible Notes was allocated between the carrying amount of the Convertible Notes and accrued interested of $13.1 million, a compound derivative asset of $0.6 million, and an equity component of $3.9 million, which was credited to additional paid-in capital within the consolidated statements of redeemable convertible preferred stock and stockholders’ equity (deficit). The transaction also resulted in a $3.3 million loss recorded as debt extinguishment in the accompanying consolidated statements of operations. The new carrying value of the Convertible Notes was accreted using the effective interest method as interest expense over the new contractual period of 1.1 years.</w:t>
      </w:r>
    </w:p>
    <w:p>
      <w:pPr>
        <w:spacing w:after="0" w:line="192"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On August 20, 2018, the maturity date for the Convertible Notes was changed to September 20, 2018 (previously June 28, 2019). The term change was deemed substantial and was accounted for as a debt extinguishment under ASC 470. In connection with the debt extinguishment on August 20, 2018, the fair value of the Convertible Notes was allocated between the new carrying amount of the Convertible Notes and accrued interest of $13.4 million, and an equity component of $0.8 million, which resulted in an additional credit to additional paid-in capital. The transaction also resulted in a $0.8 million loss recorded as debt extinguishment in the accompanying consolidated statements of operations. The new carrying value of the Convertible Notes was accreted using the effective interest method as interest expense over the new contractual period of one month.</w:t>
      </w:r>
    </w:p>
    <w:p>
      <w:pPr>
        <w:spacing w:after="0" w:line="178"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On September 20, 2018, upon the maturity of the Convertible Notes, the carrying amount, including accrued interest of $13.4 million was converted into 1,667,997 shares of our Series C redeemable convertible preferred stock at a conversion price equal to $8.052 per share. No gain or loss was recorded on the conversion.</w:t>
      </w:r>
    </w:p>
    <w:p>
      <w:pPr>
        <w:spacing w:after="0" w:line="181" w:lineRule="exact"/>
        <w:rPr>
          <w:sz w:val="20"/>
          <w:szCs w:val="20"/>
          <w:color w:val="auto"/>
        </w:rPr>
      </w:pPr>
    </w:p>
    <w:p>
      <w:pPr>
        <w:ind w:right="580" w:firstLine="761"/>
        <w:spacing w:after="0" w:line="477" w:lineRule="auto"/>
        <w:rPr>
          <w:sz w:val="20"/>
          <w:szCs w:val="20"/>
          <w:color w:val="auto"/>
        </w:rPr>
      </w:pPr>
      <w:r>
        <w:rPr>
          <w:rFonts w:ascii="Arial" w:cs="Arial" w:eastAsia="Arial" w:hAnsi="Arial"/>
          <w:sz w:val="18"/>
          <w:szCs w:val="18"/>
          <w:color w:val="auto"/>
        </w:rPr>
        <w:t xml:space="preserve">Interest expense on the Convertible Notes for the three and six months ended June 30, 2018 was $0.3 million and $0.7 million, respectively. </w:t>
      </w:r>
      <w:r>
        <w:rPr>
          <w:rFonts w:ascii="Arial" w:cs="Arial" w:eastAsia="Arial" w:hAnsi="Arial"/>
          <w:sz w:val="18"/>
          <w:szCs w:val="18"/>
          <w:b w:val="1"/>
          <w:bCs w:val="1"/>
          <w:i w:val="1"/>
          <w:iCs w:val="1"/>
          <w:color w:val="auto"/>
        </w:rPr>
        <w:t>Summary Consolidated Statements of Cash Flows</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160" w:type="dxa"/>
            <w:vAlign w:val="bottom"/>
          </w:tcPr>
          <w:p>
            <w:pPr>
              <w:spacing w:after="0"/>
              <w:rPr>
                <w:sz w:val="14"/>
                <w:szCs w:val="14"/>
                <w:color w:val="auto"/>
              </w:rPr>
            </w:pPr>
          </w:p>
        </w:tc>
      </w:tr>
      <w:tr>
        <w:trPr>
          <w:trHeight w:val="171"/>
        </w:trPr>
        <w:tc>
          <w:tcPr>
            <w:tcW w:w="5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160" w:type="dxa"/>
            <w:vAlign w:val="bottom"/>
            <w:tcBorders>
              <w:bottom w:val="single" w:sz="8" w:color="auto"/>
            </w:tcBorders>
          </w:tcPr>
          <w:p>
            <w:pPr>
              <w:spacing w:after="0"/>
              <w:rPr>
                <w:sz w:val="14"/>
                <w:szCs w:val="14"/>
                <w:color w:val="auto"/>
              </w:rPr>
            </w:pPr>
          </w:p>
        </w:tc>
      </w:tr>
      <w:tr>
        <w:trPr>
          <w:trHeight w:val="156"/>
        </w:trPr>
        <w:tc>
          <w:tcPr>
            <w:tcW w:w="57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94"/>
              <w:spacing w:after="0" w:line="155" w:lineRule="exact"/>
              <w:rPr>
                <w:sz w:val="20"/>
                <w:szCs w:val="20"/>
                <w:color w:val="auto"/>
              </w:rPr>
            </w:pPr>
            <w:r>
              <w:rPr>
                <w:rFonts w:ascii="Arial" w:cs="Arial" w:eastAsia="Arial" w:hAnsi="Arial"/>
                <w:sz w:val="14"/>
                <w:szCs w:val="14"/>
                <w:b w:val="1"/>
                <w:bCs w:val="1"/>
                <w:color w:val="auto"/>
              </w:rPr>
              <w:t>2018</w:t>
            </w:r>
          </w:p>
        </w:tc>
      </w:tr>
      <w:tr>
        <w:trPr>
          <w:trHeight w:val="156"/>
        </w:trPr>
        <w:tc>
          <w:tcPr>
            <w:tcW w:w="57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160" w:type="dxa"/>
            <w:vAlign w:val="bottom"/>
          </w:tcPr>
          <w:p>
            <w:pPr>
              <w:spacing w:after="0"/>
              <w:rPr>
                <w:sz w:val="13"/>
                <w:szCs w:val="13"/>
                <w:color w:val="auto"/>
              </w:rPr>
            </w:pP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 operating activities</w:t>
            </w:r>
          </w:p>
        </w:tc>
        <w:tc>
          <w:tcPr>
            <w:tcW w:w="306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w w:val="98"/>
              </w:rPr>
              <w:t>(10,836)</w:t>
            </w:r>
          </w:p>
        </w:tc>
        <w:tc>
          <w:tcPr>
            <w:tcW w:w="6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2,800</w:t>
            </w: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Arial" w:cs="Arial" w:eastAsia="Arial" w:hAnsi="Arial"/>
                <w:sz w:val="18"/>
                <w:szCs w:val="18"/>
                <w:color w:val="auto"/>
              </w:rPr>
              <w:t>(2,801)</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(5,237)</w:t>
            </w:r>
          </w:p>
        </w:tc>
      </w:tr>
      <w:tr>
        <w:trPr>
          <w:trHeight w:val="230"/>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2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99"/>
              <w:spacing w:after="0"/>
              <w:rPr>
                <w:sz w:val="20"/>
                <w:szCs w:val="20"/>
                <w:color w:val="auto"/>
              </w:rPr>
            </w:pPr>
            <w:r>
              <w:rPr>
                <w:rFonts w:ascii="Arial" w:cs="Arial" w:eastAsia="Arial" w:hAnsi="Arial"/>
                <w:sz w:val="18"/>
                <w:szCs w:val="18"/>
                <w:color w:val="auto"/>
                <w:w w:val="89"/>
              </w:rPr>
              <w:t>157,163</w:t>
            </w:r>
          </w:p>
        </w:tc>
        <w:tc>
          <w:tcPr>
            <w:tcW w:w="66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Net Cash (Used in) Provided by Operating Activities</w:t>
      </w:r>
    </w:p>
    <w:p>
      <w:pPr>
        <w:spacing w:after="0" w:line="225"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Net cash used in operating activities during the six months ended June 30, 2019 was $10.8 million, which resulted from a net loss of $11.6 million and net change in our operating assets and liabilities of $5.6 million, offset by non-cash charges of $6.4 million. Non-cash charges primarily consisted of $2.2 million of depreciation and amortization expense, $2.3 million of stock-based compensation expense, $1.4 million of change in fair value of convertible preferred stock warrant liability, $0.4 million noncash lease expense, and $0.1 million change in accretion of noncash interest and debt reduction. The net change in our operating assets and liabilities was primarily the result of a $3.0 million increase in accounts receivables related to increase in revenues, $1.0 million decrease in customer deposits related to customer prepayments, a $0.7 million decrease in accounts payable and accrued liabilities, a $0.5 million decrease in long-term liabilities, a $0.3 million increase in prepaid expense and other assets and a $0.1 million increase in inventory and other deferred cost balances.</w:t>
      </w:r>
    </w:p>
    <w:p>
      <w:pPr>
        <w:spacing w:after="0" w:line="192"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Net cash provided by operating activities during the six months ended June 30, 2018 was $2.8 million, which resulted from a net loss of $12.7 million, offset by non-cash charges of $5.4 million and net change in our operating assets and liabilities of $10.1 million. Non-cash charges primarily consisted of $3.3 million of loss on debt extinguishment, $1.2 million of depreciation and amortization expense, $0.6 million of stock-based compensation expense, and $0.9 million of accretion of noncash interest, partially offset by $0.6 million of change in fair value of compound derivative instrument and convertible preferred stock warrant liability. The net change in our operating assets and liabilities was primarily the result of a $13.7 million increase in customer deposits related to customer prepayments, a $0.6 million increase in accounts payable and accrued liabilities to support inventory, and general expenses, partially offset by a $2.2 million increase in accounts receivables related to increases in revenue, and a $1.7 million increase in inventory and other deferred cost balances.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left="7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2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Net cash used in investing activities for the six months ended June 30, 2019 and 2018 was $2.8 million and $5.2 million, respectively, which was primarily related to the acquisition of property and equipment used for our sequencing and data analysis services and facility expansion to support expanded operations.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225"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Net cash provided by financing activities was $157.2 million for the six months ended June 30, 2019, which primarily consisted of $144.0 million proceeds from our IPO, net of the underwriting discount of $10.8 million, $20.0 million borrowings under the Growth Capital Loan, $0.6 million from proceeds of exercise of stock options, partially offset by $5.0 million in debt repayments, $0.5 million in debt issuance costs, and $2.0 million in payment costs related the Company’s IPO.</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Net cash used in financing activities was $0.4 million for the six months ended June 30, 2018, which primarily consisted of borrowing costs.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185"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or exchange rates.</w:t>
      </w:r>
    </w:p>
    <w:p>
      <w:pPr>
        <w:spacing w:after="0" w:line="130"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As of June 30, 2019, we had cash and cash equivalents of $163.3 million, consisting of cash held in bank accounts and money market funds denominated in U.S. dollars. A 100 basis point change in interest rates would not have a material effect on the fair market value of our cash and cash equivalents.</w:t>
      </w:r>
    </w:p>
    <w:p>
      <w:pPr>
        <w:spacing w:after="0" w:line="154"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We are also exposed to market risk from changes in interest rates as a result of our indebtedness under the Growth Capital Loan. At June 30, 2019, we had $20.0 million principal amount outstanding under the Growth Capital Loan. Borrowings under the Growth Capital Loan bear interest at a floating rate per annum equal to the prime rate plus 5.00% for borrowings up to $15.0 million and the prime rate plus 6.50% for borrowing greater than $15.0 million. An immediate 100 basis point change in the prime interest rate would not result in a material impact on our results of operations for the three and six months ended June 30, 2019. See Note 6 to our consolidated financial statements for further description of the Growth Capital Loan.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185"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The majority of our revenues is generated in the United States. As of June 30, 2019, we had generated an insignificant amount of revenues denominated in foreign currencies. As we expand our presence in the international market, our results of operations and cash flows are expected to increasingly be subject to fluctuations due to changes in foreign currency exchange rates and may be adversely affected in the future due to changes in foreign exchange rates.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firstLine="761"/>
        <w:spacing w:after="0" w:line="284" w:lineRule="auto"/>
        <w:rPr>
          <w:sz w:val="20"/>
          <w:szCs w:val="20"/>
          <w:color w:val="auto"/>
        </w:rPr>
      </w:pPr>
      <w:r>
        <w:rPr>
          <w:rFonts w:ascii="Arial" w:cs="Arial" w:eastAsia="Arial" w:hAnsi="Arial"/>
          <w:sz w:val="16"/>
          <w:szCs w:val="16"/>
          <w:color w:val="auto"/>
        </w:rPr>
        <w:t>Management has conducted an evaluation of the effectiveness of our disclosure controls and procedures, as defined in Rules 13a-15(e) and 15d-15(e) under the Securities Exchange Act of 1934, as amended (the “Exchange Act”), as of the end of the period covered by this Quarterly Report on Form 10-Q. Disclosure controls and procedures are designed to ensure that information required to be disclosed in reports filed or submitted under the Exchange Act is recorded, processed, summarized and reported within the time periods specified by the SEC rules and forms and that such information is accumulated and communicated to management, including our principal executive officer and principal financial officer, to ensure timely decisions regarding required disclosures. In connection with preparation of our financial statements for the years ended December 31, 2017 and 2018, management identified a material weakness in our internal controls due to a lack of sufficient full-time accounting staff with requisite experience and deep technical accounting knowledge to</w:t>
      </w:r>
    </w:p>
    <w:p>
      <w:pPr>
        <w:spacing w:after="0" w:line="3" w:lineRule="exact"/>
        <w:rPr>
          <w:sz w:val="20"/>
          <w:szCs w:val="20"/>
          <w:color w:val="auto"/>
        </w:rPr>
      </w:pPr>
    </w:p>
    <w:p>
      <w:pPr>
        <w:jc w:val="both"/>
        <w:ind w:firstLine="8"/>
        <w:spacing w:after="0" w:line="254" w:lineRule="auto"/>
        <w:tabs>
          <w:tab w:leader="none" w:pos="221"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identify and resolve complex accounting issues under U.S. GAAP and (ii) allow for appropriate segregation of duties. As a result, our principal executive officer and principal financial officer concluded that, as of December 31, 2018, our disclosure controls and procedures were ineffective. Upon identification of the material weaknesses and under the direction of our principal executive officer and principal financial officer, we developed a comprehensive plan to remediate the material weaknesses.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 w:name="page33"/>
    <w:bookmarkEnd w:id="32"/>
    <w:p>
      <w:pPr>
        <w:jc w:val="both"/>
        <w:ind w:firstLine="761"/>
        <w:spacing w:after="0" w:line="297" w:lineRule="auto"/>
        <w:rPr>
          <w:sz w:val="20"/>
          <w:szCs w:val="20"/>
          <w:color w:val="auto"/>
        </w:rPr>
      </w:pPr>
      <w:r>
        <w:rPr>
          <w:rFonts w:ascii="Arial" w:cs="Arial" w:eastAsia="Arial" w:hAnsi="Arial"/>
          <w:sz w:val="16"/>
          <w:szCs w:val="16"/>
          <w:color w:val="auto"/>
        </w:rPr>
        <w:t>As of June 30, 2019, and as described under Status of Remediation of Material Weakness in Internal Control Over Financial Reporting below, all of the material weaknesses were not fully remediated. As a result, our principal executive officer and principal financial officer concluded that, as of June 30, 2019, our disclosure controls and procedures were not effective. Notwithstanding the aforementioned material weaknesses and failure of disclosure controls, our management has taken additional steps to assure there is appropriate disclosure in this report and has concluded that the financial statements included in this report fairly present, in all material respects, our financial condition for the periods presented in conformity with U.S. GAAP.</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Status of Remediation of Material Weakness in Internal Control Over Financial Reporting</w:t>
      </w:r>
    </w:p>
    <w:p>
      <w:pPr>
        <w:spacing w:after="0" w:line="185"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color w:val="auto"/>
        </w:rPr>
        <w:t>We have been and are actively engaged in the implementation of remediation efforts to address the material weaknesses in our internal control over financial reporting as of December 31, 2018. As part of our remediation plan to address the material weakness identified above, we hired a new Chief Financial Officer in March 2019 and four additional accounting resources in the second quarter of 2019, including two Certified Public Accountants with the specific technical accounting and financial reporting experience necessary for a public company. Management believes that these additional resources will provide an appropriate remediation of the material weakness; however, the effectiveness of the controls have not been fully tested by management.</w:t>
      </w:r>
    </w:p>
    <w:p>
      <w:pPr>
        <w:spacing w:after="0" w:line="118"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We will continue to assess the adequacy of our accounting personnel and resources, and will add additional personnel, as well as adjust our resources, as necessary, commensurate with any increase in the size and complexity of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second quarter of 2019,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presently a party to any legal proceedings that in the opinion of our management, if determined unfavorably to us, would have a material adverse effect on our business, financial condition, operating results or cash flows. Regardless of the outcome, litigation can, among other things, be time consuming and expensive to resolve, and divert management resources.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Strategy</w:t>
      </w:r>
    </w:p>
    <w:p>
      <w:pPr>
        <w:spacing w:after="0" w:line="20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have a history of losses, and as our costs increase, we expect to incur significant losses for the foreseeable future and may not be able to generate sufficient revenue to achieve or sustain profitability.</w:t>
      </w:r>
    </w:p>
    <w:p>
      <w:pPr>
        <w:spacing w:after="0" w:line="130"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We have incurred net losses since our inception. For the six months ended June 30, 2019 and 2018, we had net losses of $11.6 million and $12.7 million, respectively. As of June 30, 2019, we had an accumulated deficit of $127.1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5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If we are unable to increase sales of our current services or successfully develop and commercialize other services or products, our revenues will be insufficient for us to achieve profitability.</w:t>
      </w:r>
    </w:p>
    <w:p>
      <w:pPr>
        <w:spacing w:after="0" w:line="143"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We currently derive substantially all of our revenues from sales of our services. We began offering our services through our Clinical Laboratory Improvement Amendments of 1988 (“CLIA”)-certified, College of American Pathologists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revenues to become profitable.</w:t>
      </w:r>
    </w:p>
    <w:p>
      <w:pPr>
        <w:spacing w:after="0" w:line="114" w:lineRule="exact"/>
        <w:rPr>
          <w:sz w:val="20"/>
          <w:szCs w:val="20"/>
          <w:color w:val="auto"/>
        </w:rPr>
      </w:pPr>
    </w:p>
    <w:p>
      <w:pPr>
        <w:ind w:left="760" w:right="20"/>
        <w:spacing w:after="0" w:line="381" w:lineRule="auto"/>
        <w:rPr>
          <w:sz w:val="20"/>
          <w:szCs w:val="20"/>
          <w:color w:val="auto"/>
        </w:rPr>
      </w:pPr>
      <w:r>
        <w:rPr>
          <w:rFonts w:ascii="Arial" w:cs="Arial" w:eastAsia="Arial" w:hAnsi="Arial"/>
          <w:sz w:val="15"/>
          <w:szCs w:val="15"/>
          <w:b w:val="1"/>
          <w:bCs w:val="1"/>
          <w:i w:val="1"/>
          <w:iCs w:val="1"/>
          <w:color w:val="auto"/>
        </w:rPr>
        <w:t>Certain of our customers prepay us for a portion of the services that they expect to order from us in the future and we may be required to refund some or all of those prepayments if a customer cancels its contract with us or reduces the level of services that it expects to receive.</w:t>
      </w:r>
    </w:p>
    <w:p>
      <w:pPr>
        <w:spacing w:after="0" w:line="60"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color w:val="auto"/>
        </w:rPr>
        <w:t>Certain of our customers prepay us for a portion of the services that they expect to order from us before they place purchase orders and we deliver those services. In some cases, this prepayment can be substantial and may be paid months or a year or more in advance of these customers providing samples to us and before our delivery of the services to which some or all of the deposit relates. As of June 30, 2019, we had approximately $41.9 million in customer deposits, including $38.2 million from one customer. However, as of that date, we had $163.3 million of cash and cash equivalents. We are generally not required by our contracts to retain these deposits in cash or otherwise and we have generally used these deposits to make capital expenditures and fund our operations. If a customer that has prepaid us for future services cancels its contract with us or reduces the level of services that it expects to receive, we would generally be required to repay that customer’s deposit with little or no notice. We may not have the cash or other available resources to satisfy that repayment obligation. Even if we are able to satisfy the repayment obligation from available resources, we may need to seek additional sources of capital to fund our operations, which funding may not be available when needed or on acceptable terms. In either of those circumstances, our business, financial condition, results of operations, and reputation would be materially and adversely affected. Furthermore, in the future customers may elect not to prepay us for our services in which case we would have to find other sources of funding for our capital expenditures and operations, which would be costly relative to the aforementioned cost-free customer deposit funding and which may not be available when needed or on acceptable terms.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ind w:left="760"/>
        <w:spacing w:after="0" w:line="277" w:lineRule="auto"/>
        <w:rPr>
          <w:sz w:val="20"/>
          <w:szCs w:val="20"/>
          <w:color w:val="auto"/>
        </w:rPr>
      </w:pPr>
      <w:r>
        <w:rPr>
          <w:rFonts w:ascii="Arial" w:cs="Arial" w:eastAsia="Arial" w:hAnsi="Arial"/>
          <w:sz w:val="18"/>
          <w:szCs w:val="18"/>
          <w:b w:val="1"/>
          <w:bCs w:val="1"/>
          <w:i w:val="1"/>
          <w:iCs w:val="1"/>
          <w:color w:val="auto"/>
        </w:rPr>
        <w:t>If we are unable to execute our sales and marketing strategy for our services and are unable to gain sufficient acceptance in the market, we may be unable to generate sufficient revenues to sustain our business.</w:t>
      </w:r>
    </w:p>
    <w:p>
      <w:pPr>
        <w:spacing w:after="0" w:line="143"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We are a growing genomics company and have engaged in targeted sales and marketing activities for our services. Although we have had revenues from sales of our services since 2013, our services may never gain significant acceptance in the marketplace and therefore may never generate substantial revenues or permit us to become profitable. We will need to further establish and grow the market for our services through the expansion of our current relationships and development of new relationships with biopharmaceutical customers.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3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ability to successfully market our services that we have developed, and may develop in the future, will depend on numerous factors, including:</w:t>
      </w:r>
    </w:p>
    <w:p>
      <w:pPr>
        <w:spacing w:after="0" w:line="208" w:lineRule="exact"/>
        <w:rPr>
          <w:sz w:val="20"/>
          <w:szCs w:val="20"/>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demonstrate the utility and value of our services to our customers;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our sales force;</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biopharmaceutical companies accept that our services are sufficiently sensitive and specific;</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convince biopharmaceutical companies of the utility of the comprehensiveness of our services and of testing patients at multiple time points;</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continue to fund sales and marketing activities;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our services are considered superior to those of our competitors;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negative publicity regarding our or our competitors’ services resulting from defects or errors;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obtaining and maintaining patent and trade secret protection for our services and technologies; and</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enforcing and defending intellectual property rights and claims.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Failure to achieve broad market acceptance of our services would materially harm our business, financial condition, and results of operations.</w:t>
      </w:r>
    </w:p>
    <w:p>
      <w:pPr>
        <w:spacing w:after="0" w:line="210"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If we cannot compete successfully with our competitors, we may be unable to increase or sustain our revenues or achieve and sustain profitability.</w:t>
      </w:r>
    </w:p>
    <w:p>
      <w:pPr>
        <w:spacing w:after="0" w:line="130"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color w:val="auto"/>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convince our customers to use our comprehensive test rather than simpler panels provided by our competitors. For example, the information that we provide may be more challenging or require additional resources for our customers to interpret than the information provided by our competitors’ less comprehensive assays.</w:t>
      </w:r>
    </w:p>
    <w:p>
      <w:pPr>
        <w:spacing w:after="0" w:line="118"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6"/>
          <w:szCs w:val="16"/>
          <w:color w:val="auto"/>
        </w:rPr>
        <w:t>Some of our present and potential competitors, including Guardant Health, Inc., Foundation Medicine, Inc., which was acquired by Roche Holdings, Inc. in July 2018, Roche Molecular Systems, Inc., NanoString Technologies, Inc., Personal Genome Diagnostics, Inc., and Adaptive Biotechnologies Corporation, may have widespread brand recognition and substantially greater financial and technical resources and development, production capacities, and marketing capabilities than we do. They may be able to devote greater resources to the development, promotion, and sale of their products and services than we do or sell their products and services at prices designed to win significant levels of market share. In addition, competitors may be acquired by, receive investments from, or enter into other commercial relationships with larger, well-established, and well-financed companies.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we may be unable to ensure or increase market acceptance and sales of our current or planned future services, which could prevent us from increasing or sustaining our revenues or achieving or sustaining profitability.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jc w:val="both"/>
        <w:ind w:firstLine="761"/>
        <w:spacing w:after="0" w:line="291" w:lineRule="auto"/>
        <w:rPr>
          <w:sz w:val="20"/>
          <w:szCs w:val="20"/>
          <w:color w:val="auto"/>
        </w:rPr>
      </w:pPr>
      <w:r>
        <w:rPr>
          <w:rFonts w:ascii="Arial" w:cs="Arial" w:eastAsia="Arial" w:hAnsi="Arial"/>
          <w:sz w:val="16"/>
          <w:szCs w:val="16"/>
          <w:color w:val="auto"/>
        </w:rPr>
        <w:t>We expect that biopharmaceutical companies will increasingly focus attention and resources on the targeted and personalized cancer diagnostic sector as the potential and prevalence of molecularly targeted oncology therapies approved by the U.S. Food and Drug Administration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w:t>
      </w:r>
    </w:p>
    <w:p>
      <w:pPr>
        <w:spacing w:after="0" w:line="140"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Additionally, projects related to cancer diagnostics and particularly genomics have received increased government funding, both in the United States and internationally. As more information regarding cancer genomics becomes available to the public, we anticipate that more products aimed at identifying targeted treatment options will be developed and that these products may compete with our services. In addition, competitors may develop their own versions of our current or planned future services in countries where we did not apply for or receive patents and compete with us in those countries, including encouraging the use of their products or services by biopharmaceutical companies in other countries.</w:t>
      </w:r>
    </w:p>
    <w:p>
      <w:pPr>
        <w:spacing w:after="0" w:line="13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continue to operate our business and further expand our operations.</w:t>
      </w:r>
    </w:p>
    <w:p>
      <w:pPr>
        <w:spacing w:after="0" w:line="130"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continue to operate our business and expand our infrastructure, commercial operations, and research and development activities. Additionally, if we decide to grow our business by developing in vitro diagnostic tests, our capital expenditures and operating expenses would significantly increase. We may seek to raise additional capital through equity offerings, debt financings, collaborations, or licensing arrangements. Additional funding may not be available to us on acceptable terms, or at all.</w:t>
      </w:r>
    </w:p>
    <w:p>
      <w:pPr>
        <w:spacing w:after="0" w:line="127"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42"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If we are not able to secure additional funding when needed, we may have to delay, reduce the scope of or eliminate one or more research and development programs or sales and marketing initiatives. In addition, we may have to work with a partner on one or more aspects of our tests or market development programs, which could lower the economic value of those tests or programs to us. While we believe our existing cash and cash equivalents will be sufficient to meet our anticipated cash requirements for at least the next 12 months, we cannot assure you that we will generate sufficient revenues from commercial sales to adequately fund our operating needs or achieve or sustain profitability.</w:t>
      </w:r>
    </w:p>
    <w:p>
      <w:pPr>
        <w:spacing w:after="0" w:line="132"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b w:val="1"/>
          <w:bCs w:val="1"/>
          <w:i w:val="1"/>
          <w:iCs w:val="1"/>
          <w:color w:val="auto"/>
        </w:rPr>
        <w:t>We will need to invest in our infrastructure in advance of increased demand for our services, and our failure to accurately forecast demand would have a negative impact on our business and our ability to achieve and sustain profitability.</w:t>
      </w:r>
    </w:p>
    <w:p>
      <w:pPr>
        <w:spacing w:after="0" w:line="143"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In order to execute our business model, we need to invest in scaling our infrastructure, including hiring additional personnel, expanding our internal quality assurance program, and expanding laboratory capacity. We will also need to purchase additional equipment, some of which can take several months or more to procure, setup, and validate, and increase our software and computing capacity to meet increased demand. There is no assurance that any of these increases in scale, expansion of personnel, equipment, software, and computing capacities, or process enhancements will be successfully implemented, or that we will have adequate space in our laboratory facility to accommodate such required expansion. We expect that much of this growth will be in advance of increased demand for our services. Our current and projected future expense levels are to a large extent fixed and are largely based on our current investment plans and our estimates of future test volume. As a result, if revenues do not meet our expectations we may not be able to promptly adjust or reduce our spending to levels commensurate with our revenues.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jc w:val="both"/>
        <w:ind w:firstLine="761"/>
        <w:spacing w:after="0" w:line="302" w:lineRule="auto"/>
        <w:rPr>
          <w:sz w:val="20"/>
          <w:szCs w:val="20"/>
          <w:color w:val="auto"/>
        </w:rPr>
      </w:pPr>
      <w:r>
        <w:rPr>
          <w:rFonts w:ascii="Arial" w:cs="Arial" w:eastAsia="Arial" w:hAnsi="Arial"/>
          <w:sz w:val="16"/>
          <w:szCs w:val="16"/>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27"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have substantial customer concentration, with a limited number of customers accounting for a substantial portion of our 2019 revenues and accounts receivable.</w:t>
      </w:r>
    </w:p>
    <w:p>
      <w:pPr>
        <w:spacing w:after="0" w:line="130"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6"/>
          <w:szCs w:val="16"/>
          <w:color w:val="auto"/>
        </w:rPr>
        <w:t>Like other genomics profiling companies that sell to the pharmaceutical industry, we have customer concentration. We currently derive a significant portion of our revenues from the U.S. Department of Veterans Affairs (the “VA”) Million Veteran Program (the “VA MVP”), which accounted for more than 54% and 56% of our revenues in the three months and six months ended June 30, 2019, respectively. Our top five customers, including the VA MVP, accounted for 93% and 92% of our revenues for the three months and six months ended June 30, 2019, respectively. There are inherent risks whenever a large percentage of revenues are concentrated with a limited number of customers. It is not possible for us to predict the future level of demand for our services that will be generated by these customers. In addition, revenues from our larger customers have historically fluctuated and may continue to fluctuate based on the commencement and completion of clinical trials or other projects, the timing of which may be affected by market conditions or other facts, some of which may be outside of our control. Further, while we have long-term contractual arrangements with certain of our customers, these customers are not required to purchase a minimum number of analyses. If any of these customers suspend or terminate clinical trials, receive less funding, experience declining or delayed sales, or otherwise chose to reduce or eliminate their use of our services, we could be pressured to reduce the prices we charge for our services which would have an adverse effect on our margins and financial position, and which would likely negatively affect our revenues and results of operations. In particular, if the VA MVP terminates our services for convenience, which it is permitted to do, such termination would have a material adverse effect on our revenues, cash position, and results of operations. Further, if our largest customers were to cease using or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spacing w:after="0" w:line="128"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b w:val="1"/>
          <w:bCs w:val="1"/>
          <w:i w:val="1"/>
          <w:iCs w:val="1"/>
          <w:color w:val="auto"/>
        </w:rPr>
        <w:t>We currently derive a substantial portion of our revenues from DNA sequencing and data analysis services that we provide to our largest customer, the VA MVP. If the VA MVP’s demand for and/or funding for our DNA sequencing and data analysis services is substantially reduced, our business, financial condition, operating results, and cash flows would be materially harmed.</w:t>
      </w:r>
    </w:p>
    <w:p>
      <w:pPr>
        <w:spacing w:after="0" w:line="139"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We derive a substantial portion of our current and expected future revenues from sales of our DNA sequencing and data analysis services to the VA MVP. In September 2017, we entered into a one-year contract with three one-year option renewal periods with the VA for the VA MVP, pursuant to which we received orders from the VA MVP in September 2017 and 2018.</w:t>
      </w:r>
    </w:p>
    <w:p>
      <w:pPr>
        <w:spacing w:after="0" w:line="141"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The VA MVP’s orders for DNA sequencing and data analysis services are subject to the availability of funding, enrollment of veterans in the VA MVP study, and the VA MVP’s continued demand for our services. We have no certainty that funding will be made available for our services. If the priorities of the VA, the VA MVP, or the U.S. government change, funding for our services may be limited or not available, and our business, financial condition, and operating results and cash flows would be materially harmed. The success of our business and our future operating results are significantly dependent on the VA MVP’s receipt of funding for use of our services and the terms of our sales to the VA MVP, including the price per sample, the number of samples and the timing of the VA MVP’s deliveries of samples.</w:t>
      </w:r>
    </w:p>
    <w:p>
      <w:pPr>
        <w:spacing w:after="0" w:line="153"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are expensive, can take many years to complete, and their outcome is inherently uncertain.</w:t>
      </w:r>
    </w:p>
    <w:p>
      <w:pPr>
        <w:spacing w:after="0" w:line="154"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Our customers other than the VA MVP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failures in their clinical trials, financial constraints, or utilization of internal testing resources or tests performed by other parties, or other circumstances outside of our control.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jc w:val="both"/>
        <w:ind w:firstLine="761"/>
        <w:spacing w:after="0" w:line="255" w:lineRule="auto"/>
        <w:rPr>
          <w:sz w:val="20"/>
          <w:szCs w:val="20"/>
          <w:color w:val="auto"/>
        </w:rPr>
      </w:pPr>
      <w:r>
        <w:rPr>
          <w:rFonts w:ascii="Arial" w:cs="Arial" w:eastAsia="Arial" w:hAnsi="Arial"/>
          <w:sz w:val="18"/>
          <w:szCs w:val="18"/>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66"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revenues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The size of the potential future market for our services is an estimate and may be smaller than we believe.</w:t>
      </w:r>
    </w:p>
    <w:p>
      <w:pPr>
        <w:spacing w:after="0" w:line="185"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Our estimate of the potential future market for our services is based on a number of internal and third-party estimates. While we believe these factors have historically provided and will continue to provide us with effective tools in estimating the total market for our services, these estimates may not be correct and the conditions supporting our estimates may change at any time, thereby reducing the predictive accuracy of these underlying factors. As a result, our estimates of the total addressable market for our services may prove to be incorrect. If the actual number of patients who would benefit from our services and the total addressable market for our services is smaller than we have estimated, our future growth could be adversely impacted. See the section titled “Market, Industry, and Other Data” for additional information regarding our estimates.</w:t>
      </w:r>
    </w:p>
    <w:p>
      <w:pPr>
        <w:spacing w:after="0" w:line="151"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106"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We rely on a limited number of suppliers for sequencers and other equipment and materials that we use in our laboratory operations. For example, we rely on Illumina, Inc. (“Illumina”) as the sole supplier of sequencers and various associated reagents, and as the sole provider of maintenance and repair services for these sequencers. Our master subcontractor agreement with Illumina is set to expire in August 2021, and our various pricing agreements with Illumina are set to expire on various dates up to December 2022. Any disruption in Illumina’s operations, or our inability to negotiate an extension to our agreements with Illumina on acceptable terms, or at all, could impact our supply chain and laboratory operations and our ability to conduct our business and generate revenue. Our suppliers could cease supplying these materials, reagents, and equipment at any time, or fail to provide us with sufficient quantities of materials or materials that meet our specifications. Our laboratory operations could be interrupted if we encounter delays or difficulties in securing equipment, materials, reagents, or sequencers, or if we cannot obtain an acceptable substitute. Any such interruption could significantly affect our business, financial condition, results of operations, and reputation.</w:t>
      </w:r>
    </w:p>
    <w:p>
      <w:pPr>
        <w:spacing w:after="0" w:line="141"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We believe that there are only a few manufacturers other than Illumina that are currently capable of supplying and servicing the equipment necessary for our laboratory operations, including sequencers and various associated reagents. The use of equipment or materials provided by these replacement suppliers would require us to alter our laboratory operations. Transitioning to a new supplier would be time-consuming and expensive, may result in interruptions in our laboratory operations, could affect the performance specifications of our laboratory operations, or could require that we revalidate our tests. We cannot assure you that we will be able to secure alternative equipment, reagents, and other materials, and bring such equipment, reagents, and materials on 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jc w:val="both"/>
        <w:ind w:firstLine="761"/>
        <w:spacing w:after="0" w:line="255" w:lineRule="auto"/>
        <w:rPr>
          <w:sz w:val="20"/>
          <w:szCs w:val="20"/>
          <w:color w:val="auto"/>
        </w:rPr>
      </w:pPr>
      <w:r>
        <w:rPr>
          <w:rFonts w:ascii="Arial" w:cs="Arial" w:eastAsia="Arial" w:hAnsi="Arial"/>
          <w:sz w:val="18"/>
          <w:szCs w:val="18"/>
          <w:color w:val="auto"/>
        </w:rPr>
        <w:t>In addition, the Device Master File that we have filed with the FDA, which is focused on the technology, quality management, and validation of our platform, specifically on its use for the development of personalized immuno-therapies, is predicated on our use of specified equipment and processes, including Illumina sequencers and related equipment. The detailed information in the Device Master File is not shared with our customers, but with our permission they can reference our FDA file number in their Investigational New Drug filings with the FDA. If we were required to transition to a new supplier of sequencers or certain other equipment or processes in our laboratory, our Device Master File would need to be replaced or updated, and until such time as that occurred, customers for which we deliver services after the transition would not be able to reference our Device Master File, which would cause us to lose a competitive advantage.</w:t>
      </w:r>
    </w:p>
    <w:p>
      <w:pPr>
        <w:spacing w:after="0" w:line="16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If our sole laboratory facility becomes damaged or inoperable, or we are required to vacate the facility, our ability to sell and provide our services and pursue our research and development efforts may be jeopardized.</w:t>
      </w:r>
    </w:p>
    <w:p>
      <w:pPr>
        <w:spacing w:after="0" w:line="130"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We currently derive our revenues from our genomic analysis conducted in our laboratory. We do not have any clinical reference laboratory facilities other than our facility in Menlo Park, California. Our facilities and equipment could be harmed or rendered inoperable by natural or man-made disasters, including fires, earthquakes, flooding, and power outages, which may render it difficult or impossible for us to sell or perform our services for some period of time. Northern California has recently experienced serious fires and the San Francisco Bay Area is considered to lie in an area with earthquake risk. The inability to sell or to perform our diagnostic and other services, or the backlog of samples that could develop if our facility is inoperable for even a short period of time, may result in the loss of customers or harm to our reputation or relationships with scientific or clinical collaborators, and we may be unable to regain those customers or repair our reputation or such relationships in the future. Furthermore, our facilities and the equipment we use to perform our services and our research and development work could be costly and time-consuming to repair or replace.</w:t>
      </w:r>
    </w:p>
    <w:p>
      <w:pPr>
        <w:spacing w:after="0" w:line="138"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Additionally, a key component of our research and development process involves using biological samples as the basis for the development of our services. In some cases, these samples are difficult to obtain. If the parts of our laboratory facility where we store these biological samples were damaged or compromised, our ability to pursue our research and development projects, as well as our reputation, could be jeopardized. We carry insurance for damage to our property and the disruption of our business, but this insurance may not be sufficient to cover all of our potential losses and may not continue to be available to us on acceptable terms, if at all.</w:t>
      </w:r>
    </w:p>
    <w:p>
      <w:pPr>
        <w:spacing w:after="0" w:line="161"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7"/>
          <w:szCs w:val="17"/>
          <w:color w:val="auto"/>
        </w:rPr>
        <w:t>Further, if our laboratory became inoperable, we would likely not be able to license or transfer our technology to another facility with the necessary qualifications, including state licensure and CLIA certification, under the scope of which our current and our planned future services could be performed. Even if we find a facility with such qualifications to perform our services, it may not be available to us on commercially reasonable terms.</w:t>
      </w:r>
    </w:p>
    <w:p>
      <w:pPr>
        <w:spacing w:after="0" w:line="125"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vendors, contractors, or consultants, may fail or suffer security breaches, loss or leakage of data, and other disruptions, which could result in a material disruption of our services, compromise sensitive information related to our business, or prevent us from accessing critical information, potentially exposing us to liability or otherwise adversely affecting our business.</w:t>
      </w:r>
    </w:p>
    <w:p>
      <w:pPr>
        <w:spacing w:after="0" w:line="146"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vendors and other contractors and consultants who have access to our confidential information.</w:t>
      </w:r>
    </w:p>
    <w:p>
      <w:pPr>
        <w:spacing w:after="0" w:line="161"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Despite the implementation of security measures, given the size and complexity of our internal information technology systems and those of our third-party vendors and other contractors and consultants, and the increasing amounts of confidential information that they maintain, our such information technology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third-party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vendors and other contractors and consultants, or lead to data leakage.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jc w:val="both"/>
        <w:spacing w:after="0" w:line="271" w:lineRule="auto"/>
        <w:rPr>
          <w:sz w:val="20"/>
          <w:szCs w:val="20"/>
          <w:color w:val="auto"/>
        </w:rPr>
      </w:pPr>
      <w:r>
        <w:rPr>
          <w:rFonts w:ascii="Arial" w:cs="Arial" w:eastAsia="Arial" w:hAnsi="Arial"/>
          <w:sz w:val="17"/>
          <w:szCs w:val="17"/>
          <w:color w:val="auto"/>
        </w:rPr>
        <w:t>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services could be delayed. The costs related to significant security breaches or disruptions could be material and exceed the limits of the cybersecurity insurance we maintain against such risks.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52" w:lineRule="exact"/>
        <w:rPr>
          <w:sz w:val="20"/>
          <w:szCs w:val="20"/>
          <w:color w:val="auto"/>
        </w:rPr>
      </w:pPr>
    </w:p>
    <w:p>
      <w:pPr>
        <w:jc w:val="both"/>
        <w:ind w:firstLine="761"/>
        <w:spacing w:after="0" w:line="268" w:lineRule="auto"/>
        <w:rPr>
          <w:sz w:val="20"/>
          <w:szCs w:val="20"/>
          <w:color w:val="auto"/>
        </w:rPr>
      </w:pPr>
      <w:r>
        <w:rPr>
          <w:rFonts w:ascii="Arial" w:cs="Arial" w:eastAsia="Arial" w:hAnsi="Arial"/>
          <w:sz w:val="17"/>
          <w:szCs w:val="17"/>
          <w:color w:val="auto"/>
        </w:rPr>
        <w:t>While we have not experienced any such system failure, accident, or security breach to date, and believe that our data protection efforts and our investment in information technology reduce the likelihood of such incidents in the future, 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vendors and other contractors and consultants, it could result in a material disruption of our programs and the development of our services and technologies could be delayed.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customers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45"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b w:val="1"/>
          <w:bCs w:val="1"/>
          <w:i w:val="1"/>
          <w:iCs w:val="1"/>
          <w:color w:val="auto"/>
        </w:rPr>
        <w:t>Security breaches, loss of data, and other disruptions could compromise sensitive information related to our business or prevent us from accessing critical information and expose us to liability, which could adversely affect our business and our reputation.</w:t>
      </w:r>
    </w:p>
    <w:p>
      <w:pPr>
        <w:spacing w:after="0" w:line="106"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In the ordinary course of our business, we collect and store sensitive data, including protected health information (“PHI”), personally identifiable information (“PII”), credit card and other financial information, intellectual property, and proprietary business information owned or controlled by ourselves or our customers, payors, and other parties. We manage and maintain our applications and data utilizing a combination of on-site systems and cloud-based data centers. We utilize external security and infrastructure vendors to manage parts of our data centers. We also communicate sensitive data, including patient data, electronically, and through relationships with multiple third-party vendors and their subcontractors. These applications and data encompass a wide variety of business-critical information, including research and development information, patient data, commercial information, and business and financial information.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and subcontractors we use to manage this sensitive data.</w:t>
      </w:r>
    </w:p>
    <w:p>
      <w:pPr>
        <w:spacing w:after="0" w:line="155"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6"/>
          <w:szCs w:val="16"/>
          <w:color w:val="auto"/>
        </w:rPr>
        <w:t>The secure processing, storage, maintenance, and transmission of this critical information are vital to our operations and business strategy, and we devote significant resources to protecting such information.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liability under federal or state laws that protect the privacy of personal information, such as the Health Insurance Portability and Accountability Act of 1996 (“HIPAA”) and the Health Information Technology for Economic and Clinical Health Act (“HITECH”), and regulatory penalties. Notice of breaches must be made to affected individuals, the Secretary of the Department of Health and Human Services (“HHS”), and for extensive breaches, notice may need to be made to the media or state attorneys general. Such a notice could harm our reputation and our ability to compete. Although we have implemented security measures and a formal, dedicated enterprise security program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jc w:val="both"/>
        <w:ind w:firstLine="761"/>
        <w:spacing w:after="0" w:line="255" w:lineRule="auto"/>
        <w:rPr>
          <w:sz w:val="20"/>
          <w:szCs w:val="20"/>
          <w:color w:val="auto"/>
        </w:rPr>
      </w:pPr>
      <w:r>
        <w:rPr>
          <w:rFonts w:ascii="Arial" w:cs="Arial" w:eastAsia="Arial" w:hAnsi="Arial"/>
          <w:sz w:val="18"/>
          <w:szCs w:val="18"/>
          <w:color w:val="auto"/>
        </w:rPr>
        <w:t>Penalties for violations of these laws vary. For instance, penalties for failure to comply with a requirement of HIPAA and HITECH vary significantly, and include significant civil monetary penalties and, in certain circumstances, criminal penalties with fines up to $250,000 per violation and/or imprisonment. In addition, numerous breach incidents could lead to possible penalties in excess of $1.68 million.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w:t>
      </w:r>
    </w:p>
    <w:p>
      <w:pPr>
        <w:spacing w:after="0" w:line="166"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color w:val="auto"/>
        </w:rPr>
        <w:t>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The interplay of federal and state laws may be subject to varying interpretations by courts and government agencies, creating complex compliance issues for us and data we receive, use and share,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PII, for the treatment of genetic data, along with increased customer demands for enhanced data security infrastructure, could greatly increase our cost of providing our services, decrease demand for our services, reduce our revenues and/or subject us to additional liabilities.</w:t>
      </w:r>
    </w:p>
    <w:p>
      <w:pPr>
        <w:spacing w:after="0" w:line="128" w:lineRule="exact"/>
        <w:rPr>
          <w:sz w:val="20"/>
          <w:szCs w:val="20"/>
          <w:color w:val="auto"/>
        </w:rPr>
      </w:pPr>
    </w:p>
    <w:p>
      <w:pPr>
        <w:jc w:val="both"/>
        <w:ind w:firstLine="761"/>
        <w:spacing w:after="0" w:line="267" w:lineRule="auto"/>
        <w:rPr>
          <w:sz w:val="20"/>
          <w:szCs w:val="20"/>
          <w:color w:val="auto"/>
        </w:rPr>
      </w:pPr>
      <w:r>
        <w:rPr>
          <w:rFonts w:ascii="Arial" w:cs="Arial" w:eastAsia="Arial" w:hAnsi="Arial"/>
          <w:sz w:val="17"/>
          <w:szCs w:val="17"/>
          <w:color w:val="auto"/>
        </w:rPr>
        <w:t>In addition, the interpretation and application of consumer, health-related and data protection laws, especially with respect to genetic samples and data, in the United States, the European Union (the “EU”), and elsewhere are often uncertain, contradictory and in flux. For example, the EU-wide General Data Protection Regulation (EU) 2016/679 (“GDPR”) became applicable on May 25, 2018, replacing data protection laws issued by of each EU member state based on the Directive 95/46/EC (the “Directive”). Unlike the Directive, which needed to be transposed at a national level, the GDPR text is directly applicable in each EU member state, resulting in a more uniform application of data privacy laws across the EU. The GDPR imposes onerous accountability obligations requiring data controllers and processors to maintain a record of their data processing and policies. It requires data controllers to implement more stringent operational requirements for processors and controllers of personal data, including, for example, transparent and expanded disclosure to data subjects (in a concise, intelligible and easily accessible form) about how their personal information is to be used, imposes limitations on retention of information, increases requirements pertaining to health data and pseudonymized (i.e., key-coded) data, introduces mandatory data breach notification requirements and sets higher standards for data controllers to demonstrate that they have obtained valid consent for certain data processing activities. Fines for non-compliance with the GDPR will be significant—the greater of €20 million or 4% of global turnover. The GDPR provides that EU member states may introduce further conditions, including limitations, to make their own further laws and regulations limiting the processing of genetic, biometric or health data, which could limit our ability to collect, use and share European data, or could cause our compliance costs to increase, ultimately having an adverse impact on our business, and harm our business and financial condition. It is possible that these laws may be interpreted and applied in a manner that is inconsistent with our practices. If so, this could result in government-imposed fines or orders requiring that we change our practices, which could adversely affect our business. Further, the United Kingdom’s vote in favor of exiting the EU, often referred to as Brexit, has created uncertainty with regard to data protection regulation in the United Kingdom. In particular, it is unclear whether the United Kingdom will enact data protection legislation equivalent to the GDPR and how data transfers to and from the United Kingdom will be regulated.</w:t>
      </w:r>
    </w:p>
    <w:p>
      <w:pPr>
        <w:spacing w:after="0" w:line="151"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Compliance with U.S. and international data protection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We rely on our customers to obtain valid and appropriate consents from data subjects whose genetic samples and data we process on such customers’ behalf. Given that we do not obtain direct consent from such data subjects and we do not audit our customers to ensure that they have obtained the necessary consents required by law, the failure of our customers to obtain consents that are in compliance with applicable law could result in our own non-compliance with privacy laws. Such failure to comply with U.S. and international data protection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p>
      <w:pPr>
        <w:ind w:left="760" w:right="20"/>
        <w:spacing w:after="0" w:line="277" w:lineRule="auto"/>
        <w:rPr>
          <w:sz w:val="20"/>
          <w:szCs w:val="20"/>
          <w:color w:val="auto"/>
        </w:rPr>
      </w:pPr>
      <w:r>
        <w:rPr>
          <w:rFonts w:ascii="Arial" w:cs="Arial" w:eastAsia="Arial" w:hAnsi="Arial"/>
          <w:sz w:val="18"/>
          <w:szCs w:val="18"/>
          <w:b w:val="1"/>
          <w:bCs w:val="1"/>
          <w:i w:val="1"/>
          <w:iCs w:val="1"/>
          <w:color w:val="auto"/>
        </w:rPr>
        <w:t>Our success depends on our ability to provide reliable, high-quality genomic data and analyses and to rapidly evolve to meet our customers’ needs.</w:t>
      </w:r>
    </w:p>
    <w:p>
      <w:pPr>
        <w:spacing w:after="0" w:line="143"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can also be flaws in the databases, third-party tools, algorithms we use, and in the software that handle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w:t>
      </w:r>
    </w:p>
    <w:p>
      <w:pPr>
        <w:spacing w:after="0" w:line="118" w:lineRule="exact"/>
        <w:rPr>
          <w:sz w:val="20"/>
          <w:szCs w:val="20"/>
          <w:color w:val="auto"/>
        </w:rPr>
      </w:pPr>
    </w:p>
    <w:p>
      <w:pPr>
        <w:jc w:val="both"/>
        <w:ind w:firstLine="761"/>
        <w:spacing w:after="0" w:line="312" w:lineRule="auto"/>
        <w:rPr>
          <w:sz w:val="20"/>
          <w:szCs w:val="20"/>
          <w:color w:val="auto"/>
        </w:rPr>
      </w:pPr>
      <w:r>
        <w:rPr>
          <w:rFonts w:ascii="Arial" w:cs="Arial" w:eastAsia="Arial" w:hAnsi="Arial"/>
          <w:sz w:val="16"/>
          <w:szCs w:val="16"/>
          <w:color w:val="auto"/>
        </w:rPr>
        <w:t>Inaccurate results or misunderstandings of, or inappropriate reliance on, the information we provide to our customers could lead to, or be associated with, side effects or adverse events in patients who use our tests, including treatment-related death, and could lead to termination of our services or claims against us. A product liability or professional liability claim could result in substantial damages and be costly and time-consuming for us to defend.</w:t>
      </w:r>
    </w:p>
    <w:p>
      <w:pPr>
        <w:spacing w:after="0" w:line="106"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166"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b w:val="1"/>
          <w:bCs w:val="1"/>
          <w:i w:val="1"/>
          <w:iCs w:val="1"/>
          <w:color w:val="auto"/>
        </w:rPr>
        <w:t>If we cannot develop services and products to keep pace with rapid advances in technology, medicine and science, or experience delays in developing such services and products, our operating results and competitive position could be harmed.</w:t>
      </w:r>
    </w:p>
    <w:p>
      <w:pPr>
        <w:spacing w:after="0" w:line="106" w:lineRule="exact"/>
        <w:rPr>
          <w:sz w:val="20"/>
          <w:szCs w:val="20"/>
          <w:color w:val="auto"/>
        </w:rPr>
      </w:pPr>
    </w:p>
    <w:p>
      <w:pPr>
        <w:jc w:val="both"/>
        <w:ind w:firstLine="761"/>
        <w:spacing w:after="0" w:line="288" w:lineRule="auto"/>
        <w:rPr>
          <w:sz w:val="20"/>
          <w:szCs w:val="20"/>
          <w:color w:val="auto"/>
        </w:rPr>
      </w:pPr>
      <w:r>
        <w:rPr>
          <w:rFonts w:ascii="Arial" w:cs="Arial" w:eastAsia="Arial" w:hAnsi="Arial"/>
          <w:sz w:val="16"/>
          <w:szCs w:val="16"/>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(such as our planned liquid biopsy test)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29"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97"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124"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141"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We currently work with certain companies developing personalized cancer therapies, and our future success will in part depend on our personalized cancer customers obtaining regulatory approval for and commercializing their product candidate. Because personalized cancer therapies represent a new approach to immunotherapy for the treatment of cancer and other diseases, developing and commercializing personalized cancer therapies is subject to a number of challenges.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jc w:val="both"/>
        <w:ind w:firstLine="761"/>
        <w:spacing w:after="0" w:line="259" w:lineRule="auto"/>
        <w:rPr>
          <w:sz w:val="20"/>
          <w:szCs w:val="20"/>
          <w:color w:val="auto"/>
        </w:rPr>
      </w:pPr>
      <w:r>
        <w:rPr>
          <w:rFonts w:ascii="Arial" w:cs="Arial" w:eastAsia="Arial" w:hAnsi="Arial"/>
          <w:sz w:val="18"/>
          <w:szCs w:val="18"/>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60"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Physicians, hospitals, and third-party payors often are slow to adopt new products,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The loss of key members of our executive management team could adversely affect our business.</w:t>
      </w:r>
    </w:p>
    <w:p>
      <w:pPr>
        <w:spacing w:after="0" w:line="185"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including John West, our Chief Executive Officer, Richard Chen, our Chief Scientific Officer, Clinton Musil, our Chief Business Officer, and Aaron Tachibana, our Chief Financial Officer. The collective efforts of each of these persons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Each member of our executive management team has an employment agreement; however, the existence of an employment agreement does not guarantee retention of members of our executive management team and we may not be able to retain those individuals. We do not maintain “key person” life insurance on any of our employees.</w:t>
      </w:r>
    </w:p>
    <w:p>
      <w:pPr>
        <w:spacing w:after="0" w:line="140"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41"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 loss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30"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43"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and genetic counselors, due to the competition for qualified personnel among life science businesses, technology companies, as well as universities and public and private research institutions, particularly in the San Francisco Bay Area.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including due to movements in our stock price. If we are not able to attract and retain the necessary personnel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ind w:left="760"/>
        <w:spacing w:after="0"/>
        <w:rPr>
          <w:sz w:val="20"/>
          <w:szCs w:val="20"/>
          <w:color w:val="auto"/>
        </w:rPr>
      </w:pPr>
      <w:r>
        <w:rPr>
          <w:rFonts w:ascii="Arial" w:cs="Arial" w:eastAsia="Arial" w:hAnsi="Arial"/>
          <w:sz w:val="18"/>
          <w:szCs w:val="18"/>
          <w:b w:val="1"/>
          <w:bCs w:val="1"/>
          <w:i w:val="1"/>
          <w:iCs w:val="1"/>
          <w:color w:val="auto"/>
        </w:rPr>
        <w:t>We may not be able to manage our future growth effectively, which could make it difficult to execute our business strategy.</w:t>
      </w:r>
    </w:p>
    <w:p>
      <w:pPr>
        <w:spacing w:after="0" w:line="198"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Our expected future growth could create a strain on our organizational, administrative, and operational infrastructure, including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We depend on our information technology systems, and any failure of these systems could harm our business.</w:t>
      </w:r>
    </w:p>
    <w:p>
      <w:pPr>
        <w:spacing w:after="0" w:line="185"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color w:val="auto"/>
        </w:rPr>
        <w:t>We depend on information technology and telecommunications systems for significant elements of our operations, including our laboratory information management system, our bioinformatics analytical software systems, our database of information relating to genetic variations and their role in disease process, our clinical report systems, our billing systems, our business intelligence systems, our logistics and customer relationship systems, our customer-facing web-based software, our customer reporting, and our family history and risk assessment tools.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w:t>
      </w:r>
    </w:p>
    <w:p>
      <w:pPr>
        <w:spacing w:after="0" w:line="138"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Although we invest substantially in the backup/restore, high-availability architecture, monitoring and reporting, documentation and preventive security controls of our systems, all information technology and telecommunications systems are vulnerable to damage from a variety of sources, including telecommunications or network failures, malicious or inadvertent human acts and natural disasters. Our servers are potentially vulnerable to physical or electronic break-ins, employee errors, computer viruses and similar disruptive problems. Despite the precautionary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the first quarter of 2018, we experienced downtime in our information technology systems in connection with the adoption of certain new information technology, and experienced an adverse effect to our results of operations in the first and second quarters of 2018 were adversely affected as a result. Any disruption or loss of information technology or telecommunications systems on which critical aspects of our operations depend could have an adverse effect on our business.</w:t>
      </w:r>
    </w:p>
    <w:p>
      <w:pPr>
        <w:spacing w:after="0" w:line="142"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Additionally, we have internally developed, and expect to continue to invest in and expand, proprietary informatics and software systems that are designed to manage the unique aspects and challenges of our genomics laboratory and on which we depend. Any disruption of failure of our internally developed informatics and software systems could have an adverse effect on our business.</w:t>
      </w:r>
    </w:p>
    <w:p>
      <w:pPr>
        <w:spacing w:after="0" w:line="141"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43" w:lineRule="exact"/>
        <w:rPr>
          <w:sz w:val="20"/>
          <w:szCs w:val="20"/>
          <w:color w:val="auto"/>
        </w:rPr>
      </w:pPr>
    </w:p>
    <w:p>
      <w:pPr>
        <w:jc w:val="both"/>
        <w:ind w:firstLine="761"/>
        <w:spacing w:after="0" w:line="268" w:lineRule="auto"/>
        <w:rPr>
          <w:sz w:val="20"/>
          <w:szCs w:val="20"/>
          <w:color w:val="auto"/>
        </w:rPr>
      </w:pPr>
      <w:r>
        <w:rPr>
          <w:rFonts w:ascii="Arial" w:cs="Arial" w:eastAsia="Arial" w:hAnsi="Arial"/>
          <w:sz w:val="17"/>
          <w:szCs w:val="17"/>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 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ind w:left="760"/>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143"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In addition, we may not be able to find suitable partners or acquisition candidates, and we may not be able to complete such transactions on favorable terms, if at all. Any future acquisitions by us also could result in significant write-offs or the incurrence of debt and contingent liabilities, any of which could harm our operating results.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137"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To finance any acquisitions or investments, we may choose to raise additional funds. The various ways we could raise additional funds carry potential risks. See “—Our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48"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rely on commercial courier delivery services to transport specimens to our laboratory facility in a timely and cost-efficient manner, and if these delivery services are disrupted, our business would be harmed.</w:t>
      </w:r>
    </w:p>
    <w:p>
      <w:pPr>
        <w:spacing w:after="0" w:line="143"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Our business depends on our ability to quickly and reliably deliver test results to our customers. Disruptions in delivery service, whether due to labor disruptions, bad weather, natural disaster, terrorist acts, or threats or for other reasons could adversely affect specimen integrity and our ability to process specimens in a timely manner and service our customers, and ultimately our reputation and our business. In addition, if we are unable to continue to obtain expedited delivery services on commercially reasonable terms, our operating results may be adversely affected.</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Ethical, legal, and social concerns related to the use of genetic information could reduce demand for our tests.</w:t>
      </w:r>
    </w:p>
    <w:p>
      <w:pPr>
        <w:spacing w:after="0" w:line="18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The December 2017 tax reform law could adversely affect our business and financial condition.</w:t>
      </w:r>
    </w:p>
    <w:p>
      <w:pPr>
        <w:spacing w:after="0" w:line="185"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On December 22, 2017, President Trump signed into law comprehensive tax legislation (the “Tax Cuts and Jobs Act”) that significantly revised the Internal Revenue Code of 1986, as amended (the “Code”). The Tax Cuts and Jobs Act, among other things, contained significant changes to corporate taxation, including reduction of the corporate tax rate from a top marginal rate of 35% to a flat rate of 21%, limitation of the tax deduction for interest expense to 30% of adjusted taxable income (except for certain small businesses), limitation of the deduction for net operating losses incurred after 2017 to 80% of current year taxable income and elimination of net operating loss carrybacks, one-time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Notwithstanding the reduction in the corporate income tax rate, the overall impact of the Tax Cuts and Jobs Act is uncertain and our business and financial condition could be adversely affected. In addition, it is uncertain if and to what extent various states will conform to the Tax Cuts and Jobs Act. The impact of this tax reform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ind w:left="760"/>
        <w:spacing w:after="0"/>
        <w:rPr>
          <w:sz w:val="20"/>
          <w:szCs w:val="20"/>
          <w:color w:val="auto"/>
        </w:rPr>
      </w:pPr>
      <w:r>
        <w:rPr>
          <w:rFonts w:ascii="Arial" w:cs="Arial" w:eastAsia="Arial" w:hAnsi="Arial"/>
          <w:sz w:val="18"/>
          <w:szCs w:val="18"/>
          <w:b w:val="1"/>
          <w:bCs w:val="1"/>
          <w:i w:val="1"/>
          <w:iCs w:val="1"/>
          <w:color w:val="auto"/>
        </w:rPr>
        <w:t>Our effective tax rate may fluctuate, and we may incur obligations in tax jurisdictions in excess of accrued amounts.</w:t>
      </w:r>
    </w:p>
    <w:p>
      <w:pPr>
        <w:spacing w:after="0" w:line="198"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We are subject to taxation in numerous U.S. states and territories. As a result, our effective tax rate is derived from a combination of applicable tax rates in the various places that we operate. In preparing our financial statements, we estimate the amount of tax that will become payable in each of such places. Nevertheless, our effective tax rate may be different than experienced in the past due to numerous factors, including passage of the Tax Cuts and Jobs Act,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89"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b w:val="1"/>
          <w:bCs w:val="1"/>
          <w:i w:val="1"/>
          <w:iCs w:val="1"/>
          <w:color w:val="auto"/>
        </w:rPr>
        <w:t>Our tests may be subject to regulatory action if regulatory agencies determine that our tests do not appropriately comply with statutory and regulatory requirements enforced by the U.S. Food and Drug Administration, and/or CLIA requirements for quality laboratory testing.</w:t>
      </w:r>
    </w:p>
    <w:p>
      <w:pPr>
        <w:spacing w:after="0" w:line="97" w:lineRule="exact"/>
        <w:rPr>
          <w:sz w:val="20"/>
          <w:szCs w:val="20"/>
          <w:color w:val="auto"/>
        </w:rPr>
      </w:pPr>
    </w:p>
    <w:p>
      <w:pPr>
        <w:jc w:val="both"/>
        <w:ind w:firstLine="761"/>
        <w:spacing w:after="0" w:line="253" w:lineRule="auto"/>
        <w:rPr>
          <w:sz w:val="20"/>
          <w:szCs w:val="20"/>
          <w:color w:val="auto"/>
        </w:rPr>
      </w:pPr>
      <w:r>
        <w:rPr>
          <w:rFonts w:ascii="Arial" w:cs="Arial" w:eastAsia="Arial" w:hAnsi="Arial"/>
          <w:sz w:val="18"/>
          <w:szCs w:val="18"/>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In addition, the FDA regulates the import and export of medical devices.</w:t>
      </w:r>
    </w:p>
    <w:p>
      <w:pPr>
        <w:spacing w:after="0" w:line="157" w:lineRule="exact"/>
        <w:rPr>
          <w:sz w:val="20"/>
          <w:szCs w:val="20"/>
          <w:color w:val="auto"/>
        </w:rPr>
      </w:pPr>
    </w:p>
    <w:p>
      <w:pPr>
        <w:jc w:val="both"/>
        <w:ind w:firstLine="761"/>
        <w:spacing w:after="0" w:line="267" w:lineRule="auto"/>
        <w:rPr>
          <w:sz w:val="20"/>
          <w:szCs w:val="20"/>
          <w:color w:val="auto"/>
        </w:rPr>
      </w:pPr>
      <w:r>
        <w:rPr>
          <w:rFonts w:ascii="Arial" w:cs="Arial" w:eastAsia="Arial" w:hAnsi="Arial"/>
          <w:sz w:val="17"/>
          <w:szCs w:val="17"/>
          <w:color w:val="auto"/>
        </w:rPr>
        <w:t>Although the FDA has statutory authority to assure that medical devices are safe and effective for their intended uses, the FDA has generally exercised its enforcement discretion and not enforced applicable regulations with respect to laboratory developed tests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 Despite the FDA’s historic enforcement discretion policy with respect to LDTs, in November 2017, the FDA finalized a classification order setting out the regulatory requirements that apply to certain genetic health risk tests and revised a separate classification order exempting certain carrier screening tests from FDA premarket clearance and approval requirements when certain regulatory requirements are met. None of our tests comply with these classification orders because we market our tests as LDTs that are subject to the FDA’s policy of enforcement discretion. However, the FDA may find that our tests do not fall within the definition of an LDT, and may determine that our tests are subject to the FDA’s enforcement of its medical device regulations, including the recent classification orders, and the applicable FDC Act provisions. While we believe that we are currently in material compliance with applicable laws and regulations, we cannot assure you that the FDA or other regulatory agencies would agree with our determination, and a determination that we have violated these laws, or a public announcement that we are being investigated for possible violations of these laws, could adversely affect our business, prospects, results of operations or financial condition. If the FDA determines that our tests are subject to enforcement as medical devices, we could be subject to enforcement action, including administrative and judicial sanctions, and additional regulatory controls and submissions for our tests, all of which could be burdensome. See “—Failure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52"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color w:val="auto"/>
        </w:rPr>
        <w:t>Moreover, LDTs may in the future become subject to more onerous regulation by the FDA. A significant change in any of the laws, regulations or policies may require us to change our business model in order to maintain regulatory compliance. At various times since 2006, the FDA has issued documents outlining its intent to require varying levels of FDA oversight of many types of LDTs. In October 2014, the FDA issued two non-binding draft guidance documents that set forth a proposed risk-based regulatory framework that would apply varying levels of FDA oversight to LDTs. The FDA indicated that it did not intend to implement its proposed framework until the draft guidance documents are finalized. The FDA was expected to finalize its proposal for the oversight of LDTs before the end of 2016, but in November 2016, the FDA announced that it would halt finalizing of the guidance documents and continue to work with stakeholders, the incoming administration and Congress on the approach to LDT regulation. This announcement was followed by the issuance of an information discussion paper on January 13, 2017, in which the FDA outlined a substantially revised “possible approach” to the oversight of LDTs. The discussion paper explicitly states that it is not a final version of the 2014 draft guidance and that it is not enforceable and does not represent the FDA’s “formal position.” It is unclear at this time if or when the FDA will finalize its plans to end enforcement discretion for LDTs, and even then, whether the new regulatory requirements are expected to be phased-in over time. However, the FDA may decide to regulate certain LDTs on a case-by-case basis at any time, which could result in delay or additional expense in offering our tests and tests that we may develop in the future.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 w:name="page47"/>
    <w:bookmarkEnd w:id="46"/>
    <w:p>
      <w:pPr>
        <w:jc w:val="both"/>
        <w:ind w:firstLine="761"/>
        <w:spacing w:after="0" w:line="270" w:lineRule="auto"/>
        <w:rPr>
          <w:sz w:val="20"/>
          <w:szCs w:val="20"/>
          <w:color w:val="auto"/>
        </w:rPr>
      </w:pPr>
      <w:r>
        <w:rPr>
          <w:rFonts w:ascii="Arial" w:cs="Arial" w:eastAsia="Arial" w:hAnsi="Arial"/>
          <w:sz w:val="17"/>
          <w:szCs w:val="17"/>
          <w:color w:val="auto"/>
        </w:rPr>
        <w:t>Legislative proposals addressing oversight of genetic testing and LDTs have been introduced in previous Congresses, and we expect that new legislative proposals will be introduced from time to time in the future. We cannot provide any assurance that FDA regulation, including pre-market review, will not be required in the future for our tests, whether through finalization of guidance issued by the FDA, new enforcement policies adopted by the FDA or new legislation enacted by Congress. It is possible that legislation will be enacted into law or guidance could be issued by the FDA which may result in increased regulatory burdens for us to continue to offer our tests or to develop and introduce new tests. This legislative and regulatory uncertainty exposes us to the possibility of enforcement action or additional regulatory controls and submissions for our tests, both of which could be burdensome. We cannot be certain that the FDA will not enact rules or guidance documents which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151"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Additionally, the Centers for Medicare &amp; Medicaid Services (“CMS”), and certain state agencies regulate the performance of LDTs (as authorized under CLIA and state law, respectively). Our tests are developed in compliance with CLIA requirements. However, if our laboratory fails to comply with the prescribed quality requirements for laboratory testing or other requirements for CLIA, we could lose CLIA certification. That in turn would impact our ability to operate our laboratory and provide results to our customers, which could negatively impact our business operations.</w:t>
      </w:r>
    </w:p>
    <w:p>
      <w:pPr>
        <w:spacing w:after="0" w:line="131"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b w:val="1"/>
          <w:bCs w:val="1"/>
          <w:i w:val="1"/>
          <w:iCs w:val="1"/>
          <w:color w:val="auto"/>
        </w:rPr>
        <w:t>If the FDA determines that our services are subject to enforcement as medical devices, we could incur substantial costs and time delays associated with satisfying statutory and regulatory requirements such as pre-market clearance or approval and we could incur additional expense in offering our tests and tests that we may develop in the future.</w:t>
      </w:r>
    </w:p>
    <w:p>
      <w:pPr>
        <w:spacing w:after="0" w:line="141"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If the FDA determines that our tests and associated software do not fall within the definition of an LDT, or there are regulatory or legislative changes,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the regulatory requirements to which our tests are subject would depend on the FDA’s classification of our tests. The FDA has issued regulations classifying over 1,700 different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w:t>
      </w:r>
    </w:p>
    <w:p>
      <w:pPr>
        <w:spacing w:after="0" w:line="152"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 xml:space="preserve">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product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request for reclassification.</w:t>
      </w:r>
    </w:p>
    <w:p>
      <w:pPr>
        <w:spacing w:after="0" w:line="137"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The process for submitting a 510(k) premarket notification and receiving FDA clearance usually takes from three to twelve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 w:name="page48"/>
    <w:bookmarkEnd w:id="47"/>
    <w:p>
      <w:pPr>
        <w:jc w:val="both"/>
        <w:ind w:firstLine="761"/>
        <w:spacing w:after="0" w:line="286" w:lineRule="auto"/>
        <w:rPr>
          <w:sz w:val="20"/>
          <w:szCs w:val="20"/>
          <w:color w:val="auto"/>
        </w:rPr>
      </w:pPr>
      <w:r>
        <w:rPr>
          <w:rFonts w:ascii="Arial" w:cs="Arial" w:eastAsia="Arial" w:hAnsi="Arial"/>
          <w:sz w:val="16"/>
          <w:szCs w:val="16"/>
          <w:color w:val="auto"/>
        </w:rPr>
        <w:t xml:space="preserve">If our tests are considered medical devices not subject to enforcement discretion, one classification regulation that could be relevant to one or more of our tests is a recently finalized classification for genetic health risk (“GHR”), assessment tests. On April 6, 2017, in response to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for reclassification submitted by another company, the FDA issued an order classifying genetic tests known as genetic health risk assessment systems (“GHR tests”) as Class II devices subject to premarket notification and specified special controls requirements. On November 7, 2017, the FDA codified this classification at 21 C.F.R. § 866.5950. If our tests are considered medical devices that are not subject to enforcement discretion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Although the FDA has also issued a proposal for a simplified path to market GHR tests that would amend the classification regulation at 21 C.F.R. § 886.5950 such that manufacturers would only be subject to a one-time marketing review to ensure that they meet the applicable FDA requirements prior to selling GHR tests in the market, the FDA has yet to finalize this proposal, and we do not know if and when finalization will occur. Even if the FDA finalizes the proposed limited exemption for GHR tests, if any of our current or pipeline tests are not considered by the FDA to be GHR tests or do not qualify for the limited exemption (if and when finalized), or if any of our tests fall under a different non-exempt classification or are unclassified, we could be required to obtain 510(k) clearance or approval of a PMA for such test in the future.</w:t>
      </w:r>
    </w:p>
    <w:p>
      <w:pPr>
        <w:spacing w:after="0" w:line="145" w:lineRule="exact"/>
        <w:rPr>
          <w:sz w:val="20"/>
          <w:szCs w:val="20"/>
          <w:color w:val="auto"/>
        </w:rPr>
      </w:pPr>
    </w:p>
    <w:p>
      <w:pPr>
        <w:jc w:val="both"/>
        <w:ind w:firstLine="761"/>
        <w:spacing w:after="0" w:line="272" w:lineRule="auto"/>
        <w:rPr>
          <w:sz w:val="20"/>
          <w:szCs w:val="20"/>
          <w:color w:val="auto"/>
        </w:rPr>
      </w:pPr>
      <w:r>
        <w:rPr>
          <w:rFonts w:ascii="Arial" w:cs="Arial" w:eastAsia="Arial" w:hAnsi="Arial"/>
          <w:sz w:val="17"/>
          <w:szCs w:val="17"/>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product development costs, delay commercialization of any future products, and interrupt sales of our current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37"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If we are required to conduct clinical trials, we and any third-party contractors we engage would be required to comply with good clinical practices (“GCPs”), which are regulations and guidelines enforced by the FDA, for products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w:t>
      </w:r>
    </w:p>
    <w:p>
      <w:pPr>
        <w:spacing w:after="0" w:line="139"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52"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color w:val="auto"/>
        </w:rPr>
        <w:t>Moreover, there can be no assurance that any cleared or approved labeling claims will be consistent with our current claims or adequate to support continued adoption of our products. If premarket review is required for some or all of our products, the FDA may require that we stop selling our products pending clearance or approval, which would negatively impact our business. Even if our products are allowed to remain on the market prior to clearance or approval, demand for our products may decline if there is uncertainty about our products, if we are required to label our products as investigational by the FDA, or if the FDA limits the labeling claims we are permitted to make for our products. As a result, we could experience significantly increased development costs and a delay in generating additional revenues from our services, or from other services or products now in development.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jc w:val="both"/>
        <w:ind w:firstLine="761"/>
        <w:spacing w:after="0" w:line="259" w:lineRule="auto"/>
        <w:rPr>
          <w:sz w:val="20"/>
          <w:szCs w:val="20"/>
          <w:color w:val="auto"/>
        </w:rPr>
      </w:pPr>
      <w:r>
        <w:rPr>
          <w:rFonts w:ascii="Arial" w:cs="Arial" w:eastAsia="Arial" w:hAnsi="Arial"/>
          <w:sz w:val="18"/>
          <w:szCs w:val="18"/>
          <w:color w:val="auto"/>
        </w:rPr>
        <w:t>In addition, any clearance or approval we obtain for our products may contain requirements for costly post-market testing and surveillance to monitor the safety or efficacy of the product. The FDA has broad post-market enforcement powers, and if unanticipated problems with our products arise, or if we or our suppliers fail to comply with regulatory requirements following FDA clearance or approval, we may become subject to enforcement actions such as:</w:t>
      </w:r>
    </w:p>
    <w:p>
      <w:pPr>
        <w:spacing w:after="0" w:line="160" w:lineRule="exact"/>
        <w:rPr>
          <w:sz w:val="20"/>
          <w:szCs w:val="20"/>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manufacturing processes;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product marketing;</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withdrawal or recall of products from the market;</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refusal to approve pending PMAs, 510(k)s, or supplements to approved PMAs or cleared 510(k)s that we submit;</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suspension or withdrawal of regulatory clearances or approvals;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 on, or refusal to permit, import or export of our products;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 seizures;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injunctions; or</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imposition of civil or criminal penalties.</w:t>
      </w:r>
    </w:p>
    <w:p>
      <w:pPr>
        <w:spacing w:after="0" w:line="185"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product’s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148"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41"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Menlo Park, California. To renew this certificate, we are subject to survey and inspection every two years. Moreover, CLIA inspectors may make random inspections of our clinical reference laboratory.</w:t>
      </w:r>
    </w:p>
    <w:p>
      <w:pPr>
        <w:spacing w:after="0" w:line="161" w:lineRule="exact"/>
        <w:rPr>
          <w:sz w:val="20"/>
          <w:szCs w:val="20"/>
          <w:color w:val="auto"/>
        </w:rPr>
      </w:pPr>
    </w:p>
    <w:p>
      <w:pPr>
        <w:jc w:val="both"/>
        <w:ind w:firstLine="761"/>
        <w:spacing w:after="0" w:line="268" w:lineRule="auto"/>
        <w:rPr>
          <w:sz w:val="20"/>
          <w:szCs w:val="20"/>
          <w:color w:val="auto"/>
        </w:rPr>
      </w:pPr>
      <w:r>
        <w:rPr>
          <w:rFonts w:ascii="Arial" w:cs="Arial" w:eastAsia="Arial" w:hAnsi="Arial"/>
          <w:sz w:val="17"/>
          <w:szCs w:val="17"/>
          <w:color w:val="auto"/>
        </w:rPr>
        <w:t>We are also required to maintain a license to conduct testing in California. California laws establish standards for day-to-day operation of our clinical reference laboratory in Menlo Park,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product-specific basis by New York as an out-of-state laboratory, and our products, as LDTs, must be approved by the New York State Department of Health (the “NYDOH”) on a product-by-product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may also require us to maintain out-of-state licenses.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United States. Complying with licensure requirements in new jurisdictions may be expensive and/or time-consuming, may subject us to significant and unanticipated delays, or may be in conflict with other applicable requirements.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9" w:name="page50"/>
    <w:bookmarkEnd w:id="49"/>
    <w:p>
      <w:pPr>
        <w:jc w:val="both"/>
        <w:ind w:firstLine="761"/>
        <w:spacing w:after="0" w:line="255" w:lineRule="auto"/>
        <w:rPr>
          <w:sz w:val="20"/>
          <w:szCs w:val="20"/>
          <w:color w:val="auto"/>
        </w:rPr>
      </w:pPr>
      <w:r>
        <w:rPr>
          <w:rFonts w:ascii="Arial" w:cs="Arial" w:eastAsia="Arial" w:hAnsi="Arial"/>
          <w:sz w:val="18"/>
          <w:szCs w:val="18"/>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revenues in doing so.</w:t>
      </w:r>
    </w:p>
    <w:p>
      <w:pPr>
        <w:spacing w:after="0" w:line="166" w:lineRule="exact"/>
        <w:rPr>
          <w:sz w:val="20"/>
          <w:szCs w:val="20"/>
          <w:color w:val="auto"/>
        </w:rPr>
      </w:pPr>
    </w:p>
    <w:p>
      <w:pPr>
        <w:jc w:val="both"/>
        <w:ind w:firstLine="761"/>
        <w:spacing w:after="0" w:line="268" w:lineRule="auto"/>
        <w:rPr>
          <w:sz w:val="20"/>
          <w:szCs w:val="20"/>
          <w:color w:val="auto"/>
        </w:rPr>
      </w:pPr>
      <w:r>
        <w:rPr>
          <w:rFonts w:ascii="Arial" w:cs="Arial" w:eastAsia="Arial" w:hAnsi="Arial"/>
          <w:sz w:val="17"/>
          <w:szCs w:val="17"/>
          <w:color w:val="auto"/>
        </w:rPr>
        <w:t>Although we market our tests as LDTs that are currently subject to the FDA’s exercise of enforcement discretion, if we fail to operate within the conditions of that exercise of enforcement discretion, or if any of our products otherwise fail to comply with FDA regulatory requirements as enforced,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revenues, and harm our business, financial condition, and results of operations. In particular, if we or the FDA discover that any of our products have defects that call into question the accuracy of their results, we may be required to undertake a retest of all results and analyses provided during the period relevant to the defect, or recall the affected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may not agree, and a determination that we have violated these laws or a public announcement that we are being investigated for possible violations of these laws could adversely affect our business, financial condition, results of operations, and prospects.</w:t>
      </w:r>
    </w:p>
    <w:p>
      <w:pPr>
        <w:spacing w:after="0" w:line="147"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 consuming process, and any failure to comply could result in substantial penalties.</w:t>
      </w:r>
    </w:p>
    <w:p>
      <w:pPr>
        <w:spacing w:after="0" w:line="130" w:lineRule="exact"/>
        <w:rPr>
          <w:sz w:val="20"/>
          <w:szCs w:val="20"/>
          <w:color w:val="auto"/>
        </w:rPr>
      </w:pPr>
    </w:p>
    <w:p>
      <w:pPr>
        <w:ind w:right="20" w:firstLine="761"/>
        <w:spacing w:after="0" w:line="277" w:lineRule="auto"/>
        <w:rPr>
          <w:sz w:val="20"/>
          <w:szCs w:val="20"/>
          <w:color w:val="auto"/>
        </w:rPr>
      </w:pPr>
      <w:r>
        <w:rPr>
          <w:rFonts w:ascii="Arial" w:cs="Arial" w:eastAsia="Arial" w:hAnsi="Arial"/>
          <w:sz w:val="18"/>
          <w:szCs w:val="18"/>
          <w:color w:val="auto"/>
        </w:rPr>
        <w:t>Our operations may be subject to other extensive federal, state, local, and foreign laws and regulations, all of which are subject to change. These laws and regulations currently include, among others:</w:t>
      </w:r>
    </w:p>
    <w:p>
      <w:pPr>
        <w:spacing w:after="0" w:line="143" w:lineRule="exact"/>
        <w:rPr>
          <w:sz w:val="20"/>
          <w:szCs w:val="20"/>
          <w:color w:val="auto"/>
        </w:rPr>
      </w:pPr>
    </w:p>
    <w:p>
      <w:pPr>
        <w:jc w:val="both"/>
        <w:ind w:left="1140" w:hanging="376"/>
        <w:spacing w:after="0" w:line="273" w:lineRule="auto"/>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137" w:lineRule="exact"/>
        <w:rPr>
          <w:rFonts w:ascii="Arial" w:cs="Arial" w:eastAsia="Arial" w:hAnsi="Arial"/>
          <w:sz w:val="17"/>
          <w:szCs w:val="17"/>
          <w:color w:val="auto"/>
        </w:rPr>
      </w:pPr>
    </w:p>
    <w:p>
      <w:pPr>
        <w:jc w:val="both"/>
        <w:ind w:left="1140" w:hanging="376"/>
        <w:spacing w:after="0" w:line="276" w:lineRule="auto"/>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federal Stark physician self-referral law,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132" w:lineRule="exact"/>
        <w:rPr>
          <w:rFonts w:ascii="Arial" w:cs="Arial" w:eastAsia="Arial" w:hAnsi="Arial"/>
          <w:sz w:val="17"/>
          <w:szCs w:val="17"/>
          <w:color w:val="auto"/>
        </w:rPr>
      </w:pPr>
    </w:p>
    <w:p>
      <w:pPr>
        <w:jc w:val="both"/>
        <w:ind w:left="1140" w:hanging="376"/>
        <w:spacing w:after="0" w:line="276" w:lineRule="auto"/>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“Anti-Markup Rule” and similar state and similar state laws, among other things, prohibits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spacing w:after="0" w:line="132" w:lineRule="exact"/>
        <w:rPr>
          <w:rFonts w:ascii="Arial" w:cs="Arial" w:eastAsia="Arial" w:hAnsi="Arial"/>
          <w:sz w:val="17"/>
          <w:szCs w:val="17"/>
          <w:color w:val="auto"/>
        </w:rPr>
      </w:pPr>
    </w:p>
    <w:p>
      <w:pPr>
        <w:jc w:val="both"/>
        <w:ind w:left="1140" w:hanging="376"/>
        <w:spacing w:after="0" w:line="297" w:lineRule="auto"/>
        <w:tabs>
          <w:tab w:leader="none" w:pos="11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0" w:name="page51"/>
    <w:bookmarkEnd w:id="50"/>
    <w:p>
      <w:pPr>
        <w:jc w:val="both"/>
        <w:ind w:left="1140" w:hanging="376"/>
        <w:spacing w:after="0" w:line="286" w:lineRule="auto"/>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25" w:lineRule="exact"/>
        <w:rPr>
          <w:rFonts w:ascii="Arial" w:cs="Arial" w:eastAsia="Arial" w:hAnsi="Arial"/>
          <w:sz w:val="17"/>
          <w:szCs w:val="17"/>
          <w:color w:val="auto"/>
        </w:rPr>
      </w:pPr>
    </w:p>
    <w:p>
      <w:pPr>
        <w:jc w:val="both"/>
        <w:ind w:left="1140" w:hanging="376"/>
        <w:spacing w:after="0" w:line="302" w:lineRule="auto"/>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(“CHIP”) to report annually to CMS information related to (i) payments and other transfers of value to physicians and teaching hospitals, and (ii) ownership and investment interests held by physicians and their immediate family members;</w:t>
      </w:r>
    </w:p>
    <w:p>
      <w:pPr>
        <w:spacing w:after="0" w:line="113" w:lineRule="exact"/>
        <w:rPr>
          <w:rFonts w:ascii="Arial" w:cs="Arial" w:eastAsia="Arial" w:hAnsi="Arial"/>
          <w:sz w:val="16"/>
          <w:szCs w:val="16"/>
          <w:color w:val="auto"/>
        </w:rPr>
      </w:pPr>
    </w:p>
    <w:p>
      <w:pPr>
        <w:jc w:val="both"/>
        <w:ind w:left="1140" w:hanging="376"/>
        <w:spacing w:after="0" w:line="25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147" w:lineRule="exact"/>
        <w:rPr>
          <w:rFonts w:ascii="Arial" w:cs="Arial" w:eastAsia="Arial" w:hAnsi="Arial"/>
          <w:sz w:val="18"/>
          <w:szCs w:val="18"/>
          <w:color w:val="auto"/>
        </w:rPr>
      </w:pPr>
    </w:p>
    <w:p>
      <w:pPr>
        <w:jc w:val="both"/>
        <w:ind w:left="1140" w:hanging="376"/>
        <w:spacing w:after="0" w:line="264"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Eliminating Kickbacks in Recovery Act of 2018 (“EKRA”), which prohibits payments for referrals to recovery homes, clinical treatment facilities, and laboratories. EKRA’s reach extends beyond federal health care programs to include private insurance (i.e., it is an “all payer” statute);</w:t>
      </w:r>
    </w:p>
    <w:p>
      <w:pPr>
        <w:spacing w:after="0" w:line="140" w:lineRule="exact"/>
        <w:rPr>
          <w:rFonts w:ascii="Arial" w:cs="Arial" w:eastAsia="Arial" w:hAnsi="Arial"/>
          <w:sz w:val="18"/>
          <w:szCs w:val="18"/>
          <w:color w:val="auto"/>
        </w:rPr>
      </w:pPr>
    </w:p>
    <w:p>
      <w:pPr>
        <w:jc w:val="both"/>
        <w:ind w:left="1140" w:hanging="376"/>
        <w:spacing w:after="0" w:line="264"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payer, including private insurers;</w:t>
      </w:r>
    </w:p>
    <w:p>
      <w:pPr>
        <w:spacing w:after="0" w:line="140"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29" w:lineRule="exact"/>
        <w:rPr>
          <w:rFonts w:ascii="Arial" w:cs="Arial" w:eastAsia="Arial" w:hAnsi="Arial"/>
          <w:sz w:val="18"/>
          <w:szCs w:val="18"/>
          <w:color w:val="auto"/>
        </w:rPr>
      </w:pPr>
    </w:p>
    <w:p>
      <w:pPr>
        <w:jc w:val="both"/>
        <w:ind w:left="1140" w:hanging="376"/>
        <w:spacing w:after="0" w:line="279" w:lineRule="auto"/>
        <w:tabs>
          <w:tab w:leader="none" w:pos="11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state laws that prohibit other specified practices, such as billing physicians for testing that they order;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130" w:lineRule="exact"/>
        <w:rPr>
          <w:rFonts w:ascii="Arial" w:cs="Arial" w:eastAsia="Arial" w:hAnsi="Arial"/>
          <w:sz w:val="17"/>
          <w:szCs w:val="17"/>
          <w:color w:val="auto"/>
        </w:rPr>
      </w:pPr>
    </w:p>
    <w:p>
      <w:pPr>
        <w:ind w:left="1140" w:hanging="37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similar foreign laws and regulations that apply to us in the countries in which we operate or may operate in the future.</w:t>
      </w:r>
    </w:p>
    <w:p>
      <w:pPr>
        <w:spacing w:after="0" w:line="18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As a clinical laboratory, our business practices may face additional scrutiny from government regulatory agencies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spacing w:after="0" w:line="162"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color w:val="auto"/>
        </w:rPr>
        <w:t>The growth of our business and our expansion outside of the United States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1" w:name="page52"/>
    <w:bookmarkEnd w:id="51"/>
    <w:p>
      <w:pPr>
        <w:ind w:left="760"/>
        <w:spacing w:after="0"/>
        <w:rPr>
          <w:sz w:val="20"/>
          <w:szCs w:val="20"/>
          <w:color w:val="auto"/>
        </w:rPr>
      </w:pPr>
      <w:r>
        <w:rPr>
          <w:rFonts w:ascii="Arial" w:cs="Arial" w:eastAsia="Arial" w:hAnsi="Arial"/>
          <w:sz w:val="18"/>
          <w:szCs w:val="18"/>
          <w:b w:val="1"/>
          <w:bCs w:val="1"/>
          <w:i w:val="1"/>
          <w:iCs w:val="1"/>
          <w:color w:val="auto"/>
        </w:rPr>
        <w:t>If we decide to grow our business by developing in vitro diagnostic tests, we may be subject to reimbursement challenges.</w:t>
      </w:r>
    </w:p>
    <w:p>
      <w:pPr>
        <w:spacing w:after="0" w:line="198"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6"/>
          <w:szCs w:val="16"/>
          <w:color w:val="auto"/>
        </w:rPr>
        <w:t>The coverage and reimbursement status of newly approved or cleared laboratory tests is uncertain. If we develop in vitro diagnostic tests and decide to seek reimbursement, and if such tests are inadequately covered by insurance and ineligible for such reimbursement, this could limit our ability to market any such future tests. The commercial success of future products in both domestic and international markets may depend in part on the availability of coverage and adequate reimbursement from third-party payors, including government payors, such as the Medicare and Medicaid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future in vitro diagnostic tests that we develop. These payors may conclude that our products are less safe, less effective, or less cost-effective than existing or later-introduced products. These payors may also conclude that the overall cost of using one of our tests exceeds the overall cost of using a competing test, and third-party payors may not approve any future in vitro diagnostic tests we develop for insurance coverage and adequate reimbursement.</w:t>
      </w:r>
    </w:p>
    <w:p>
      <w:pPr>
        <w:spacing w:after="0" w:line="126"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could be adversely affected by violations of the Foreign Corrupt Practices Act of 1977, as amended (the “FCPA”), and other worldwide anti-bribery laws.</w:t>
      </w:r>
    </w:p>
    <w:p>
      <w:pPr>
        <w:spacing w:after="0" w:line="130" w:lineRule="exact"/>
        <w:rPr>
          <w:sz w:val="20"/>
          <w:szCs w:val="20"/>
          <w:color w:val="auto"/>
        </w:rPr>
      </w:pPr>
    </w:p>
    <w:p>
      <w:pPr>
        <w:jc w:val="both"/>
        <w:ind w:firstLine="761"/>
        <w:spacing w:after="0" w:line="270" w:lineRule="auto"/>
        <w:rPr>
          <w:sz w:val="20"/>
          <w:szCs w:val="20"/>
          <w:color w:val="auto"/>
        </w:rPr>
      </w:pPr>
      <w:r>
        <w:rPr>
          <w:rFonts w:ascii="Arial" w:cs="Arial" w:eastAsia="Arial" w:hAnsi="Arial"/>
          <w:sz w:val="17"/>
          <w:szCs w:val="17"/>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United Kingdom’s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51" w:lineRule="exact"/>
        <w:rPr>
          <w:sz w:val="20"/>
          <w:szCs w:val="20"/>
          <w:color w:val="auto"/>
        </w:rPr>
      </w:pPr>
    </w:p>
    <w:p>
      <w:pPr>
        <w:ind w:left="760" w:right="20"/>
        <w:spacing w:after="0" w:line="308" w:lineRule="auto"/>
        <w:rPr>
          <w:sz w:val="20"/>
          <w:szCs w:val="20"/>
          <w:color w:val="auto"/>
        </w:rPr>
      </w:pPr>
      <w:r>
        <w:rPr>
          <w:rFonts w:ascii="Arial" w:cs="Arial" w:eastAsia="Arial" w:hAnsi="Arial"/>
          <w:sz w:val="17"/>
          <w:szCs w:val="17"/>
          <w:b w:val="1"/>
          <w:bCs w:val="1"/>
          <w:i w:val="1"/>
          <w:iCs w:val="1"/>
          <w:color w:val="auto"/>
        </w:rPr>
        <w:t>Expansion into international markets would subject us to increased regulatory oversight and regulatory, economic, social and political uncertainties, which could cause a material adverse effect on our business, financial position, and results of operations.</w:t>
      </w:r>
    </w:p>
    <w:p>
      <w:pPr>
        <w:spacing w:after="0" w:line="106" w:lineRule="exact"/>
        <w:rPr>
          <w:sz w:val="20"/>
          <w:szCs w:val="20"/>
          <w:color w:val="auto"/>
        </w:rPr>
      </w:pPr>
    </w:p>
    <w:p>
      <w:pPr>
        <w:jc w:val="both"/>
        <w:ind w:firstLine="761"/>
        <w:spacing w:after="0" w:line="286" w:lineRule="auto"/>
        <w:rPr>
          <w:sz w:val="20"/>
          <w:szCs w:val="20"/>
          <w:color w:val="auto"/>
        </w:rPr>
      </w:pPr>
      <w:r>
        <w:rPr>
          <w:rFonts w:ascii="Arial" w:cs="Arial" w:eastAsia="Arial" w:hAnsi="Arial"/>
          <w:sz w:val="16"/>
          <w:szCs w:val="16"/>
          <w:color w:val="auto"/>
        </w:rPr>
        <w:t>We may in the future expand our business and operations into international jurisdictions in which we have limited operating experience, including with respect to seeking regulatory approvals and marketing and selling products and services. If we expand internationally, our operations in these jurisdictions may be adversely affected by general economic conditions and economic and fiscal policy, including changes in exchange rates and controls, interest rates and taxation policies, increased government regulation, social stability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FCPA,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revenues, and impact sales of and reimbursement for our tests.</w:t>
      </w:r>
    </w:p>
    <w:p>
      <w:pPr>
        <w:spacing w:after="0" w:line="221"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In March 2010, the Patient Protection and Affordable Care Act, as amended by the Health Care and Education Reconciliation Act (the “ACA”), became law. This law substantially changed the way health care is financed by both commercial payers and government payers,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2" w:name="page53"/>
    <w:bookmarkEnd w:id="52"/>
    <w:p>
      <w:pPr>
        <w:ind w:left="760"/>
        <w:spacing w:after="0"/>
        <w:rPr>
          <w:sz w:val="20"/>
          <w:szCs w:val="20"/>
          <w:color w:val="auto"/>
        </w:rPr>
      </w:pPr>
      <w:r>
        <w:rPr>
          <w:rFonts w:ascii="Arial" w:cs="Arial" w:eastAsia="Arial" w:hAnsi="Arial"/>
          <w:sz w:val="18"/>
          <w:szCs w:val="18"/>
          <w:color w:val="auto"/>
        </w:rPr>
        <w:t>Among other things, the ACA:</w:t>
      </w:r>
    </w:p>
    <w:p>
      <w:pPr>
        <w:spacing w:after="0" w:line="198" w:lineRule="exact"/>
        <w:rPr>
          <w:sz w:val="20"/>
          <w:szCs w:val="20"/>
          <w:color w:val="auto"/>
        </w:rPr>
      </w:pPr>
    </w:p>
    <w:p>
      <w:pPr>
        <w:jc w:val="both"/>
        <w:ind w:left="1140" w:hanging="376"/>
        <w:spacing w:after="0" w:line="259"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imposed an annual excise tax of 2.3% on any entity that manufactures or imports medical devices offered for sale in the United States, with limited exceptions, although the effective rate paid may be lower. Under the Consolidated Appropriations Act of 2016, the excise tax was suspended through December 31, 2017, and under the continuing resolution on appropriations for fiscal year 2018, signed by President Trump on January 22, 2018, was further suspended through December 31, 2019;</w:t>
      </w:r>
    </w:p>
    <w:p>
      <w:pPr>
        <w:spacing w:after="0" w:line="146" w:lineRule="exact"/>
        <w:rPr>
          <w:rFonts w:ascii="Arial" w:cs="Arial" w:eastAsia="Arial" w:hAnsi="Arial"/>
          <w:sz w:val="18"/>
          <w:szCs w:val="18"/>
          <w:color w:val="auto"/>
        </w:rPr>
      </w:pPr>
    </w:p>
    <w:p>
      <w:pPr>
        <w:jc w:val="both"/>
        <w:ind w:left="1140" w:right="20" w:hanging="376"/>
        <w:spacing w:after="0" w:line="264"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40"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established a new Patient-Centered Outcomes Research Institute to oversee and identify priorities in comparative clinical efficacy research in an effort to coordinate and develop such research; and</w:t>
      </w:r>
    </w:p>
    <w:p>
      <w:pPr>
        <w:spacing w:after="0" w:line="129"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established a Center for Medicare &amp; Medicaid Innovation at CMS to test innovative payment and service delivery models to lower Medicare and Medicaid spending.</w:t>
      </w:r>
    </w:p>
    <w:p>
      <w:pPr>
        <w:spacing w:after="0" w:line="130" w:lineRule="exact"/>
        <w:rPr>
          <w:sz w:val="20"/>
          <w:szCs w:val="20"/>
          <w:color w:val="auto"/>
        </w:rPr>
      </w:pPr>
    </w:p>
    <w:p>
      <w:pPr>
        <w:jc w:val="both"/>
        <w:ind w:firstLine="761"/>
        <w:spacing w:after="0" w:line="287" w:lineRule="auto"/>
        <w:rPr>
          <w:sz w:val="20"/>
          <w:szCs w:val="20"/>
          <w:color w:val="auto"/>
        </w:rPr>
      </w:pPr>
      <w:r>
        <w:rPr>
          <w:rFonts w:ascii="Arial" w:cs="Arial" w:eastAsia="Arial" w:hAnsi="Arial"/>
          <w:sz w:val="16"/>
          <w:szCs w:val="16"/>
          <w:color w:val="auto"/>
        </w:rPr>
        <w:t>Some of the provisions of the ACA have yet to be implemented, and there have been judicial and Congressional challenges to certain aspects of the ACA, as well as recent efforts by the Trump administration to repeal or replace certain aspects of the ACA. Since January 2017, President Trump has signed two Executive Orders and other directives to delay the implementation of certain requirements of the ACA. Concurrently, Congress has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delaying the implementation of certain ACA-mandated fees including, without limitation, the medical device excise tax. On December 14, 2018, a Texas U.S. District Court Judge ruled that the ACA is unconstitutional in its entirety because the “individual mandate” was repealed by Congress as part of the Tax Cuts and Jobs Act. While the Texas U.S. District Court Judge, as well as the Trump administration and CMS, have stated that the ruling will have no immediate effect pending appeal of the decision, it is unclear how this decision, subsequent appeals, and other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spacing w:after="0" w:line="132"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2027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a new system of incentive payments scheduled to begin in 2019 that are based on various performance measures and physicians’ participation in alternative payment models such as accountable care organizations.</w:t>
      </w:r>
    </w:p>
    <w:p>
      <w:pPr>
        <w:spacing w:after="0" w:line="126" w:lineRule="exact"/>
        <w:rPr>
          <w:sz w:val="20"/>
          <w:szCs w:val="20"/>
          <w:color w:val="auto"/>
        </w:rPr>
      </w:pPr>
    </w:p>
    <w:p>
      <w:pPr>
        <w:jc w:val="both"/>
        <w:ind w:firstLine="761"/>
        <w:spacing w:after="0" w:line="254" w:lineRule="auto"/>
        <w:rPr>
          <w:sz w:val="20"/>
          <w:szCs w:val="20"/>
          <w:color w:val="auto"/>
        </w:rPr>
      </w:pPr>
      <w:r>
        <w:rPr>
          <w:rFonts w:ascii="Arial" w:cs="Arial" w:eastAsia="Arial" w:hAnsi="Arial"/>
          <w:sz w:val="18"/>
          <w:szCs w:val="18"/>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 from payments made under the Medicare Clinical Laboratory Fee Schedule, or the Physician Fee Schedule are required to report to CMS, beginning in 2017 and every three years thereafter (or annually for “advanced diagnostic laboratory tests”), private payer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It is unclear what impact new quality and payment programs, such as MACRA, or new pricing structures, such as those adopted under PAMA, may have on our business, financial condition, results of operations, or cash flows.</w:t>
      </w:r>
    </w:p>
    <w:p>
      <w:pPr>
        <w:spacing w:after="0" w:line="165" w:lineRule="exact"/>
        <w:rPr>
          <w:sz w:val="20"/>
          <w:szCs w:val="20"/>
          <w:color w:val="auto"/>
        </w:rPr>
      </w:pPr>
    </w:p>
    <w:p>
      <w:pPr>
        <w:jc w:val="both"/>
        <w:ind w:firstLine="761"/>
        <w:spacing w:after="0" w:line="312" w:lineRule="auto"/>
        <w:rPr>
          <w:sz w:val="20"/>
          <w:szCs w:val="20"/>
          <w:color w:val="auto"/>
        </w:rPr>
      </w:pPr>
      <w:r>
        <w:rPr>
          <w:rFonts w:ascii="Arial" w:cs="Arial" w:eastAsia="Arial" w:hAnsi="Arial"/>
          <w:sz w:val="16"/>
          <w:szCs w:val="16"/>
          <w:color w:val="auto"/>
        </w:rPr>
        <w:t>We anticipate there will continue to be proposals by legislators at both the federal and 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3" w:name="page54"/>
    <w:bookmarkEnd w:id="53"/>
    <w:p>
      <w:pPr>
        <w:ind w:left="760"/>
        <w:spacing w:after="0"/>
        <w:rPr>
          <w:sz w:val="20"/>
          <w:szCs w:val="20"/>
          <w:color w:val="auto"/>
        </w:rPr>
      </w:pPr>
      <w:r>
        <w:rPr>
          <w:rFonts w:ascii="Arial" w:cs="Arial" w:eastAsia="Arial" w:hAnsi="Arial"/>
          <w:sz w:val="18"/>
          <w:szCs w:val="18"/>
          <w:b w:val="1"/>
          <w:bCs w:val="1"/>
          <w:i w:val="1"/>
          <w:iCs w:val="1"/>
          <w:color w:val="auto"/>
        </w:rPr>
        <w:t>If we use hazardous materials in a manner that causes injury, we could be liable for resulting damages.</w:t>
      </w:r>
    </w:p>
    <w:p>
      <w:pPr>
        <w:spacing w:after="0" w:line="198" w:lineRule="exact"/>
        <w:rPr>
          <w:sz w:val="20"/>
          <w:szCs w:val="20"/>
          <w:color w:val="auto"/>
        </w:rPr>
      </w:pPr>
    </w:p>
    <w:p>
      <w:pPr>
        <w:jc w:val="both"/>
        <w:ind w:firstLine="761"/>
        <w:spacing w:after="0" w:line="293" w:lineRule="auto"/>
        <w:rPr>
          <w:sz w:val="20"/>
          <w:szCs w:val="20"/>
          <w:color w:val="auto"/>
        </w:rPr>
      </w:pPr>
      <w:r>
        <w:rPr>
          <w:rFonts w:ascii="Arial" w:cs="Arial" w:eastAsia="Arial" w:hAnsi="Arial"/>
          <w:sz w:val="16"/>
          <w:szCs w:val="16"/>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9"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54" w:lineRule="exact"/>
        <w:rPr>
          <w:sz w:val="20"/>
          <w:szCs w:val="20"/>
          <w:color w:val="auto"/>
        </w:rPr>
      </w:pPr>
    </w:p>
    <w:p>
      <w:pPr>
        <w:jc w:val="both"/>
        <w:ind w:firstLine="761"/>
        <w:spacing w:after="0" w:line="284" w:lineRule="auto"/>
        <w:rPr>
          <w:sz w:val="20"/>
          <w:szCs w:val="20"/>
          <w:color w:val="auto"/>
        </w:rPr>
      </w:pPr>
      <w:r>
        <w:rPr>
          <w:rFonts w:ascii="Arial" w:cs="Arial" w:eastAsia="Arial" w:hAnsi="Arial"/>
          <w:sz w:val="16"/>
          <w:szCs w:val="16"/>
          <w:color w:val="auto"/>
        </w:rPr>
        <w:t>Our commercial success will depend in part on our avoiding infringement of patents and infringement, misappropriation or other violations of other proprietary rights of third parties, including for example the intellectual property of competitors. There is extensive intellectual property litigation involving the biotechnology and pharmaceutical industries and genetic sequencing technology.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including ACE ImmunoID and ImmunoID NeXT technology. In order to avoid infringing these third-party patents, we may find it necessary to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United States or abroad that we consider relevant may be incorrect, which may negatively impact our ability to develop and market our products or services.</w:t>
      </w:r>
    </w:p>
    <w:p>
      <w:pPr>
        <w:spacing w:after="0" w:line="356"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4" w:name="page55"/>
    <w:bookmarkEnd w:id="54"/>
    <w:p>
      <w:pPr>
        <w:jc w:val="both"/>
        <w:ind w:firstLine="761"/>
        <w:spacing w:after="0" w:line="268" w:lineRule="auto"/>
        <w:rPr>
          <w:sz w:val="20"/>
          <w:szCs w:val="20"/>
          <w:color w:val="auto"/>
        </w:rPr>
      </w:pPr>
      <w:r>
        <w:rPr>
          <w:rFonts w:ascii="Arial" w:cs="Arial" w:eastAsia="Arial" w:hAnsi="Arial"/>
          <w:sz w:val="17"/>
          <w:szCs w:val="17"/>
          <w:color w:val="auto"/>
        </w:rPr>
        <w:t>As we continue to commercialize our tests in their current or an updated form, launch different and expanded tests and enter new markets, other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56"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products in the future.</w:t>
      </w:r>
    </w:p>
    <w:p>
      <w:pPr>
        <w:spacing w:after="0" w:line="208"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 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spacing w:after="0" w:line="152"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114" w:lineRule="exact"/>
        <w:rPr>
          <w:sz w:val="20"/>
          <w:szCs w:val="20"/>
          <w:color w:val="auto"/>
        </w:rPr>
      </w:pPr>
    </w:p>
    <w:p>
      <w:pPr>
        <w:ind w:left="760"/>
        <w:spacing w:after="0" w:line="342"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products.</w:t>
      </w:r>
    </w:p>
    <w:p>
      <w:pPr>
        <w:spacing w:after="0" w:line="83"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Our patent rights, their associated costs, and the enforcement or defense of such patent rights may be affected by developments or uncertainty in the patent statute, patent case law or USPTO rules and regulations.</w:t>
      </w:r>
    </w:p>
    <w:p>
      <w:pPr>
        <w:spacing w:after="0" w:line="143" w:lineRule="exact"/>
        <w:rPr>
          <w:sz w:val="20"/>
          <w:szCs w:val="20"/>
          <w:color w:val="auto"/>
        </w:rPr>
      </w:pPr>
    </w:p>
    <w:p>
      <w:pPr>
        <w:jc w:val="both"/>
        <w:ind w:firstLine="761"/>
        <w:spacing w:after="0" w:line="291" w:lineRule="auto"/>
        <w:rPr>
          <w:sz w:val="20"/>
          <w:szCs w:val="20"/>
          <w:color w:val="auto"/>
        </w:rPr>
      </w:pPr>
      <w:r>
        <w:rPr>
          <w:rFonts w:ascii="Arial" w:cs="Arial" w:eastAsia="Arial" w:hAnsi="Arial"/>
          <w:sz w:val="16"/>
          <w:szCs w:val="16"/>
          <w:color w:val="auto"/>
        </w:rPr>
        <w:t>There are a number of recent changes to the patent laws that may have a significant impact on our ability to protect our technology and enforce our intellectual property rights. For example, the Leahy-Smith America Invents Act (the “AIA”) enacted within the last several years involves significant changes in patent legislation. These include provisions that affect the way patent applications will be prosecuted and may also affect patent litigation. As an example, assuming that other requirements for patentability are met, prior to March 2013, in the United States, the first to invent the claimed invention was entitled to the patent, while outside the United States, the first to file a patent application was entitled to the patent. On or after March 16, 2013, under the AIA, the United States transitioned to a first inventor to file system in which, assuming that other requirements for patentability are met, means that the party that is first to file in the United States generally is awarded the patent rights, regardless of whether such party invented the claimed invention first.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5" w:name="page56"/>
    <w:bookmarkEnd w:id="55"/>
    <w:p>
      <w:pPr>
        <w:jc w:val="both"/>
        <w:ind w:firstLine="761"/>
        <w:spacing w:after="0" w:line="289" w:lineRule="auto"/>
        <w:rPr>
          <w:sz w:val="20"/>
          <w:szCs w:val="20"/>
          <w:color w:val="auto"/>
        </w:rPr>
      </w:pPr>
      <w:r>
        <w:rPr>
          <w:rFonts w:ascii="Arial" w:cs="Arial" w:eastAsia="Arial" w:hAnsi="Arial"/>
          <w:sz w:val="16"/>
          <w:szCs w:val="16"/>
          <w:color w:val="auto"/>
        </w:rPr>
        <w:t xml:space="preserve">The AIA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40"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Further, 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48"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genetic diagnostics tests would be considered natural laws. Accordingly, the evolving case law in the United States may adversely affect our ability to obtain patents and may facilitate third-party challenges to any owned or licensed patents. The laws of some foreign countries do not protect intellectual property rights to the same extent as the laws of the United States,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for an adequate amount of time.</w:t>
      </w:r>
    </w:p>
    <w:p>
      <w:pPr>
        <w:spacing w:after="0" w:line="198" w:lineRule="exact"/>
        <w:rPr>
          <w:sz w:val="20"/>
          <w:szCs w:val="20"/>
          <w:color w:val="auto"/>
        </w:rPr>
      </w:pPr>
    </w:p>
    <w:p>
      <w:pPr>
        <w:jc w:val="both"/>
        <w:ind w:firstLine="761"/>
        <w:spacing w:after="0" w:line="290" w:lineRule="auto"/>
        <w:rPr>
          <w:sz w:val="20"/>
          <w:szCs w:val="20"/>
          <w:color w:val="auto"/>
        </w:rPr>
      </w:pPr>
      <w:r>
        <w:rPr>
          <w:rFonts w:ascii="Arial" w:cs="Arial" w:eastAsia="Arial" w:hAnsi="Arial"/>
          <w:sz w:val="16"/>
          <w:szCs w:val="16"/>
          <w:color w:val="auto"/>
        </w:rPr>
        <w:t>Patents have a limited lifespan. In the United States,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Our issued patents will expire on dates ranging from 2033 to 2035, subject to any patent extensions that may be available for such patents. If patents are issued on our pending patent applications, the resulting patents are projected to expire on dates ranging from 2033 to 2038. In addition, although upon issuance in the United States a patent’s life can be increased based on certain delays caused by the USPTO, this increase can be reduced or eliminated based on certain delays caused by the 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126" w:lineRule="exact"/>
        <w:rPr>
          <w:sz w:val="20"/>
          <w:szCs w:val="20"/>
          <w:color w:val="auto"/>
        </w:rPr>
      </w:pPr>
    </w:p>
    <w:p>
      <w:pPr>
        <w:jc w:val="both"/>
        <w:ind w:left="760"/>
        <w:spacing w:after="0" w:line="340" w:lineRule="auto"/>
        <w:rPr>
          <w:sz w:val="20"/>
          <w:szCs w:val="20"/>
          <w:color w:val="auto"/>
        </w:rPr>
      </w:pPr>
      <w:r>
        <w:rPr>
          <w:rFonts w:ascii="Arial" w:cs="Arial" w:eastAsia="Arial" w:hAnsi="Arial"/>
          <w:sz w:val="15"/>
          <w:szCs w:val="15"/>
          <w:b w:val="1"/>
          <w:bCs w:val="1"/>
          <w:i w:val="1"/>
          <w:iCs w:val="1"/>
          <w:color w:val="auto"/>
        </w:rPr>
        <w:t>If we are not able to obtain and enforce patent protection for any products we develop and for our technologies, or if the scope of patent protection obtained is not sufficiently broad, our competitors and other third parties could develop and commercialize products and technology similar or identical to ours, and our ability to successfully commercialize our products, services, and technologies may be adversely affected.</w:t>
      </w:r>
    </w:p>
    <w:p>
      <w:pPr>
        <w:spacing w:after="0" w:line="91"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We have applied, and we intend to continue applying, for patents covering such aspects of our technologies as we deem appropriate. However, the patent process is expensive, time consuming and complex, and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160"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6" w:name="page57"/>
    <w:bookmarkEnd w:id="56"/>
    <w:p>
      <w:pPr>
        <w:jc w:val="both"/>
        <w:ind w:firstLine="761"/>
        <w:spacing w:after="0" w:line="293" w:lineRule="auto"/>
        <w:rPr>
          <w:sz w:val="20"/>
          <w:szCs w:val="20"/>
          <w:color w:val="auto"/>
        </w:rPr>
      </w:pPr>
      <w:r>
        <w:rPr>
          <w:rFonts w:ascii="Arial" w:cs="Arial" w:eastAsia="Arial" w:hAnsi="Arial"/>
          <w:sz w:val="16"/>
          <w:szCs w:val="16"/>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or products in a non-infringing manner.</w:t>
      </w:r>
    </w:p>
    <w:p>
      <w:pPr>
        <w:spacing w:after="0" w:line="138" w:lineRule="exact"/>
        <w:rPr>
          <w:sz w:val="20"/>
          <w:szCs w:val="20"/>
          <w:color w:val="auto"/>
        </w:rPr>
      </w:pPr>
    </w:p>
    <w:p>
      <w:pPr>
        <w:jc w:val="both"/>
        <w:ind w:firstLine="761"/>
        <w:spacing w:after="0" w:line="291" w:lineRule="auto"/>
        <w:rPr>
          <w:sz w:val="20"/>
          <w:szCs w:val="20"/>
          <w:color w:val="auto"/>
        </w:rPr>
      </w:pPr>
      <w:r>
        <w:rPr>
          <w:rFonts w:ascii="Arial" w:cs="Arial" w:eastAsia="Arial" w:hAnsi="Arial"/>
          <w:sz w:val="16"/>
          <w:szCs w:val="16"/>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27" w:lineRule="exact"/>
        <w:rPr>
          <w:sz w:val="20"/>
          <w:szCs w:val="20"/>
          <w:color w:val="auto"/>
        </w:rPr>
      </w:pPr>
    </w:p>
    <w:p>
      <w:pPr>
        <w:jc w:val="both"/>
        <w:ind w:firstLine="761"/>
        <w:spacing w:after="0" w:line="253" w:lineRule="auto"/>
        <w:rPr>
          <w:sz w:val="20"/>
          <w:szCs w:val="20"/>
          <w:color w:val="auto"/>
        </w:rPr>
      </w:pPr>
      <w:r>
        <w:rPr>
          <w:rFonts w:ascii="Arial" w:cs="Arial" w:eastAsia="Arial" w:hAnsi="Arial"/>
          <w:sz w:val="18"/>
          <w:szCs w:val="18"/>
          <w:color w:val="auto"/>
        </w:rPr>
        <w:t xml:space="preserve">Once granted, patents may remain open to opposition, interference,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or technologies. In addition, there can be no assurance that:</w:t>
      </w:r>
    </w:p>
    <w:p>
      <w:pPr>
        <w:spacing w:after="0" w:line="154" w:lineRule="exact"/>
        <w:rPr>
          <w:sz w:val="20"/>
          <w:szCs w:val="20"/>
          <w:color w:val="auto"/>
        </w:rPr>
      </w:pPr>
    </w:p>
    <w:p>
      <w:pPr>
        <w:ind w:left="1140" w:hanging="376"/>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others will not or may not be able to make, use, offer to sell, or sell tests that are the same as or similar to our products or services but that are not covered by the claims of the patents that we own or license;</w:t>
      </w:r>
    </w:p>
    <w:p>
      <w:pPr>
        <w:spacing w:after="0" w:line="129"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our future licensors or collaborators are the first to make the inventions covered by each of our issued patents and pending patent applications that we own or license;</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our future licensors or collaborators are the first to file patent applications covering certain aspects of our inventions;</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our intellectual property rights;</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96" w:lineRule="exact"/>
        <w:rPr>
          <w:rFonts w:ascii="Arial" w:cs="Arial" w:eastAsia="Arial" w:hAnsi="Arial"/>
          <w:sz w:val="17"/>
          <w:szCs w:val="17"/>
          <w:color w:val="auto"/>
        </w:rPr>
      </w:pPr>
    </w:p>
    <w:p>
      <w:pPr>
        <w:ind w:left="1140" w:hanging="376"/>
        <w:spacing w:after="0"/>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any issued patents that we own or may license will provide us with any competitive advantages, or will not be challenged by third parties;</w:t>
      </w:r>
    </w:p>
    <w:p>
      <w:pPr>
        <w:spacing w:after="0" w:line="196" w:lineRule="exact"/>
        <w:rPr>
          <w:rFonts w:ascii="Arial" w:cs="Arial" w:eastAsia="Arial" w:hAnsi="Arial"/>
          <w:sz w:val="17"/>
          <w:szCs w:val="17"/>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develop or in-license additional proprietary technologies that are patentable;</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pending patent applications that we own or may license will lead to issued patents;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207" w:lineRule="exact"/>
        <w:rPr>
          <w:rFonts w:ascii="Arial" w:cs="Arial" w:eastAsia="Arial" w:hAnsi="Arial"/>
          <w:sz w:val="16"/>
          <w:szCs w:val="16"/>
          <w:color w:val="auto"/>
        </w:rPr>
      </w:pPr>
    </w:p>
    <w:p>
      <w:pPr>
        <w:ind w:left="1140" w:hanging="376"/>
        <w:spacing w:after="0" w:line="308" w:lineRule="auto"/>
        <w:tabs>
          <w:tab w:leader="none" w:pos="11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7" w:name="page58"/>
    <w:bookmarkEnd w:id="57"/>
    <w:p>
      <w:pPr>
        <w:jc w:val="both"/>
        <w:ind w:firstLine="761"/>
        <w:spacing w:after="0" w:line="290"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or technologies that we may develop, which could lead to increased competition to our business and harm our business. Since patent applications in the United States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39"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38" w:lineRule="exact"/>
        <w:rPr>
          <w:sz w:val="20"/>
          <w:szCs w:val="20"/>
          <w:color w:val="auto"/>
        </w:rPr>
      </w:pPr>
    </w:p>
    <w:p>
      <w:pPr>
        <w:jc w:val="both"/>
        <w:ind w:firstLine="761"/>
        <w:spacing w:after="0" w:line="267" w:lineRule="auto"/>
        <w:rPr>
          <w:sz w:val="20"/>
          <w:szCs w:val="20"/>
          <w:color w:val="auto"/>
        </w:rPr>
      </w:pPr>
      <w:r>
        <w:rPr>
          <w:rFonts w:ascii="Arial" w:cs="Arial" w:eastAsia="Arial" w:hAnsi="Arial"/>
          <w:sz w:val="17"/>
          <w:szCs w:val="17"/>
          <w:color w:val="auto"/>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may have to participate in interference proceedings, derivation proceedings,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United States allow for various post-grant opposition proceedings, such as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that have not been extensively tested, and their outcome is therefore uncertain.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15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43" w:lineRule="exact"/>
        <w:rPr>
          <w:sz w:val="20"/>
          <w:szCs w:val="20"/>
          <w:color w:val="auto"/>
        </w:rPr>
      </w:pPr>
    </w:p>
    <w:p>
      <w:pPr>
        <w:jc w:val="both"/>
        <w:ind w:firstLine="761"/>
        <w:spacing w:after="0" w:line="285" w:lineRule="auto"/>
        <w:rPr>
          <w:sz w:val="20"/>
          <w:szCs w:val="20"/>
          <w:color w:val="auto"/>
        </w:rPr>
      </w:pPr>
      <w:r>
        <w:rPr>
          <w:rFonts w:ascii="Arial" w:cs="Arial" w:eastAsia="Arial" w:hAnsi="Arial"/>
          <w:sz w:val="16"/>
          <w:szCs w:val="16"/>
          <w:color w:val="auto"/>
        </w:rPr>
        <w:t xml:space="preserve">Competitors may also infringe our patents or the patents of our licensing partners.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product is invalid or unenforceable, and the court may agree that our asserted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(e.g., opposition proceedings). Such proceedings could result in revocation or amendment to our patents in such a way that they no longer cover our product.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 other proceeding could put one or more of our owned or in-licensed patents at risk of being invalidated or interpreted narrowly.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8" w:name="page59"/>
    <w:bookmarkEnd w:id="58"/>
    <w:p>
      <w:pPr>
        <w:jc w:val="both"/>
        <w:ind w:firstLine="761"/>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p>
    <w:p>
      <w:pPr>
        <w:spacing w:after="0" w:line="208" w:lineRule="exact"/>
        <w:rPr>
          <w:sz w:val="20"/>
          <w:szCs w:val="20"/>
          <w:color w:val="auto"/>
        </w:rPr>
      </w:pPr>
    </w:p>
    <w:p>
      <w:pPr>
        <w:jc w:val="both"/>
        <w:ind w:firstLine="761"/>
        <w:spacing w:after="0" w:line="268" w:lineRule="auto"/>
        <w:rPr>
          <w:sz w:val="20"/>
          <w:szCs w:val="20"/>
          <w:color w:val="auto"/>
        </w:rPr>
      </w:pPr>
      <w:r>
        <w:rPr>
          <w:rFonts w:ascii="Arial" w:cs="Arial" w:eastAsia="Arial" w:hAnsi="Arial"/>
          <w:sz w:val="17"/>
          <w:szCs w:val="17"/>
          <w:color w:val="auto"/>
        </w:rPr>
        <w:t>We seek protection for certain aspects of our technologies, products and services through the filing of patents, registration of copyrights and use of non-disclosure agreements. In addition, we also expect to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47"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60" w:lineRule="exact"/>
        <w:rPr>
          <w:sz w:val="20"/>
          <w:szCs w:val="20"/>
          <w:color w:val="auto"/>
        </w:rPr>
      </w:pPr>
    </w:p>
    <w:p>
      <w:pPr>
        <w:jc w:val="both"/>
        <w:ind w:firstLine="761"/>
        <w:spacing w:after="0" w:line="268" w:lineRule="auto"/>
        <w:rPr>
          <w:sz w:val="20"/>
          <w:szCs w:val="20"/>
          <w:color w:val="auto"/>
        </w:rPr>
      </w:pPr>
      <w:r>
        <w:rPr>
          <w:rFonts w:ascii="Arial" w:cs="Arial" w:eastAsia="Arial" w:hAnsi="Arial"/>
          <w:sz w:val="17"/>
          <w:szCs w:val="17"/>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45"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9" w:name="page60"/>
    <w:bookmarkEnd w:id="59"/>
    <w:p>
      <w:pPr>
        <w:ind w:left="76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98" w:lineRule="exact"/>
        <w:rPr>
          <w:sz w:val="20"/>
          <w:szCs w:val="20"/>
          <w:color w:val="auto"/>
        </w:rPr>
      </w:pPr>
    </w:p>
    <w:p>
      <w:pPr>
        <w:jc w:val="both"/>
        <w:ind w:firstLine="761"/>
        <w:spacing w:after="0" w:line="285" w:lineRule="auto"/>
        <w:rPr>
          <w:sz w:val="20"/>
          <w:szCs w:val="20"/>
          <w:color w:val="auto"/>
        </w:rPr>
      </w:pPr>
      <w:r>
        <w:rPr>
          <w:rFonts w:ascii="Arial" w:cs="Arial" w:eastAsia="Arial" w:hAnsi="Arial"/>
          <w:sz w:val="16"/>
          <w:szCs w:val="16"/>
          <w:color w:val="auto"/>
        </w:rPr>
        <w:t>Filing, prosecuting, maintaining, defending, and enforcing patents on our products, services, and technologies in all countries throughout the world would be prohibitively expensive, and our intellectual property rights in some countries outside the United States can be less extensive than those in the United States.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 In addition, the laws of some foreign countries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European Union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35"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148"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54"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United States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14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130"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We employ individuals who were previously employed or otherwise engaged with universities or genetic testing, diagnostic or other healthcare companies, including our competitors or potential competitors.</w:t>
      </w:r>
    </w:p>
    <w:p>
      <w:pPr>
        <w:spacing w:after="0" w:line="143" w:lineRule="exact"/>
        <w:rPr>
          <w:sz w:val="20"/>
          <w:szCs w:val="20"/>
          <w:color w:val="auto"/>
        </w:rPr>
      </w:pPr>
    </w:p>
    <w:p>
      <w:pPr>
        <w:jc w:val="both"/>
        <w:ind w:firstLine="761"/>
        <w:spacing w:after="0" w:line="291" w:lineRule="auto"/>
        <w:rPr>
          <w:sz w:val="20"/>
          <w:szCs w:val="20"/>
          <w:color w:val="auto"/>
        </w:rPr>
      </w:pPr>
      <w:r>
        <w:rPr>
          <w:rFonts w:ascii="Arial" w:cs="Arial" w:eastAsia="Arial" w:hAnsi="Arial"/>
          <w:sz w:val="16"/>
          <w:szCs w:val="16"/>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0" w:name="page61"/>
    <w:bookmarkEnd w:id="60"/>
    <w:p>
      <w:pPr>
        <w:jc w:val="both"/>
        <w:ind w:firstLine="761"/>
        <w:spacing w:after="0" w:line="255"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66"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130" w:lineRule="exact"/>
        <w:rPr>
          <w:sz w:val="20"/>
          <w:szCs w:val="20"/>
          <w:color w:val="auto"/>
        </w:rPr>
      </w:pPr>
    </w:p>
    <w:p>
      <w:pPr>
        <w:jc w:val="both"/>
        <w:ind w:firstLine="761"/>
        <w:spacing w:after="0" w:line="285" w:lineRule="auto"/>
        <w:rPr>
          <w:sz w:val="20"/>
          <w:szCs w:val="20"/>
          <w:color w:val="auto"/>
        </w:rPr>
      </w:pPr>
      <w:r>
        <w:rPr>
          <w:rFonts w:ascii="Arial" w:cs="Arial" w:eastAsia="Arial" w:hAnsi="Arial"/>
          <w:sz w:val="16"/>
          <w:szCs w:val="16"/>
          <w:color w:val="auto"/>
        </w:rPr>
        <w:t>A portion of the products or technologies licensed, developed, and/or distributed by us incorporate so-called “open source” software and we may incorporate open source software into other products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135"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43"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139"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b w:val="1"/>
          <w:bCs w:val="1"/>
          <w:i w:val="1"/>
          <w:iCs w:val="1"/>
          <w:color w:val="auto"/>
        </w:rPr>
        <w:t>Any collaboration arrangements that we may enter into in the future may not be successful, which could adversely affect our ability to develop and commercialize our products.</w:t>
      </w:r>
    </w:p>
    <w:p>
      <w:pPr>
        <w:spacing w:after="0" w:line="130"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Any future collaborations that we enter into may not be successful. The success of our collaboration arrangements will depend heavily on the efforts and activities of our collaborators. Collaborations are subject to numerous risks, which may include that:</w:t>
      </w:r>
    </w:p>
    <w:p>
      <w:pPr>
        <w:spacing w:after="0" w:line="143" w:lineRule="exact"/>
        <w:rPr>
          <w:sz w:val="20"/>
          <w:szCs w:val="20"/>
          <w:color w:val="auto"/>
        </w:rPr>
      </w:pPr>
    </w:p>
    <w:p>
      <w:pPr>
        <w:ind w:left="5620" w:right="1740" w:hanging="4856"/>
        <w:spacing w:after="0" w:line="512" w:lineRule="auto"/>
        <w:tabs>
          <w:tab w:leader="none" w:pos="11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collaborations;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-92075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1" w:name="page62"/>
    <w:bookmarkEnd w:id="61"/>
    <w:p>
      <w:pPr>
        <w:jc w:val="both"/>
        <w:ind w:left="1140" w:hanging="376"/>
        <w:spacing w:after="0" w:line="286" w:lineRule="auto"/>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25" w:lineRule="exact"/>
        <w:rPr>
          <w:rFonts w:ascii="Arial" w:cs="Arial" w:eastAsia="Arial" w:hAnsi="Arial"/>
          <w:sz w:val="17"/>
          <w:szCs w:val="17"/>
          <w:color w:val="auto"/>
        </w:rPr>
      </w:pPr>
    </w:p>
    <w:p>
      <w:pPr>
        <w:ind w:left="1140" w:hanging="376"/>
        <w:spacing w:after="0"/>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w:t>
      </w:r>
    </w:p>
    <w:p>
      <w:pPr>
        <w:spacing w:after="0" w:line="196" w:lineRule="exact"/>
        <w:rPr>
          <w:rFonts w:ascii="Arial" w:cs="Arial" w:eastAsia="Arial" w:hAnsi="Arial"/>
          <w:sz w:val="17"/>
          <w:szCs w:val="17"/>
          <w:color w:val="auto"/>
        </w:rPr>
      </w:pPr>
    </w:p>
    <w:p>
      <w:pPr>
        <w:ind w:left="1140" w:hanging="376"/>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with marketing, manufacturing, and distribution rights to one or more products may not commit sufficient resources to or otherwise not perform satisfactorily in carrying out these activities;</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84" w:lineRule="exact"/>
        <w:rPr>
          <w:rFonts w:ascii="Arial" w:cs="Arial" w:eastAsia="Arial" w:hAnsi="Arial"/>
          <w:sz w:val="18"/>
          <w:szCs w:val="18"/>
          <w:color w:val="auto"/>
        </w:rPr>
      </w:pPr>
    </w:p>
    <w:p>
      <w:pPr>
        <w:jc w:val="both"/>
        <w:ind w:left="1140" w:hanging="376"/>
        <w:spacing w:after="0" w:line="264"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40" w:lineRule="exact"/>
        <w:rPr>
          <w:rFonts w:ascii="Arial" w:cs="Arial" w:eastAsia="Arial" w:hAnsi="Arial"/>
          <w:sz w:val="18"/>
          <w:szCs w:val="18"/>
          <w:color w:val="auto"/>
        </w:rPr>
      </w:pPr>
    </w:p>
    <w:p>
      <w:pPr>
        <w:ind w:left="1140" w:hanging="376"/>
        <w:spacing w:after="0" w:line="342" w:lineRule="auto"/>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83" w:lineRule="exact"/>
        <w:rPr>
          <w:rFonts w:ascii="Arial" w:cs="Arial" w:eastAsia="Arial" w:hAnsi="Arial"/>
          <w:sz w:val="16"/>
          <w:szCs w:val="16"/>
          <w:color w:val="auto"/>
        </w:rPr>
      </w:pPr>
    </w:p>
    <w:p>
      <w:pPr>
        <w:ind w:left="1140" w:right="20" w:hanging="376"/>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current or future products;</w:t>
      </w:r>
    </w:p>
    <w:p>
      <w:pPr>
        <w:spacing w:after="0" w:line="129"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129"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collaborators’ sales and marketing activities or other operations may not be in compliance with applicable laws resulting in civil or criminal proceedings.</w:t>
      </w:r>
    </w:p>
    <w:p>
      <w:pPr>
        <w:spacing w:after="0" w:line="130"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85" w:lineRule="exact"/>
        <w:rPr>
          <w:sz w:val="20"/>
          <w:szCs w:val="20"/>
          <w:color w:val="auto"/>
        </w:rPr>
      </w:pPr>
    </w:p>
    <w:p>
      <w:pPr>
        <w:jc w:val="both"/>
        <w:ind w:firstLine="761"/>
        <w:spacing w:after="0" w:line="271" w:lineRule="auto"/>
        <w:rPr>
          <w:sz w:val="20"/>
          <w:szCs w:val="20"/>
          <w:color w:val="auto"/>
        </w:rPr>
      </w:pPr>
      <w:r>
        <w:rPr>
          <w:rFonts w:ascii="Arial" w:cs="Arial" w:eastAsia="Arial" w:hAnsi="Arial"/>
          <w:sz w:val="17"/>
          <w:szCs w:val="17"/>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38"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43" w:lineRule="exact"/>
        <w:rPr>
          <w:sz w:val="20"/>
          <w:szCs w:val="20"/>
          <w:color w:val="auto"/>
        </w:rPr>
      </w:pPr>
    </w:p>
    <w:p>
      <w:pPr>
        <w:jc w:val="both"/>
        <w:ind w:firstLine="761"/>
        <w:spacing w:after="0" w:line="291"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7"/>
          <w:szCs w:val="17"/>
          <w:b w:val="1"/>
          <w:bCs w:val="1"/>
          <w:i w:val="1"/>
          <w:iCs w:val="1"/>
          <w:color w:val="auto"/>
        </w:rPr>
        <w:t>The requirements of being a public company may strain our resources, result in litigation and divert management’s attention.</w:t>
      </w:r>
    </w:p>
    <w:p>
      <w:pPr>
        <w:spacing w:after="0" w:line="196"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after we are no longer an “emerging growth company” as defined in the Jumpstart our Business Startups Act of 2012 (the “JOBS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will need to hire additional employees or engage outside consultants to comply with these requirements, which will increase our costs and expenses.</w:t>
      </w:r>
    </w:p>
    <w:p>
      <w:pPr>
        <w:spacing w:after="0" w:line="139" w:lineRule="exact"/>
        <w:rPr>
          <w:sz w:val="20"/>
          <w:szCs w:val="20"/>
          <w:color w:val="auto"/>
        </w:rPr>
      </w:pPr>
    </w:p>
    <w:p>
      <w:pPr>
        <w:jc w:val="both"/>
        <w:ind w:firstLine="761"/>
        <w:spacing w:after="0" w:line="269"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prospectus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53"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46"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In addition, as a result of our disclosure obligations as a public company, we will have reduced strategic flexibility and will be under pressure to focus on short-term results, which may materially and adversely affect our ability to achieve long-term profitability.</w:t>
      </w:r>
    </w:p>
    <w:p>
      <w:pPr>
        <w:spacing w:after="0" w:line="130"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20"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141" w:lineRule="exact"/>
        <w:rPr>
          <w:sz w:val="20"/>
          <w:szCs w:val="20"/>
          <w:color w:val="auto"/>
        </w:rPr>
      </w:pPr>
    </w:p>
    <w:p>
      <w:pPr>
        <w:ind w:left="1140" w:hanging="376"/>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being required to have our independent registered public accounting firm audit our internal control over financial reporting under Section 404 of the Sarbanes-Oxley Act;</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and annual report on Form 10-K; and</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votes on executive compensation and stockholder approval of any golden parachute payments not previously approved.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3" w:name="page64"/>
    <w:bookmarkEnd w:id="63"/>
    <w:p>
      <w:pPr>
        <w:ind w:right="20" w:firstLine="761"/>
        <w:spacing w:after="0" w:line="277" w:lineRule="auto"/>
        <w:rPr>
          <w:sz w:val="20"/>
          <w:szCs w:val="20"/>
          <w:color w:val="auto"/>
        </w:rPr>
      </w:pPr>
      <w:r>
        <w:rPr>
          <w:rFonts w:ascii="Arial" w:cs="Arial" w:eastAsia="Arial" w:hAnsi="Arial"/>
          <w:sz w:val="18"/>
          <w:szCs w:val="18"/>
          <w:color w:val="auto"/>
        </w:rPr>
        <w:t>We could be an emerging growth company for up to five years following the closing of our IPO. Our status as an emerging growth company will end as soon as any of the following takes place:</w:t>
      </w:r>
    </w:p>
    <w:p>
      <w:pPr>
        <w:spacing w:after="0" w:line="143" w:lineRule="exact"/>
        <w:rPr>
          <w:sz w:val="20"/>
          <w:szCs w:val="20"/>
          <w:color w:val="auto"/>
        </w:rPr>
      </w:pPr>
    </w:p>
    <w:p>
      <w:pPr>
        <w:ind w:left="1140" w:hanging="376"/>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last day of the fiscal year in which we have more than $1.07 billion in annual revenue;</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we qualify as a “large accelerated filer,” with at least $700 million of equity securities held by non-affiliates;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we have issued, in any three-year period, more than $1.0 billion in non-convertible debt securities; or</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last day of the fiscal year ending after the fifth anniversary of the closing of our IPO.</w:t>
      </w:r>
    </w:p>
    <w:p>
      <w:pPr>
        <w:spacing w:after="0" w:line="185"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41"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irrevocably elected not to avail ourselves of this accommodation and, therefore, we will be subject to the same new or revised accounting standards as other public companies that are not emerging growth companies.</w:t>
      </w:r>
    </w:p>
    <w:p>
      <w:pPr>
        <w:spacing w:after="0" w:line="141"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Material weaknesses in our internal control over financial reporting may cause us to fail to timely and accurately report our financial results or result in a material misstatement of our financial statements.</w:t>
      </w:r>
    </w:p>
    <w:p>
      <w:pPr>
        <w:spacing w:after="0" w:line="143"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Management evaluates our internal control systems, processes, and procedures for compliance with the requirements of a smaller reporting company under Section 404 of the Sarbanes-Oxley Act of 2002 (“Section 404”). This evaluation includes disclosure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48" w:lineRule="exact"/>
        <w:rPr>
          <w:sz w:val="20"/>
          <w:szCs w:val="20"/>
          <w:color w:val="auto"/>
        </w:rPr>
      </w:pPr>
    </w:p>
    <w:p>
      <w:pPr>
        <w:jc w:val="both"/>
        <w:ind w:firstLine="761"/>
        <w:spacing w:after="0" w:line="291" w:lineRule="auto"/>
        <w:rPr>
          <w:sz w:val="20"/>
          <w:szCs w:val="20"/>
          <w:color w:val="auto"/>
        </w:rPr>
      </w:pPr>
      <w:r>
        <w:rPr>
          <w:rFonts w:ascii="Arial" w:cs="Arial" w:eastAsia="Arial" w:hAnsi="Arial"/>
          <w:sz w:val="16"/>
          <w:szCs w:val="16"/>
          <w:color w:val="auto"/>
        </w:rPr>
        <w:t>In connection with preparation of our financial statements for the years ended December 31, 2017 and 2018, management identified a material weakness in our internal controls due to a lack of sufficient full-time accounting staff with requisite experience and deep technical accounting knowledge to</w:t>
      </w:r>
    </w:p>
    <w:p>
      <w:pPr>
        <w:jc w:val="both"/>
        <w:ind w:firstLine="8"/>
        <w:spacing w:after="0" w:line="255"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identify and resolve complex accounting issues under generally accepted accounting principles in the United States (“GAAP”) and (ii) allow for appropriate segregation of duties. The identified material weakness could result in misstatements to our consolidated financial statements that would be material and would not be prevented or detected on a timely basis.</w:t>
      </w:r>
    </w:p>
    <w:p>
      <w:pPr>
        <w:spacing w:after="0" w:line="150"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We are evaluating and implementing additional procedures to remediate this material weakness, however, we cannot assure you that these or other measures will fully remediate the material weakness in a timely manner or prevent future material weaknesses from occurring. As part of our remediation plan to address the material weakness identified above, we hired a new Chief Financial Officer in March 2019 and four additional accounting resources in the second quarter of 2019, including two Certified Public Accountants with the specific technical accounting and financial reporting experience necessary for a public company. We will continue to assess the adequacy of our accounting personnel and resources, and will add additional personnel, as well as adjust our resources, as necessary, commensurate with any increase in the size and complexity of our business.</w:t>
      </w:r>
    </w:p>
    <w:p>
      <w:pPr>
        <w:spacing w:after="0" w:line="151" w:lineRule="exact"/>
        <w:rPr>
          <w:sz w:val="20"/>
          <w:szCs w:val="20"/>
          <w:color w:val="auto"/>
        </w:rPr>
      </w:pPr>
    </w:p>
    <w:p>
      <w:pPr>
        <w:jc w:val="both"/>
        <w:ind w:firstLine="761"/>
        <w:spacing w:after="0" w:line="297" w:lineRule="auto"/>
        <w:rPr>
          <w:sz w:val="20"/>
          <w:szCs w:val="20"/>
          <w:color w:val="auto"/>
        </w:rPr>
      </w:pPr>
      <w:r>
        <w:rPr>
          <w:rFonts w:ascii="Arial" w:cs="Arial" w:eastAsia="Arial" w:hAnsi="Arial"/>
          <w:sz w:val="16"/>
          <w:szCs w:val="16"/>
          <w:color w:val="auto"/>
        </w:rPr>
        <w:t>If we identify future material weaknesses in our internal controls over financial reporting or fail to meet the demands that are placed upon us as a public company, including the requirements of the Sarbanes-Oxley Act, we may be unable to accurately report our financial results or report them within the timeframes required by law or stock exchange regulations. Failure to comply with Section 404 could also potentially subject us to sanctions or investigations by the U.S. Securities and Exchange Commission (the “SEC”) or other regulatory authorities. If additional material weaknesses exist or are discovered in the future, and we are unable to remediate any such material weakness, our reputation, financial condition, and operating results could suffer.</w:t>
      </w:r>
    </w:p>
    <w:p>
      <w:pPr>
        <w:spacing w:after="0" w:line="11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85"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4" w:name="page65"/>
    <w:bookmarkEnd w:id="64"/>
    <w:p>
      <w:pPr>
        <w:jc w:val="both"/>
        <w:ind w:firstLine="761"/>
        <w:spacing w:after="0" w:line="255"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185"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Our common stock is currently listed on The Nasdaq Global Market under the symbol “PSNL.” However, we cannot assure you that an active trading market for our common stock will develop on that exchange or elsewhere or, if developed, that any market will be sustained. Accordingly, we cannot assure you of the likelihood that an active trading market for our common stock will develop or be maintained,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spacing w:after="0" w:line="166"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30"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The market price of our common stock may fluctuate or decline significantly in response to numerous factors, many of which are beyond our control, including:</w:t>
      </w:r>
    </w:p>
    <w:p>
      <w:pPr>
        <w:spacing w:after="0" w:line="130" w:lineRule="exact"/>
        <w:rPr>
          <w:sz w:val="20"/>
          <w:szCs w:val="20"/>
          <w:color w:val="auto"/>
        </w:rPr>
      </w:pPr>
    </w:p>
    <w:p>
      <w:pPr>
        <w:ind w:left="1140" w:hanging="37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issuance of new or updated research reports by securities analysts or changed recommendations for our stock;</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from existing tests or new tests that may emerge;</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collaborations, capital commitments, or by or pertaining to our customers, particularly the VA MVP;</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amount of our investments in the growth of our business;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business or issues we may face with regulators;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additions or departures of key management or other personnel;</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obtain additional funding;</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disputes or other developments related to our intellectual property or other matters, including litigation; and</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factors unrelated to our operating performance or the operating performance of our competitors.</w:t>
      </w:r>
    </w:p>
    <w:p>
      <w:pPr>
        <w:spacing w:after="0" w:line="130"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In addition, the stock market in general, and the market for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5" w:name="page66"/>
    <w:bookmarkEnd w:id="65"/>
    <w:p>
      <w:pPr>
        <w:jc w:val="both"/>
        <w:ind w:firstLine="761"/>
        <w:spacing w:after="0" w:line="255"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revenues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revenues or earnings forecasts that we may provide.</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Our quarterly results may fluctuate significantly, which could adversely impact the value of our common stock.</w:t>
      </w:r>
    </w:p>
    <w:p>
      <w:pPr>
        <w:spacing w:after="0" w:line="185" w:lineRule="exact"/>
        <w:rPr>
          <w:sz w:val="20"/>
          <w:szCs w:val="20"/>
          <w:color w:val="auto"/>
        </w:rPr>
      </w:pPr>
    </w:p>
    <w:p>
      <w:pPr>
        <w:jc w:val="both"/>
        <w:ind w:firstLine="761"/>
        <w:spacing w:after="0" w:line="289" w:lineRule="auto"/>
        <w:rPr>
          <w:sz w:val="20"/>
          <w:szCs w:val="20"/>
          <w:color w:val="auto"/>
        </w:rPr>
      </w:pPr>
      <w:r>
        <w:rPr>
          <w:rFonts w:ascii="Arial" w:cs="Arial" w:eastAsia="Arial" w:hAnsi="Arial"/>
          <w:sz w:val="16"/>
          <w:szCs w:val="16"/>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the VA and other large customers are not obliged to deliver tissue samples to us at any particular time or at all. The rate at which we receive tissue samples can vary dramatically from quarter to quarter, and is difficult or impossible for us to accurately forecast. Our receipt and processing of tissue samples from our customers leads to our recognition of revenue, and as such the variable rates of delivery of customer samples will lead to variations in our revenues from quarter to quarter.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Insiders may exercise significant control over our company and will be able to influence corporate matters.</w:t>
      </w:r>
    </w:p>
    <w:p>
      <w:pPr>
        <w:spacing w:after="0" w:line="198" w:lineRule="exact"/>
        <w:rPr>
          <w:sz w:val="20"/>
          <w:szCs w:val="20"/>
          <w:color w:val="auto"/>
        </w:rPr>
      </w:pPr>
    </w:p>
    <w:p>
      <w:pPr>
        <w:jc w:val="both"/>
        <w:ind w:firstLine="761"/>
        <w:spacing w:after="0" w:line="276" w:lineRule="auto"/>
        <w:rPr>
          <w:sz w:val="20"/>
          <w:szCs w:val="20"/>
          <w:color w:val="auto"/>
        </w:rPr>
      </w:pPr>
      <w:r>
        <w:rPr>
          <w:rFonts w:ascii="Arial" w:cs="Arial" w:eastAsia="Arial" w:hAnsi="Arial"/>
          <w:sz w:val="17"/>
          <w:szCs w:val="17"/>
          <w:color w:val="auto"/>
        </w:rPr>
        <w:t>Our directors, executive officers, and 5% or greater stockholders and their affiliates beneficially owned, in the aggregate, approximately 47.6% of our outstanding capital stock as of June 30, 2019. As a result, these stockholders will be able to exercise significant influence over all matters submitted to our stockholders for approval, including the election of directors and approval of significant corporate transactions, such as a merger or sale of our company or its assets. This concentration of ownership may have the effect of delaying or preventing a third party from acquiring control of our company and could adversely affect the market price of our common stock, and may not be in the best interests of our other stockholders.</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p>
    <w:p>
      <w:pPr>
        <w:spacing w:after="0" w:line="208"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As of June 30, 2019, we had outstanding 31,121,605 shares of common stock. Our executive officers, directors, and the holders of substantially all of our capital stock and securities convertible into or exchangeable for our capital stock have entered into market standoff agreements with us or lock-up agreements with the underwriters in connection with our IPO under which they have agreed, subject to specific exceptions, not to sell any of our capital stock until December 17, 2019.</w:t>
      </w:r>
    </w:p>
    <w:p>
      <w:pPr>
        <w:spacing w:after="0" w:line="187" w:lineRule="exact"/>
        <w:rPr>
          <w:sz w:val="20"/>
          <w:szCs w:val="20"/>
          <w:color w:val="auto"/>
        </w:rPr>
      </w:pPr>
    </w:p>
    <w:p>
      <w:pPr>
        <w:jc w:val="both"/>
        <w:ind w:firstLine="761"/>
        <w:spacing w:after="0" w:line="273" w:lineRule="auto"/>
        <w:rPr>
          <w:sz w:val="20"/>
          <w:szCs w:val="20"/>
          <w:color w:val="auto"/>
        </w:rPr>
      </w:pPr>
      <w:r>
        <w:rPr>
          <w:rFonts w:ascii="Arial" w:cs="Arial" w:eastAsia="Arial" w:hAnsi="Arial"/>
          <w:sz w:val="17"/>
          <w:szCs w:val="17"/>
          <w:color w:val="auto"/>
        </w:rPr>
        <w:t>However, after the market standoff agreements and lock-up agreements referred to above expire, substantially all of such shares will be eligible for sale in the public market. In addition, upon issuance, shares of common stock subject to outstanding options under our stock option plans as June 30, 2019 will become eligible for sale in the public market in the future, subject to certain legal and contractual limitations. Moreover, 180 days after the closing of the IPO, holders of up to an aggregate of 18,790,983 shares of our common stock will have the right to require us 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spacing w:after="0" w:line="151"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30" w:lineRule="exact"/>
        <w:rPr>
          <w:sz w:val="20"/>
          <w:szCs w:val="20"/>
          <w:color w:val="auto"/>
        </w:rPr>
      </w:pPr>
    </w:p>
    <w:p>
      <w:pPr>
        <w:jc w:val="both"/>
        <w:ind w:firstLine="761"/>
        <w:spacing w:after="0" w:line="30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6" w:name="page67"/>
    <w:bookmarkEnd w:id="66"/>
    <w:p>
      <w:pPr>
        <w:ind w:left="76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98" w:lineRule="exact"/>
        <w:rPr>
          <w:sz w:val="20"/>
          <w:szCs w:val="20"/>
          <w:color w:val="auto"/>
        </w:rPr>
      </w:pPr>
    </w:p>
    <w:p>
      <w:pPr>
        <w:jc w:val="both"/>
        <w:ind w:firstLine="761"/>
        <w:spacing w:after="0" w:line="288" w:lineRule="auto"/>
        <w:rPr>
          <w:sz w:val="20"/>
          <w:szCs w:val="20"/>
          <w:color w:val="auto"/>
        </w:rPr>
      </w:pPr>
      <w:r>
        <w:rPr>
          <w:rFonts w:ascii="Arial" w:cs="Arial" w:eastAsia="Arial" w:hAnsi="Arial"/>
          <w:sz w:val="16"/>
          <w:szCs w:val="16"/>
          <w:color w:val="auto"/>
        </w:rPr>
        <w:t>As of December 31, 2018, we had federal and state net operating loss carryforwards of approximately $87 million and approximately $48.6 million, respectively. Certain of our federal and state net operating loss carryforwards will begin to expire, if not utilized, beginning in 2031. These net operating loss carryforwards could expire unused and be unavailable to offset future income tax liabilities. Under the Tax Cuts and Jobs Act, federal net operating losses incurred in 2018 and in future years may be carried forward indefinitely, but the deductibility of such federal net operating losses is limited. It is uncertain if and to what extent various states will conform to the Tax Cuts and Jobs Act.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may experience ownership changes in the future as a result of subsequent shifts in our stock ownership, some of which may be outside of our control. If an ownership change occurs and our ability to use our net operating loss carryforwards is materially limited, it would harm our future operating results by effectively increasing our future tax obligations.</w:t>
      </w:r>
    </w:p>
    <w:p>
      <w:pPr>
        <w:spacing w:after="0" w:line="129" w:lineRule="exact"/>
        <w:rPr>
          <w:sz w:val="20"/>
          <w:szCs w:val="20"/>
          <w:color w:val="auto"/>
        </w:rPr>
      </w:pPr>
    </w:p>
    <w:p>
      <w:pPr>
        <w:ind w:left="760" w:right="20"/>
        <w:spacing w:after="0" w:line="381" w:lineRule="auto"/>
        <w:rPr>
          <w:sz w:val="20"/>
          <w:szCs w:val="20"/>
          <w:color w:val="auto"/>
        </w:rPr>
      </w:pPr>
      <w:r>
        <w:rPr>
          <w:rFonts w:ascii="Arial" w:cs="Arial" w:eastAsia="Arial" w:hAnsi="Arial"/>
          <w:sz w:val="15"/>
          <w:szCs w:val="15"/>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spacing w:after="0" w:line="60" w:lineRule="exact"/>
        <w:rPr>
          <w:sz w:val="20"/>
          <w:szCs w:val="20"/>
          <w:color w:val="auto"/>
        </w:rPr>
      </w:pPr>
    </w:p>
    <w:p>
      <w:pPr>
        <w:jc w:val="both"/>
        <w:ind w:firstLine="761"/>
        <w:spacing w:after="0" w:line="257" w:lineRule="auto"/>
        <w:rPr>
          <w:sz w:val="20"/>
          <w:szCs w:val="20"/>
          <w:color w:val="auto"/>
        </w:rPr>
      </w:pPr>
      <w:r>
        <w:rPr>
          <w:rFonts w:ascii="Arial" w:cs="Arial" w:eastAsia="Arial" w:hAnsi="Arial"/>
          <w:sz w:val="18"/>
          <w:szCs w:val="18"/>
          <w:color w:val="auto"/>
        </w:rPr>
        <w:t>In the future, we may sell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convertible securities, or other equity securities in subsequent transactions, or common stock is issued pursuant to equity incentive plans, investors may be materially diluted. New investors in such subsequent transactions could gain rights, preferences, and privileges senior to those of holders of our common stock.</w:t>
      </w:r>
    </w:p>
    <w:p>
      <w:pPr>
        <w:spacing w:after="0" w:line="161"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130"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5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Holders of our common stock could be adversely affected if we issue preferred stock.</w:t>
      </w:r>
    </w:p>
    <w:p>
      <w:pPr>
        <w:spacing w:after="0" w:line="198"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4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30"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54" w:lineRule="exact"/>
        <w:rPr>
          <w:sz w:val="20"/>
          <w:szCs w:val="20"/>
          <w:color w:val="auto"/>
        </w:rPr>
      </w:pPr>
    </w:p>
    <w:p>
      <w:pPr>
        <w:ind w:left="1140" w:hanging="376"/>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of directors are elected at one time;</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196" w:lineRule="exact"/>
        <w:rPr>
          <w:rFonts w:ascii="Arial" w:cs="Arial" w:eastAsia="Arial" w:hAnsi="Arial"/>
          <w:sz w:val="17"/>
          <w:szCs w:val="17"/>
          <w:color w:val="auto"/>
        </w:rPr>
      </w:pPr>
    </w:p>
    <w:p>
      <w:pPr>
        <w:ind w:left="1140" w:hanging="376"/>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newly-created directorships;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7" w:name="page68"/>
    <w:bookmarkEnd w:id="67"/>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certificate of incorporation and bylaws;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and</w:t>
      </w:r>
    </w:p>
    <w:p>
      <w:pPr>
        <w:spacing w:after="0" w:line="184" w:lineRule="exact"/>
        <w:rPr>
          <w:rFonts w:ascii="Arial" w:cs="Arial" w:eastAsia="Arial" w:hAnsi="Arial"/>
          <w:sz w:val="18"/>
          <w:szCs w:val="18"/>
          <w:color w:val="auto"/>
        </w:rPr>
      </w:pPr>
    </w:p>
    <w:p>
      <w:pPr>
        <w:ind w:left="1140" w:hanging="376"/>
        <w:spacing w:after="0" w:line="277"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30"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54" w:lineRule="exact"/>
        <w:rPr>
          <w:sz w:val="20"/>
          <w:szCs w:val="20"/>
          <w:color w:val="auto"/>
        </w:rPr>
      </w:pPr>
    </w:p>
    <w:p>
      <w:pPr>
        <w:jc w:val="both"/>
        <w:ind w:left="760"/>
        <w:spacing w:after="0" w:line="312"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06"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30" w:lineRule="exact"/>
        <w:rPr>
          <w:sz w:val="20"/>
          <w:szCs w:val="20"/>
          <w:color w:val="auto"/>
        </w:rPr>
      </w:pPr>
    </w:p>
    <w:p>
      <w:pPr>
        <w:ind w:left="1140" w:hanging="376"/>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84" w:lineRule="exact"/>
        <w:rPr>
          <w:rFonts w:ascii="Arial" w:cs="Arial" w:eastAsia="Arial" w:hAnsi="Arial"/>
          <w:sz w:val="18"/>
          <w:szCs w:val="18"/>
          <w:color w:val="auto"/>
        </w:rPr>
      </w:pPr>
    </w:p>
    <w:p>
      <w:pPr>
        <w:ind w:left="1140" w:hanging="376"/>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84" w:lineRule="exact"/>
        <w:rPr>
          <w:rFonts w:ascii="Arial" w:cs="Arial" w:eastAsia="Arial" w:hAnsi="Arial"/>
          <w:sz w:val="18"/>
          <w:szCs w:val="18"/>
          <w:color w:val="auto"/>
        </w:rPr>
      </w:pPr>
    </w:p>
    <w:p>
      <w:pPr>
        <w:ind w:left="1140" w:right="20" w:hanging="376"/>
        <w:spacing w:after="0" w:line="277"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129" w:lineRule="exact"/>
        <w:rPr>
          <w:rFonts w:ascii="Arial" w:cs="Arial" w:eastAsia="Arial" w:hAnsi="Arial"/>
          <w:sz w:val="18"/>
          <w:szCs w:val="18"/>
          <w:color w:val="auto"/>
        </w:rPr>
      </w:pPr>
    </w:p>
    <w:p>
      <w:pPr>
        <w:ind w:left="1140" w:hanging="376"/>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action asserting a claim against us governed by the internal affairs doctrine.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This provision would not apply to suits brought to enforce a duty or liability created by the Exchange Act or any other claim for which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courts have exclusive jurisdiction.</w:t>
      </w:r>
    </w:p>
    <w:p>
      <w:pPr>
        <w:spacing w:after="0" w:line="184"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41" w:lineRule="exact"/>
        <w:rPr>
          <w:sz w:val="20"/>
          <w:szCs w:val="20"/>
          <w:color w:val="auto"/>
        </w:rPr>
      </w:pPr>
    </w:p>
    <w:p>
      <w:pPr>
        <w:jc w:val="both"/>
        <w:ind w:firstLine="761"/>
        <w:spacing w:after="0" w:line="255" w:lineRule="auto"/>
        <w:rPr>
          <w:sz w:val="20"/>
          <w:szCs w:val="20"/>
          <w:color w:val="auto"/>
        </w:rPr>
      </w:pPr>
      <w:r>
        <w:rPr>
          <w:rFonts w:ascii="Arial" w:cs="Arial" w:eastAsia="Arial" w:hAnsi="Arial"/>
          <w:sz w:val="18"/>
          <w:szCs w:val="18"/>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seriously harm our business. For example, the Court of Chancery of the State of Delaware recently determined that a provision stating that U.S. federal district courts are the exclusive forum for resolving any complaint asserting a cause of action arising under the Securities Act is not enforceable. However, this decision may be reviewed and ultimately overturned by the Delaware Supreme Court.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860" w:hanging="852"/>
        <w:spacing w:after="0"/>
        <w:tabs>
          <w:tab w:leader="none" w:pos="8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Unregistered sales of equity securities</w:t>
      </w:r>
    </w:p>
    <w:p>
      <w:pPr>
        <w:spacing w:after="0" w:line="185"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From April 1, 2019 through June 30, 2019, we granted to certain of our employees, consultants and directors stock options to purchase an aggregate of 363,440 shares of our common stock under our 2011 Plan at an exercise price of $13.20 per share.</w:t>
      </w:r>
    </w:p>
    <w:p>
      <w:pPr>
        <w:spacing w:after="0" w:line="130" w:lineRule="exact"/>
        <w:rPr>
          <w:sz w:val="20"/>
          <w:szCs w:val="20"/>
          <w:color w:val="auto"/>
        </w:rPr>
      </w:pPr>
    </w:p>
    <w:p>
      <w:pPr>
        <w:jc w:val="both"/>
        <w:ind w:firstLine="761"/>
        <w:spacing w:after="0" w:line="264" w:lineRule="auto"/>
        <w:rPr>
          <w:sz w:val="20"/>
          <w:szCs w:val="20"/>
          <w:color w:val="auto"/>
        </w:rPr>
      </w:pPr>
      <w:r>
        <w:rPr>
          <w:rFonts w:ascii="Arial" w:cs="Arial" w:eastAsia="Arial" w:hAnsi="Arial"/>
          <w:sz w:val="18"/>
          <w:szCs w:val="18"/>
          <w:color w:val="auto"/>
        </w:rPr>
        <w:t>From April 1, 2019 through June 30, 2019, we issued and sold to certain of our employees an aggregate of 156,987 shares of our common stock upon the exercise of options under our 2011 Plan at exercise prices ranging from $0.44 to $13.20 per share, for aggregate cash consideration of approximately $240,000.</w:t>
      </w:r>
    </w:p>
    <w:p>
      <w:pPr>
        <w:spacing w:after="0" w:line="154"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From April 1, 2019 through June 30, 2019, we issued an aggregate of 188,643 shares of common stock upon the exercise of common stock warrants, for aggregate cash consideration of approximately $8,000.</w:t>
      </w:r>
    </w:p>
    <w:p>
      <w:pPr>
        <w:spacing w:after="0" w:line="130" w:lineRule="exact"/>
        <w:rPr>
          <w:sz w:val="20"/>
          <w:szCs w:val="20"/>
          <w:color w:val="auto"/>
        </w:rPr>
      </w:pPr>
    </w:p>
    <w:p>
      <w:pPr>
        <w:jc w:val="both"/>
        <w:ind w:firstLine="761"/>
        <w:spacing w:after="0" w:line="291"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We believe the offers, sales and issuances of the above securities were exempt from registration under the Securities Act by virtue of Section 4(a)(2) of the Securities Act (or Regulation D promulgated thereunder) because the issuance of securities to the recipients did not involve a public offering,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 The sales of these securities were made without any general solicitation or advertising.</w:t>
      </w:r>
    </w:p>
    <w:p>
      <w:pPr>
        <w:spacing w:after="0" w:line="127" w:lineRule="exact"/>
        <w:rPr>
          <w:sz w:val="20"/>
          <w:szCs w:val="20"/>
          <w:color w:val="auto"/>
        </w:rPr>
      </w:pPr>
    </w:p>
    <w:p>
      <w:pPr>
        <w:ind w:left="860" w:hanging="852"/>
        <w:spacing w:after="0"/>
        <w:tabs>
          <w:tab w:leader="none" w:pos="8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proceeds</w:t>
      </w:r>
    </w:p>
    <w:p>
      <w:pPr>
        <w:spacing w:after="0" w:line="198" w:lineRule="exact"/>
        <w:rPr>
          <w:sz w:val="20"/>
          <w:szCs w:val="20"/>
          <w:color w:val="auto"/>
        </w:rPr>
      </w:pPr>
    </w:p>
    <w:p>
      <w:pPr>
        <w:jc w:val="both"/>
        <w:ind w:firstLine="761"/>
        <w:spacing w:after="0" w:line="259" w:lineRule="auto"/>
        <w:rPr>
          <w:sz w:val="20"/>
          <w:szCs w:val="20"/>
          <w:color w:val="auto"/>
        </w:rPr>
      </w:pPr>
      <w:r>
        <w:rPr>
          <w:rFonts w:ascii="Arial" w:cs="Arial" w:eastAsia="Arial" w:hAnsi="Arial"/>
          <w:sz w:val="18"/>
          <w:szCs w:val="18"/>
          <w:color w:val="auto"/>
        </w:rPr>
        <w:t>On June 19, 2019, the registration statement on Form S-1 (Registration No. 333-231703) for our IPO of our common stock was declared effective by the SEC. On June 24, 2019, we closed our IPO and sold an aggregate of 9,109,725 shares of our common stock, inclusive of the exercise in full by the underwriters of their option to purchase up to an additional 1,188,225 shares of common stock, for an aggregate price of approximately $155 million. Upon completion of the sales of the shares of our common stock, our IPO terminated.</w:t>
      </w:r>
    </w:p>
    <w:p>
      <w:pPr>
        <w:spacing w:after="0" w:line="146" w:lineRule="exact"/>
        <w:rPr>
          <w:sz w:val="20"/>
          <w:szCs w:val="20"/>
          <w:color w:val="auto"/>
        </w:rPr>
      </w:pPr>
    </w:p>
    <w:p>
      <w:pPr>
        <w:jc w:val="both"/>
        <w:ind w:firstLine="761"/>
        <w:spacing w:after="0" w:line="279" w:lineRule="auto"/>
        <w:rPr>
          <w:sz w:val="20"/>
          <w:szCs w:val="20"/>
          <w:color w:val="auto"/>
        </w:rPr>
      </w:pPr>
      <w:r>
        <w:rPr>
          <w:rFonts w:ascii="Arial" w:cs="Arial" w:eastAsia="Arial" w:hAnsi="Arial"/>
          <w:sz w:val="17"/>
          <w:szCs w:val="17"/>
          <w:color w:val="auto"/>
        </w:rPr>
        <w:t>The underwriters of our IPO were Morgan Stanley &amp; Co. LLC, BofA Securities, Inc., Cowen and Company, LLC, and Oppenheimer &amp; Co. Inc. We paid the underwriters of our IPO an underwriting discount and commission totaling $10.8 million and incurred $4.0 million in offering costs. Thus, the net offering proceeds, after deducting underwriting discounts and offering expenses, were approximately $140.0 million. No payments were made to our directors or officers or their associates, holders of 10% or more of any class of our equity securities, or any affiliates.</w:t>
      </w:r>
    </w:p>
    <w:p>
      <w:pPr>
        <w:spacing w:after="0" w:line="131" w:lineRule="exact"/>
        <w:rPr>
          <w:sz w:val="20"/>
          <w:szCs w:val="20"/>
          <w:color w:val="auto"/>
        </w:rPr>
      </w:pPr>
    </w:p>
    <w:p>
      <w:pPr>
        <w:jc w:val="both"/>
        <w:ind w:firstLine="761"/>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IPO as described in our final prospectus filed with the SEC on June 20, 2019 pursuant to Rule 424(b)(4).</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380" w:type="dxa"/>
            <w:vAlign w:val="bottom"/>
            <w:vMerge w:val="restart"/>
          </w:tcPr>
          <w:p>
            <w:pPr>
              <w:jc w:val="center"/>
              <w:ind w:right="808"/>
              <w:spacing w:after="0"/>
              <w:rPr>
                <w:sz w:val="20"/>
                <w:szCs w:val="20"/>
                <w:color w:val="auto"/>
              </w:rPr>
            </w:pPr>
            <w:r>
              <w:rPr>
                <w:rFonts w:ascii="Arial" w:cs="Arial" w:eastAsia="Arial" w:hAnsi="Arial"/>
                <w:sz w:val="14"/>
                <w:szCs w:val="14"/>
                <w:b w:val="1"/>
                <w:bCs w:val="1"/>
                <w:color w:val="auto"/>
                <w:w w:val="98"/>
              </w:rPr>
              <w:t>Exhibit</w:t>
            </w:r>
          </w:p>
        </w:tc>
        <w:tc>
          <w:tcPr>
            <w:tcW w:w="308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rPr>
              <w:t>Incorporated by Reference</w:t>
            </w:r>
          </w:p>
        </w:tc>
        <w:tc>
          <w:tcPr>
            <w:tcW w:w="1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380" w:type="dxa"/>
            <w:vAlign w:val="bottom"/>
            <w:vMerge w:val="continue"/>
          </w:tcPr>
          <w:p>
            <w:pPr>
              <w:spacing w:after="0"/>
              <w:rPr>
                <w:sz w:val="11"/>
                <w:szCs w:val="11"/>
                <w:color w:val="auto"/>
              </w:rPr>
            </w:pPr>
          </w:p>
        </w:tc>
        <w:tc>
          <w:tcPr>
            <w:tcW w:w="30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Description</w:t>
            </w:r>
          </w:p>
        </w:tc>
        <w:tc>
          <w:tcPr>
            <w:tcW w:w="16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Form</w:t>
            </w:r>
          </w:p>
        </w:tc>
        <w:tc>
          <w:tcPr>
            <w:tcW w:w="17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File No.</w:t>
            </w:r>
          </w:p>
        </w:tc>
        <w:tc>
          <w:tcPr>
            <w:tcW w:w="16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Exhibit</w:t>
            </w:r>
          </w:p>
        </w:tc>
        <w:tc>
          <w:tcPr>
            <w:tcW w:w="17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1"/>
        </w:trPr>
        <w:tc>
          <w:tcPr>
            <w:tcW w:w="1380" w:type="dxa"/>
            <w:vAlign w:val="bottom"/>
          </w:tcPr>
          <w:p>
            <w:pPr>
              <w:jc w:val="center"/>
              <w:ind w:right="808"/>
              <w:spacing w:after="0"/>
              <w:rPr>
                <w:sz w:val="20"/>
                <w:szCs w:val="20"/>
                <w:color w:val="auto"/>
              </w:rPr>
            </w:pPr>
            <w:r>
              <w:rPr>
                <w:rFonts w:ascii="Arial" w:cs="Arial" w:eastAsia="Arial" w:hAnsi="Arial"/>
                <w:sz w:val="14"/>
                <w:szCs w:val="14"/>
                <w:b w:val="1"/>
                <w:bCs w:val="1"/>
                <w:color w:val="auto"/>
                <w:w w:val="94"/>
              </w:rPr>
              <w:t>Number</w:t>
            </w:r>
          </w:p>
        </w:tc>
        <w:tc>
          <w:tcPr>
            <w:tcW w:w="308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0</wp:posOffset>
            </wp:positionV>
            <wp:extent cx="66294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2940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tbl>
      <w:tblPr>
        <w:tblLayout w:type="fixed"/>
        <w:tblInd w:w="0" w:type="dxa"/>
        <w:tblCellMar>
          <w:top w:w="0" w:type="dxa"/>
          <w:left w:w="0" w:type="dxa"/>
          <w:bottom w:w="0" w:type="dxa"/>
          <w:right w:w="0" w:type="dxa"/>
        </w:tblCellMar>
      </w:tblPr>
      <w:tr>
        <w:trPr>
          <w:trHeight w:val="183"/>
        </w:trPr>
        <w:tc>
          <w:tcPr>
            <w:tcW w:w="920" w:type="dxa"/>
            <w:vAlign w:val="bottom"/>
            <w:tcBorders>
              <w:top w:val="single" w:sz="8" w:color="auto"/>
            </w:tcBorders>
          </w:tcPr>
          <w:p>
            <w:pPr>
              <w:jc w:val="center"/>
              <w:ind w:right="410"/>
              <w:spacing w:after="0" w:line="182" w:lineRule="exact"/>
              <w:rPr>
                <w:sz w:val="20"/>
                <w:szCs w:val="20"/>
                <w:color w:val="auto"/>
              </w:rPr>
            </w:pPr>
            <w:r>
              <w:rPr>
                <w:rFonts w:ascii="Arial" w:cs="Arial" w:eastAsia="Arial" w:hAnsi="Arial"/>
                <w:sz w:val="18"/>
                <w:szCs w:val="18"/>
                <w:color w:val="auto"/>
                <w:w w:val="87"/>
              </w:rPr>
              <w:t>3.1</w:t>
            </w:r>
          </w:p>
        </w:tc>
        <w:tc>
          <w:tcPr>
            <w:tcW w:w="60" w:type="dxa"/>
            <w:vAlign w:val="bottom"/>
          </w:tcPr>
          <w:p>
            <w:pPr>
              <w:spacing w:after="0"/>
              <w:rPr>
                <w:sz w:val="15"/>
                <w:szCs w:val="15"/>
                <w:color w:val="auto"/>
              </w:rPr>
            </w:pPr>
          </w:p>
        </w:tc>
        <w:tc>
          <w:tcPr>
            <w:tcW w:w="3660" w:type="dxa"/>
            <w:vAlign w:val="bottom"/>
            <w:gridSpan w:val="21"/>
          </w:tcPr>
          <w:p>
            <w:pPr>
              <w:spacing w:after="0" w:line="182" w:lineRule="exact"/>
              <w:rPr>
                <w:rFonts w:ascii="Arial" w:cs="Arial" w:eastAsia="Arial" w:hAnsi="Arial"/>
                <w:sz w:val="18"/>
                <w:szCs w:val="18"/>
                <w:color w:val="0000EE"/>
              </w:rPr>
            </w:pPr>
            <w:hyperlink r:id="rId93">
              <w:r>
                <w:rPr>
                  <w:rFonts w:ascii="Arial" w:cs="Arial" w:eastAsia="Arial" w:hAnsi="Arial"/>
                  <w:sz w:val="18"/>
                  <w:szCs w:val="18"/>
                  <w:color w:val="0000EE"/>
                </w:rPr>
                <w:t>Amended and Restated Certificate of</w:t>
              </w:r>
            </w:hyperlink>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Incorporation of the Registrant.</w:t>
              </w:r>
            </w:hyperlink>
          </w:p>
        </w:tc>
        <w:tc>
          <w:tcPr>
            <w:tcW w:w="1000" w:type="dxa"/>
            <w:vAlign w:val="bottom"/>
            <w:gridSpan w:val="1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20" w:type="dxa"/>
            <w:vAlign w:val="bottom"/>
          </w:tcPr>
          <w:p>
            <w:pPr>
              <w:jc w:val="center"/>
              <w:ind w:right="410"/>
              <w:spacing w:after="0"/>
              <w:rPr>
                <w:sz w:val="20"/>
                <w:szCs w:val="20"/>
                <w:color w:val="auto"/>
              </w:rPr>
            </w:pPr>
            <w:r>
              <w:rPr>
                <w:rFonts w:ascii="Arial" w:cs="Arial" w:eastAsia="Arial" w:hAnsi="Arial"/>
                <w:sz w:val="18"/>
                <w:szCs w:val="18"/>
                <w:color w:val="auto"/>
                <w:w w:val="87"/>
              </w:rPr>
              <w:t>3.2</w:t>
            </w:r>
          </w:p>
        </w:tc>
        <w:tc>
          <w:tcPr>
            <w:tcW w:w="60" w:type="dxa"/>
            <w:vAlign w:val="bottom"/>
          </w:tcPr>
          <w:p>
            <w:pPr>
              <w:spacing w:after="0"/>
              <w:rPr>
                <w:sz w:val="18"/>
                <w:szCs w:val="18"/>
                <w:color w:val="auto"/>
              </w:rPr>
            </w:pPr>
          </w:p>
        </w:tc>
        <w:tc>
          <w:tcPr>
            <w:tcW w:w="3560" w:type="dxa"/>
            <w:vAlign w:val="bottom"/>
            <w:tcBorders>
              <w:bottom w:val="single" w:sz="8" w:color="0000EE"/>
            </w:tcBorders>
            <w:gridSpan w:val="18"/>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Amended and Restated Bylaws of the Registrant.</w:t>
              </w:r>
            </w:hyperlink>
          </w:p>
        </w:tc>
        <w:tc>
          <w:tcPr>
            <w:tcW w:w="100" w:type="dxa"/>
            <w:vAlign w:val="bottom"/>
            <w:gridSpan w:val="3"/>
          </w:tcPr>
          <w:p>
            <w:pPr>
              <w:spacing w:after="0"/>
              <w:rPr>
                <w:sz w:val="18"/>
                <w:szCs w:val="18"/>
                <w:color w:val="auto"/>
              </w:rPr>
            </w:pPr>
          </w:p>
        </w:tc>
      </w:tr>
      <w:tr>
        <w:trPr>
          <w:trHeight w:val="210"/>
        </w:trPr>
        <w:tc>
          <w:tcPr>
            <w:tcW w:w="920" w:type="dxa"/>
            <w:vAlign w:val="bottom"/>
          </w:tcPr>
          <w:p>
            <w:pPr>
              <w:jc w:val="center"/>
              <w:ind w:right="410"/>
              <w:spacing w:after="0"/>
              <w:rPr>
                <w:sz w:val="20"/>
                <w:szCs w:val="20"/>
                <w:color w:val="auto"/>
              </w:rPr>
            </w:pPr>
            <w:r>
              <w:rPr>
                <w:rFonts w:ascii="Arial" w:cs="Arial" w:eastAsia="Arial" w:hAnsi="Arial"/>
                <w:sz w:val="18"/>
                <w:szCs w:val="18"/>
                <w:color w:val="auto"/>
                <w:w w:val="93"/>
              </w:rPr>
              <w:t>10.1#</w:t>
            </w:r>
          </w:p>
        </w:tc>
        <w:tc>
          <w:tcPr>
            <w:tcW w:w="60" w:type="dxa"/>
            <w:vAlign w:val="bottom"/>
          </w:tcPr>
          <w:p>
            <w:pPr>
              <w:spacing w:after="0"/>
              <w:rPr>
                <w:sz w:val="18"/>
                <w:szCs w:val="18"/>
                <w:color w:val="auto"/>
              </w:rPr>
            </w:pPr>
          </w:p>
        </w:tc>
        <w:tc>
          <w:tcPr>
            <w:tcW w:w="3420" w:type="dxa"/>
            <w:vAlign w:val="bottom"/>
            <w:tcBorders>
              <w:bottom w:val="single" w:sz="8" w:color="0000EE"/>
            </w:tcBorders>
            <w:gridSpan w:val="12"/>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Personalis, Inc. 2019 Equity Incentive Plan and</w:t>
              </w:r>
            </w:hyperlink>
          </w:p>
        </w:tc>
        <w:tc>
          <w:tcPr>
            <w:tcW w:w="240" w:type="dxa"/>
            <w:vAlign w:val="bottom"/>
            <w:gridSpan w:val="9"/>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60" w:type="dxa"/>
            <w:vAlign w:val="bottom"/>
            <w:gridSpan w:val="21"/>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forms of agreements thereunder.</w:t>
              </w:r>
            </w:hyperlink>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20" w:type="dxa"/>
            <w:vAlign w:val="bottom"/>
          </w:tcPr>
          <w:p>
            <w:pPr>
              <w:jc w:val="center"/>
              <w:ind w:right="410"/>
              <w:spacing w:after="0"/>
              <w:rPr>
                <w:sz w:val="20"/>
                <w:szCs w:val="20"/>
                <w:color w:val="auto"/>
              </w:rPr>
            </w:pPr>
            <w:r>
              <w:rPr>
                <w:rFonts w:ascii="Arial" w:cs="Arial" w:eastAsia="Arial" w:hAnsi="Arial"/>
                <w:sz w:val="18"/>
                <w:szCs w:val="18"/>
                <w:color w:val="auto"/>
                <w:w w:val="93"/>
              </w:rPr>
              <w:t>10.2#</w:t>
            </w:r>
          </w:p>
        </w:tc>
        <w:tc>
          <w:tcPr>
            <w:tcW w:w="60" w:type="dxa"/>
            <w:vAlign w:val="bottom"/>
          </w:tcPr>
          <w:p>
            <w:pPr>
              <w:spacing w:after="0"/>
              <w:rPr>
                <w:sz w:val="18"/>
                <w:szCs w:val="18"/>
                <w:color w:val="auto"/>
              </w:rPr>
            </w:pPr>
          </w:p>
        </w:tc>
        <w:tc>
          <w:tcPr>
            <w:tcW w:w="3440" w:type="dxa"/>
            <w:vAlign w:val="bottom"/>
            <w:tcBorders>
              <w:bottom w:val="single" w:sz="8" w:color="0000EE"/>
            </w:tcBorders>
            <w:gridSpan w:val="13"/>
          </w:tcPr>
          <w:p>
            <w:pPr>
              <w:spacing w:after="0"/>
              <w:rPr>
                <w:rFonts w:ascii="Arial" w:cs="Arial" w:eastAsia="Arial" w:hAnsi="Arial"/>
                <w:sz w:val="18"/>
                <w:szCs w:val="18"/>
                <w:color w:val="0000EE"/>
                <w:w w:val="89"/>
              </w:rPr>
            </w:pPr>
            <w:hyperlink r:id="rId96">
              <w:r>
                <w:rPr>
                  <w:rFonts w:ascii="Arial" w:cs="Arial" w:eastAsia="Arial" w:hAnsi="Arial"/>
                  <w:sz w:val="18"/>
                  <w:szCs w:val="18"/>
                  <w:color w:val="0000EE"/>
                  <w:w w:val="89"/>
                </w:rPr>
                <w:t>Personalis, Inc. 2019 Employee Stock Purchase</w:t>
              </w:r>
            </w:hyperlink>
          </w:p>
        </w:tc>
        <w:tc>
          <w:tcPr>
            <w:tcW w:w="220" w:type="dxa"/>
            <w:vAlign w:val="bottom"/>
            <w:gridSpan w:val="8"/>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60" w:type="dxa"/>
            <w:vAlign w:val="bottom"/>
            <w:gridSpan w:val="21"/>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Plan.</w:t>
              </w:r>
            </w:hyperlink>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20" w:type="dxa"/>
            <w:vAlign w:val="bottom"/>
          </w:tcPr>
          <w:p>
            <w:pPr>
              <w:jc w:val="center"/>
              <w:ind w:right="410"/>
              <w:spacing w:after="0"/>
              <w:rPr>
                <w:sz w:val="20"/>
                <w:szCs w:val="20"/>
                <w:color w:val="auto"/>
              </w:rPr>
            </w:pPr>
            <w:r>
              <w:rPr>
                <w:rFonts w:ascii="Arial" w:cs="Arial" w:eastAsia="Arial" w:hAnsi="Arial"/>
                <w:sz w:val="18"/>
                <w:szCs w:val="18"/>
                <w:color w:val="auto"/>
                <w:w w:val="93"/>
              </w:rPr>
              <w:t>10.3#</w:t>
            </w:r>
          </w:p>
        </w:tc>
        <w:tc>
          <w:tcPr>
            <w:tcW w:w="60" w:type="dxa"/>
            <w:vAlign w:val="bottom"/>
          </w:tcPr>
          <w:p>
            <w:pPr>
              <w:spacing w:after="0"/>
              <w:rPr>
                <w:sz w:val="18"/>
                <w:szCs w:val="18"/>
                <w:color w:val="auto"/>
              </w:rPr>
            </w:pPr>
          </w:p>
        </w:tc>
        <w:tc>
          <w:tcPr>
            <w:tcW w:w="3660" w:type="dxa"/>
            <w:vAlign w:val="bottom"/>
            <w:gridSpan w:val="21"/>
          </w:tcPr>
          <w:p>
            <w:pPr>
              <w:spacing w:after="0"/>
              <w:rPr>
                <w:rFonts w:ascii="Arial" w:cs="Arial" w:eastAsia="Arial" w:hAnsi="Arial"/>
                <w:sz w:val="18"/>
                <w:szCs w:val="18"/>
                <w:color w:val="0000EE"/>
                <w:w w:val="95"/>
              </w:rPr>
            </w:pPr>
            <w:hyperlink r:id="rId97">
              <w:r>
                <w:rPr>
                  <w:rFonts w:ascii="Arial" w:cs="Arial" w:eastAsia="Arial" w:hAnsi="Arial"/>
                  <w:sz w:val="18"/>
                  <w:szCs w:val="18"/>
                  <w:color w:val="0000EE"/>
                  <w:w w:val="95"/>
                </w:rPr>
                <w:t>Form of Indemnification Agreement entered into</w:t>
              </w:r>
            </w:hyperlink>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20" w:type="dxa"/>
            <w:vAlign w:val="bottom"/>
            <w:tcBorders>
              <w:top w:val="single" w:sz="8" w:color="0000EE"/>
            </w:tcBorders>
            <w:gridSpan w:val="16"/>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by and between the Registrant and each director</w:t>
              </w:r>
            </w:hyperlink>
          </w:p>
        </w:tc>
        <w:tc>
          <w:tcPr>
            <w:tcW w:w="140" w:type="dxa"/>
            <w:vAlign w:val="bottom"/>
            <w:gridSpan w:val="5"/>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97">
              <w:r>
                <w:rPr>
                  <w:rFonts w:ascii="Arial" w:cs="Arial" w:eastAsia="Arial" w:hAnsi="Arial"/>
                  <w:sz w:val="18"/>
                  <w:szCs w:val="18"/>
                  <w:color w:val="0000EE"/>
                  <w:w w:val="90"/>
                </w:rPr>
                <w:t>and executive officer.</w:t>
              </w:r>
            </w:hyperlink>
          </w:p>
        </w:tc>
        <w:tc>
          <w:tcPr>
            <w:tcW w:w="1900" w:type="dxa"/>
            <w:vAlign w:val="bottom"/>
            <w:tcBorders>
              <w:top w:val="single" w:sz="8" w:color="0000EE"/>
            </w:tcBorders>
            <w:gridSpan w:val="10"/>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210"/>
        </w:trPr>
        <w:tc>
          <w:tcPr>
            <w:tcW w:w="920" w:type="dxa"/>
            <w:vAlign w:val="bottom"/>
          </w:tcPr>
          <w:p>
            <w:pPr>
              <w:jc w:val="center"/>
              <w:ind w:right="410"/>
              <w:spacing w:after="0"/>
              <w:rPr>
                <w:sz w:val="20"/>
                <w:szCs w:val="20"/>
                <w:color w:val="auto"/>
              </w:rPr>
            </w:pPr>
            <w:r>
              <w:rPr>
                <w:rFonts w:ascii="Arial" w:cs="Arial" w:eastAsia="Arial" w:hAnsi="Arial"/>
                <w:sz w:val="18"/>
                <w:szCs w:val="18"/>
                <w:color w:val="auto"/>
                <w:w w:val="93"/>
              </w:rPr>
              <w:t>10.4#</w:t>
            </w:r>
          </w:p>
        </w:tc>
        <w:tc>
          <w:tcPr>
            <w:tcW w:w="60" w:type="dxa"/>
            <w:vAlign w:val="bottom"/>
          </w:tcPr>
          <w:p>
            <w:pPr>
              <w:spacing w:after="0"/>
              <w:rPr>
                <w:sz w:val="18"/>
                <w:szCs w:val="18"/>
                <w:color w:val="auto"/>
              </w:rPr>
            </w:pPr>
          </w:p>
        </w:tc>
        <w:tc>
          <w:tcPr>
            <w:tcW w:w="3500" w:type="dxa"/>
            <w:vAlign w:val="bottom"/>
            <w:tcBorders>
              <w:bottom w:val="single" w:sz="8" w:color="0000EE"/>
            </w:tcBorders>
            <w:gridSpan w:val="15"/>
          </w:tcPr>
          <w:p>
            <w:pPr>
              <w:spacing w:after="0"/>
              <w:rPr>
                <w:rFonts w:ascii="Arial" w:cs="Arial" w:eastAsia="Arial" w:hAnsi="Arial"/>
                <w:sz w:val="18"/>
                <w:szCs w:val="18"/>
                <w:color w:val="0000EE"/>
                <w:w w:val="89"/>
              </w:rPr>
            </w:pPr>
            <w:hyperlink r:id="rId98">
              <w:r>
                <w:rPr>
                  <w:rFonts w:ascii="Arial" w:cs="Arial" w:eastAsia="Arial" w:hAnsi="Arial"/>
                  <w:sz w:val="18"/>
                  <w:szCs w:val="18"/>
                  <w:color w:val="0000EE"/>
                  <w:w w:val="89"/>
                </w:rPr>
                <w:t>Employment Terms Letter, by and between John</w:t>
              </w:r>
            </w:hyperlink>
          </w:p>
        </w:tc>
        <w:tc>
          <w:tcPr>
            <w:tcW w:w="160" w:type="dxa"/>
            <w:vAlign w:val="bottom"/>
            <w:gridSpan w:val="6"/>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r:id="rId98">
              <w:r>
                <w:rPr>
                  <w:rFonts w:ascii="Arial" w:cs="Arial" w:eastAsia="Arial" w:hAnsi="Arial"/>
                  <w:sz w:val="18"/>
                  <w:szCs w:val="18"/>
                  <w:color w:val="0000EE"/>
                  <w:w w:val="87"/>
                </w:rPr>
                <w:t>West and the Registrant, dated June 2, 2019.</w:t>
              </w:r>
            </w:hyperlink>
          </w:p>
        </w:tc>
        <w:tc>
          <w:tcPr>
            <w:tcW w:w="460" w:type="dxa"/>
            <w:vAlign w:val="bottom"/>
            <w:gridSpan w:val="12"/>
          </w:tcPr>
          <w:p>
            <w:pPr>
              <w:spacing w:after="0"/>
              <w:rPr>
                <w:sz w:val="17"/>
                <w:szCs w:val="17"/>
                <w:color w:val="auto"/>
              </w:rPr>
            </w:pPr>
          </w:p>
        </w:tc>
      </w:tr>
      <w:tr>
        <w:trPr>
          <w:trHeight w:val="210"/>
        </w:trPr>
        <w:tc>
          <w:tcPr>
            <w:tcW w:w="920" w:type="dxa"/>
            <w:vAlign w:val="bottom"/>
          </w:tcPr>
          <w:p>
            <w:pPr>
              <w:jc w:val="center"/>
              <w:ind w:right="410"/>
              <w:spacing w:after="0"/>
              <w:rPr>
                <w:sz w:val="20"/>
                <w:szCs w:val="20"/>
                <w:color w:val="auto"/>
              </w:rPr>
            </w:pPr>
            <w:r>
              <w:rPr>
                <w:rFonts w:ascii="Arial" w:cs="Arial" w:eastAsia="Arial" w:hAnsi="Arial"/>
                <w:sz w:val="18"/>
                <w:szCs w:val="18"/>
                <w:color w:val="auto"/>
                <w:w w:val="93"/>
              </w:rPr>
              <w:t>10.5#</w:t>
            </w:r>
          </w:p>
        </w:tc>
        <w:tc>
          <w:tcPr>
            <w:tcW w:w="60" w:type="dxa"/>
            <w:vAlign w:val="bottom"/>
          </w:tcPr>
          <w:p>
            <w:pPr>
              <w:spacing w:after="0"/>
              <w:rPr>
                <w:sz w:val="18"/>
                <w:szCs w:val="18"/>
                <w:color w:val="auto"/>
              </w:rPr>
            </w:pPr>
          </w:p>
        </w:tc>
        <w:tc>
          <w:tcPr>
            <w:tcW w:w="3100" w:type="dxa"/>
            <w:vAlign w:val="bottom"/>
            <w:tcBorders>
              <w:bottom w:val="single" w:sz="8" w:color="0000EE"/>
            </w:tcBorders>
            <w:gridSpan w:val="8"/>
          </w:tcPr>
          <w:p>
            <w:pPr>
              <w:spacing w:after="0"/>
              <w:rPr>
                <w:rFonts w:ascii="Arial" w:cs="Arial" w:eastAsia="Arial" w:hAnsi="Arial"/>
                <w:sz w:val="18"/>
                <w:szCs w:val="18"/>
                <w:color w:val="0000EE"/>
                <w:w w:val="88"/>
              </w:rPr>
            </w:pPr>
            <w:hyperlink r:id="rId99">
              <w:r>
                <w:rPr>
                  <w:rFonts w:ascii="Arial" w:cs="Arial" w:eastAsia="Arial" w:hAnsi="Arial"/>
                  <w:sz w:val="18"/>
                  <w:szCs w:val="18"/>
                  <w:color w:val="0000EE"/>
                  <w:w w:val="88"/>
                </w:rPr>
                <w:t>Employment Terms Letter, by and between</w:t>
              </w:r>
            </w:hyperlink>
          </w:p>
        </w:tc>
        <w:tc>
          <w:tcPr>
            <w:tcW w:w="560" w:type="dxa"/>
            <w:vAlign w:val="bottom"/>
            <w:gridSpan w:val="13"/>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Clinton Musil and the Registrant, dated June 2,</w:t>
              </w:r>
            </w:hyperlink>
          </w:p>
        </w:tc>
        <w:tc>
          <w:tcPr>
            <w:tcW w:w="260" w:type="dxa"/>
            <w:vAlign w:val="bottom"/>
            <w:gridSpan w:val="10"/>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r:id="rId99">
              <w:r>
                <w:rPr>
                  <w:rFonts w:ascii="Arial" w:cs="Arial" w:eastAsia="Arial" w:hAnsi="Arial"/>
                  <w:sz w:val="18"/>
                  <w:szCs w:val="18"/>
                  <w:color w:val="0000EE"/>
                  <w:w w:val="84"/>
                </w:rPr>
                <w:t>2019.</w:t>
              </w:r>
            </w:hyperlink>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920" w:type="dxa"/>
            <w:vAlign w:val="bottom"/>
          </w:tcPr>
          <w:p>
            <w:pPr>
              <w:jc w:val="center"/>
              <w:ind w:right="410"/>
              <w:spacing w:after="0"/>
              <w:rPr>
                <w:sz w:val="20"/>
                <w:szCs w:val="20"/>
                <w:color w:val="auto"/>
              </w:rPr>
            </w:pPr>
            <w:r>
              <w:rPr>
                <w:rFonts w:ascii="Arial" w:cs="Arial" w:eastAsia="Arial" w:hAnsi="Arial"/>
                <w:sz w:val="18"/>
                <w:szCs w:val="18"/>
                <w:color w:val="auto"/>
                <w:w w:val="93"/>
              </w:rPr>
              <w:t>10.6#</w:t>
            </w:r>
          </w:p>
        </w:tc>
        <w:tc>
          <w:tcPr>
            <w:tcW w:w="60" w:type="dxa"/>
            <w:vAlign w:val="bottom"/>
          </w:tcPr>
          <w:p>
            <w:pPr>
              <w:spacing w:after="0"/>
              <w:rPr>
                <w:sz w:val="18"/>
                <w:szCs w:val="18"/>
                <w:color w:val="auto"/>
              </w:rPr>
            </w:pPr>
          </w:p>
        </w:tc>
        <w:tc>
          <w:tcPr>
            <w:tcW w:w="3660" w:type="dxa"/>
            <w:vAlign w:val="bottom"/>
            <w:gridSpan w:val="21"/>
          </w:tcPr>
          <w:p>
            <w:pPr>
              <w:spacing w:after="0"/>
              <w:rPr>
                <w:rFonts w:ascii="Arial" w:cs="Arial" w:eastAsia="Arial" w:hAnsi="Arial"/>
                <w:sz w:val="18"/>
                <w:szCs w:val="18"/>
                <w:color w:val="0000EE"/>
              </w:rPr>
            </w:pPr>
            <w:hyperlink r:id="rId100">
              <w:r>
                <w:rPr>
                  <w:rFonts w:ascii="Arial" w:cs="Arial" w:eastAsia="Arial" w:hAnsi="Arial"/>
                  <w:sz w:val="18"/>
                  <w:szCs w:val="18"/>
                  <w:color w:val="0000EE"/>
                </w:rPr>
                <w:t>Employment Terms Letter, by and between</w:t>
              </w:r>
            </w:hyperlink>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0" w:type="dxa"/>
            <w:vAlign w:val="bottom"/>
            <w:tcBorders>
              <w:right w:val="single" w:sz="8" w:color="0000EE"/>
            </w:tcBorders>
            <w:gridSpan w:val="5"/>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6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r:id="rId100">
              <w:r>
                <w:rPr>
                  <w:rFonts w:ascii="Arial" w:cs="Arial" w:eastAsia="Arial" w:hAnsi="Arial"/>
                  <w:sz w:val="18"/>
                  <w:szCs w:val="18"/>
                  <w:color w:val="0000EE"/>
                  <w:w w:val="88"/>
                </w:rPr>
                <w:t>Dr. Richard Chen and the Registrant, dated June 2,</w:t>
              </w:r>
            </w:hyperlink>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r:id="rId100">
              <w:r>
                <w:rPr>
                  <w:rFonts w:ascii="Arial" w:cs="Arial" w:eastAsia="Arial" w:hAnsi="Arial"/>
                  <w:sz w:val="18"/>
                  <w:szCs w:val="18"/>
                  <w:color w:val="0000EE"/>
                  <w:w w:val="84"/>
                </w:rPr>
                <w:t>2019.</w:t>
              </w:r>
            </w:hyperlink>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920" w:type="dxa"/>
            <w:vAlign w:val="bottom"/>
          </w:tcPr>
          <w:p>
            <w:pPr>
              <w:jc w:val="center"/>
              <w:ind w:right="410"/>
              <w:spacing w:after="0"/>
              <w:rPr>
                <w:sz w:val="20"/>
                <w:szCs w:val="20"/>
                <w:color w:val="auto"/>
              </w:rPr>
            </w:pPr>
            <w:r>
              <w:rPr>
                <w:rFonts w:ascii="Arial" w:cs="Arial" w:eastAsia="Arial" w:hAnsi="Arial"/>
                <w:sz w:val="18"/>
                <w:szCs w:val="18"/>
                <w:color w:val="auto"/>
                <w:w w:val="93"/>
              </w:rPr>
              <w:t>10.7#</w:t>
            </w:r>
          </w:p>
        </w:tc>
        <w:tc>
          <w:tcPr>
            <w:tcW w:w="60" w:type="dxa"/>
            <w:vAlign w:val="bottom"/>
          </w:tcPr>
          <w:p>
            <w:pPr>
              <w:spacing w:after="0"/>
              <w:rPr>
                <w:sz w:val="18"/>
                <w:szCs w:val="18"/>
                <w:color w:val="auto"/>
              </w:rPr>
            </w:pPr>
          </w:p>
        </w:tc>
        <w:tc>
          <w:tcPr>
            <w:tcW w:w="3660" w:type="dxa"/>
            <w:vAlign w:val="bottom"/>
            <w:gridSpan w:val="21"/>
          </w:tcPr>
          <w:p>
            <w:pPr>
              <w:spacing w:after="0"/>
              <w:rPr>
                <w:rFonts w:ascii="Arial" w:cs="Arial" w:eastAsia="Arial" w:hAnsi="Arial"/>
                <w:sz w:val="18"/>
                <w:szCs w:val="18"/>
                <w:color w:val="0000EE"/>
                <w:w w:val="91"/>
              </w:rPr>
            </w:pPr>
            <w:hyperlink r:id="rId101">
              <w:r>
                <w:rPr>
                  <w:rFonts w:ascii="Arial" w:cs="Arial" w:eastAsia="Arial" w:hAnsi="Arial"/>
                  <w:sz w:val="18"/>
                  <w:szCs w:val="18"/>
                  <w:color w:val="0000EE"/>
                  <w:w w:val="91"/>
                </w:rPr>
                <w:t>Employment Terms Letter, by and between Aaron</w:t>
              </w:r>
            </w:hyperlink>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7"/>
              </w:rPr>
            </w:pPr>
            <w:hyperlink r:id="rId101">
              <w:r>
                <w:rPr>
                  <w:rFonts w:ascii="Arial" w:cs="Arial" w:eastAsia="Arial" w:hAnsi="Arial"/>
                  <w:sz w:val="18"/>
                  <w:szCs w:val="18"/>
                  <w:color w:val="0000EE"/>
                  <w:w w:val="87"/>
                </w:rPr>
                <w:t>Tachibana and the Registrant, dated June 2, 2019.</w:t>
              </w:r>
            </w:hyperlink>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920" w:type="dxa"/>
            <w:vAlign w:val="bottom"/>
          </w:tcPr>
          <w:p>
            <w:pPr>
              <w:jc w:val="center"/>
              <w:ind w:right="410"/>
              <w:spacing w:after="0"/>
              <w:rPr>
                <w:sz w:val="20"/>
                <w:szCs w:val="20"/>
                <w:color w:val="auto"/>
              </w:rPr>
            </w:pPr>
            <w:r>
              <w:rPr>
                <w:rFonts w:ascii="Arial" w:cs="Arial" w:eastAsia="Arial" w:hAnsi="Arial"/>
                <w:sz w:val="18"/>
                <w:szCs w:val="18"/>
                <w:color w:val="auto"/>
                <w:w w:val="99"/>
              </w:rPr>
              <w:t>31.1*</w:t>
            </w:r>
          </w:p>
        </w:tc>
        <w:tc>
          <w:tcPr>
            <w:tcW w:w="60" w:type="dxa"/>
            <w:vAlign w:val="bottom"/>
          </w:tcPr>
          <w:p>
            <w:pPr>
              <w:spacing w:after="0"/>
              <w:rPr>
                <w:sz w:val="18"/>
                <w:szCs w:val="18"/>
                <w:color w:val="auto"/>
              </w:rPr>
            </w:pPr>
          </w:p>
        </w:tc>
        <w:tc>
          <w:tcPr>
            <w:tcW w:w="3660" w:type="dxa"/>
            <w:vAlign w:val="bottom"/>
            <w:gridSpan w:val="21"/>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Certification of Principal Executive Officer</w:t>
              </w:r>
            </w:hyperlink>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0" w:type="dxa"/>
            <w:vAlign w:val="bottom"/>
            <w:tcBorders>
              <w:right w:val="single" w:sz="8" w:color="0000EE"/>
            </w:tcBorders>
            <w:gridSpan w:val="5"/>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60" w:type="dxa"/>
            <w:vAlign w:val="bottom"/>
            <w:gridSpan w:val="21"/>
          </w:tcPr>
          <w:p>
            <w:pPr>
              <w:spacing w:after="0" w:line="196" w:lineRule="exact"/>
              <w:rPr>
                <w:rFonts w:ascii="Arial" w:cs="Arial" w:eastAsia="Arial" w:hAnsi="Arial"/>
                <w:sz w:val="18"/>
                <w:szCs w:val="18"/>
                <w:color w:val="0000EE"/>
                <w:w w:val="92"/>
              </w:rPr>
            </w:pPr>
            <w:hyperlink w:anchor="page73">
              <w:r>
                <w:rPr>
                  <w:rFonts w:ascii="Arial" w:cs="Arial" w:eastAsia="Arial" w:hAnsi="Arial"/>
                  <w:sz w:val="18"/>
                  <w:szCs w:val="18"/>
                  <w:color w:val="0000EE"/>
                  <w:w w:val="92"/>
                </w:rPr>
                <w:t>Pursuant to Rules 13a-14(a) and 15d-14(a) under</w:t>
              </w:r>
            </w:hyperlink>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0" w:type="dxa"/>
            <w:vAlign w:val="bottom"/>
            <w:tcBorders>
              <w:right w:val="single" w:sz="8" w:color="0000EE"/>
            </w:tcBorders>
            <w:gridSpan w:val="5"/>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the Securities Exchange Act of 1934, as Adopted</w:t>
              </w:r>
            </w:hyperlink>
          </w:p>
        </w:tc>
        <w:tc>
          <w:tcPr>
            <w:tcW w:w="12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60" w:type="dxa"/>
            <w:vAlign w:val="bottom"/>
            <w:gridSpan w:val="21"/>
          </w:tcPr>
          <w:p>
            <w:pPr>
              <w:spacing w:after="0" w:line="196" w:lineRule="exact"/>
              <w:rPr>
                <w:rFonts w:ascii="Arial" w:cs="Arial" w:eastAsia="Arial" w:hAnsi="Arial"/>
                <w:sz w:val="18"/>
                <w:szCs w:val="18"/>
                <w:color w:val="0000EE"/>
                <w:w w:val="96"/>
              </w:rPr>
            </w:pPr>
            <w:hyperlink w:anchor="page73">
              <w:r>
                <w:rPr>
                  <w:rFonts w:ascii="Arial" w:cs="Arial" w:eastAsia="Arial" w:hAnsi="Arial"/>
                  <w:sz w:val="18"/>
                  <w:szCs w:val="18"/>
                  <w:color w:val="0000EE"/>
                  <w:w w:val="96"/>
                </w:rPr>
                <w:t>Pursuant to Section 302 of the Sarbanes-Oxley</w:t>
              </w:r>
            </w:hyperlink>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Act of 2002.</w:t>
              </w:r>
            </w:hyperlink>
          </w:p>
        </w:tc>
        <w:tc>
          <w:tcPr>
            <w:tcW w:w="300" w:type="dxa"/>
            <w:vAlign w:val="bottom"/>
            <w:gridSpan w:val="11"/>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200" w:type="dxa"/>
            <w:vAlign w:val="bottom"/>
            <w:gridSpan w:val="5"/>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210"/>
        </w:trPr>
        <w:tc>
          <w:tcPr>
            <w:tcW w:w="920" w:type="dxa"/>
            <w:vAlign w:val="bottom"/>
          </w:tcPr>
          <w:p>
            <w:pPr>
              <w:jc w:val="center"/>
              <w:ind w:right="410"/>
              <w:spacing w:after="0"/>
              <w:rPr>
                <w:sz w:val="20"/>
                <w:szCs w:val="20"/>
                <w:color w:val="auto"/>
              </w:rPr>
            </w:pPr>
            <w:r>
              <w:rPr>
                <w:rFonts w:ascii="Arial" w:cs="Arial" w:eastAsia="Arial" w:hAnsi="Arial"/>
                <w:sz w:val="18"/>
                <w:szCs w:val="18"/>
                <w:color w:val="auto"/>
                <w:w w:val="99"/>
              </w:rPr>
              <w:t>31.2*</w:t>
            </w:r>
          </w:p>
        </w:tc>
        <w:tc>
          <w:tcPr>
            <w:tcW w:w="60" w:type="dxa"/>
            <w:vAlign w:val="bottom"/>
          </w:tcPr>
          <w:p>
            <w:pPr>
              <w:spacing w:after="0"/>
              <w:rPr>
                <w:sz w:val="18"/>
                <w:szCs w:val="18"/>
                <w:color w:val="auto"/>
              </w:rPr>
            </w:pPr>
          </w:p>
        </w:tc>
        <w:tc>
          <w:tcPr>
            <w:tcW w:w="310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74">
              <w:r>
                <w:rPr>
                  <w:rFonts w:ascii="Arial" w:cs="Arial" w:eastAsia="Arial" w:hAnsi="Arial"/>
                  <w:sz w:val="18"/>
                  <w:szCs w:val="18"/>
                  <w:color w:val="0000EE"/>
                  <w:w w:val="94"/>
                </w:rPr>
                <w:t>Certification of Principal Financial Officer</w:t>
              </w:r>
            </w:hyperlink>
          </w:p>
        </w:tc>
        <w:tc>
          <w:tcPr>
            <w:tcW w:w="560" w:type="dxa"/>
            <w:vAlign w:val="bottom"/>
            <w:gridSpan w:val="13"/>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60" w:type="dxa"/>
            <w:vAlign w:val="bottom"/>
            <w:gridSpan w:val="21"/>
          </w:tcPr>
          <w:p>
            <w:pPr>
              <w:spacing w:after="0" w:line="19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Pursuant to Rules 13a-14(a) and 15d-14(a) under</w:t>
              </w:r>
            </w:hyperlink>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60" w:type="dxa"/>
            <w:vAlign w:val="bottom"/>
            <w:gridSpan w:val="1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the Securities Exchange Act of 1934, as Adopted</w:t>
              </w:r>
            </w:hyperlink>
          </w:p>
        </w:tc>
        <w:tc>
          <w:tcPr>
            <w:tcW w:w="120" w:type="dxa"/>
            <w:vAlign w:val="bottom"/>
            <w:gridSpan w:val="4"/>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60" w:type="dxa"/>
            <w:vAlign w:val="bottom"/>
            <w:gridSpan w:val="21"/>
          </w:tcPr>
          <w:p>
            <w:pPr>
              <w:spacing w:after="0" w:line="196" w:lineRule="exact"/>
              <w:rPr>
                <w:rFonts w:ascii="Arial" w:cs="Arial" w:eastAsia="Arial" w:hAnsi="Arial"/>
                <w:sz w:val="18"/>
                <w:szCs w:val="18"/>
                <w:color w:val="0000EE"/>
                <w:w w:val="96"/>
              </w:rPr>
            </w:pPr>
            <w:hyperlink w:anchor="page74">
              <w:r>
                <w:rPr>
                  <w:rFonts w:ascii="Arial" w:cs="Arial" w:eastAsia="Arial" w:hAnsi="Arial"/>
                  <w:sz w:val="18"/>
                  <w:szCs w:val="18"/>
                  <w:color w:val="0000EE"/>
                  <w:w w:val="96"/>
                </w:rPr>
                <w:t>Pursuant to Section 302 of the Sarbanes-Oxley</w:t>
              </w:r>
            </w:hyperlink>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Act of 2002.</w:t>
              </w:r>
            </w:hyperlink>
          </w:p>
        </w:tc>
        <w:tc>
          <w:tcPr>
            <w:tcW w:w="300" w:type="dxa"/>
            <w:vAlign w:val="bottom"/>
            <w:gridSpan w:val="11"/>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560" w:type="dxa"/>
            <w:vAlign w:val="bottom"/>
            <w:gridSpan w:val="11"/>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210"/>
        </w:trPr>
        <w:tc>
          <w:tcPr>
            <w:tcW w:w="920" w:type="dxa"/>
            <w:vAlign w:val="bottom"/>
          </w:tcPr>
          <w:p>
            <w:pPr>
              <w:jc w:val="center"/>
              <w:ind w:right="410"/>
              <w:spacing w:after="0"/>
              <w:rPr>
                <w:sz w:val="20"/>
                <w:szCs w:val="20"/>
                <w:color w:val="auto"/>
              </w:rPr>
            </w:pPr>
            <w:r>
              <w:rPr>
                <w:rFonts w:ascii="Arial" w:cs="Arial" w:eastAsia="Arial" w:hAnsi="Arial"/>
                <w:sz w:val="18"/>
                <w:szCs w:val="18"/>
                <w:color w:val="auto"/>
                <w:w w:val="93"/>
              </w:rPr>
              <w:t>32.1†</w:t>
            </w:r>
          </w:p>
        </w:tc>
        <w:tc>
          <w:tcPr>
            <w:tcW w:w="60" w:type="dxa"/>
            <w:vAlign w:val="bottom"/>
          </w:tcPr>
          <w:p>
            <w:pPr>
              <w:spacing w:after="0"/>
              <w:rPr>
                <w:sz w:val="18"/>
                <w:szCs w:val="18"/>
                <w:color w:val="auto"/>
              </w:rPr>
            </w:pPr>
          </w:p>
        </w:tc>
        <w:tc>
          <w:tcPr>
            <w:tcW w:w="3660" w:type="dxa"/>
            <w:vAlign w:val="bottom"/>
            <w:gridSpan w:val="21"/>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Certification of Principal Executive Officer</w:t>
              </w:r>
            </w:hyperlink>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00" w:type="dxa"/>
            <w:vAlign w:val="bottom"/>
            <w:tcBorders>
              <w:right w:val="single" w:sz="8" w:color="0000EE"/>
            </w:tcBorders>
            <w:gridSpan w:val="8"/>
            <w:shd w:val="clear" w:color="auto" w:fill="0000EE"/>
          </w:tcPr>
          <w:p>
            <w:pPr>
              <w:spacing w:after="0" w:line="20" w:lineRule="exact"/>
              <w:rPr>
                <w:sz w:val="1"/>
                <w:szCs w:val="1"/>
                <w:color w:val="auto"/>
              </w:rPr>
            </w:pPr>
          </w:p>
        </w:tc>
        <w:tc>
          <w:tcPr>
            <w:tcW w:w="360" w:type="dxa"/>
            <w:vAlign w:val="bottom"/>
            <w:tcBorders>
              <w:left w:val="single" w:sz="8" w:color="0000EE"/>
            </w:tcBorders>
            <w:gridSpan w:val="6"/>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60" w:type="dxa"/>
            <w:vAlign w:val="bottom"/>
            <w:gridSpan w:val="21"/>
          </w:tcPr>
          <w:p>
            <w:pPr>
              <w:spacing w:after="0" w:line="196" w:lineRule="exact"/>
              <w:rPr>
                <w:rFonts w:ascii="Arial" w:cs="Arial" w:eastAsia="Arial" w:hAnsi="Arial"/>
                <w:sz w:val="18"/>
                <w:szCs w:val="18"/>
                <w:color w:val="0000EE"/>
                <w:w w:val="94"/>
              </w:rPr>
            </w:pPr>
            <w:hyperlink w:anchor="page75">
              <w:r>
                <w:rPr>
                  <w:rFonts w:ascii="Arial" w:cs="Arial" w:eastAsia="Arial" w:hAnsi="Arial"/>
                  <w:sz w:val="18"/>
                  <w:szCs w:val="18"/>
                  <w:color w:val="0000EE"/>
                  <w:w w:val="94"/>
                </w:rPr>
                <w:t>Pursuant to 18 U.S.C. Section 1350, as Adopted</w:t>
              </w:r>
            </w:hyperlink>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60" w:type="dxa"/>
            <w:vAlign w:val="bottom"/>
            <w:tcBorders>
              <w:top w:val="single" w:sz="8" w:color="0000EE"/>
            </w:tcBorders>
            <w:gridSpan w:val="14"/>
          </w:tcPr>
          <w:p>
            <w:pPr>
              <w:spacing w:after="0" w:line="196" w:lineRule="exact"/>
              <w:rPr>
                <w:rFonts w:ascii="Arial" w:cs="Arial" w:eastAsia="Arial" w:hAnsi="Arial"/>
                <w:sz w:val="18"/>
                <w:szCs w:val="18"/>
                <w:color w:val="0000EE"/>
                <w:w w:val="91"/>
              </w:rPr>
            </w:pPr>
            <w:hyperlink w:anchor="page75">
              <w:r>
                <w:rPr>
                  <w:rFonts w:ascii="Arial" w:cs="Arial" w:eastAsia="Arial" w:hAnsi="Arial"/>
                  <w:sz w:val="18"/>
                  <w:szCs w:val="18"/>
                  <w:color w:val="0000EE"/>
                  <w:w w:val="91"/>
                </w:rPr>
                <w:t>Pursuant to Section 906 of the Sarbanes-Oxley</w:t>
              </w:r>
            </w:hyperlink>
          </w:p>
        </w:tc>
        <w:tc>
          <w:tcPr>
            <w:tcW w:w="20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Act of 2002.</w:t>
              </w:r>
            </w:hyperlink>
          </w:p>
        </w:tc>
        <w:tc>
          <w:tcPr>
            <w:tcW w:w="300" w:type="dxa"/>
            <w:vAlign w:val="bottom"/>
            <w:gridSpan w:val="11"/>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760" w:type="dxa"/>
            <w:vAlign w:val="bottom"/>
            <w:gridSpan w:val="18"/>
          </w:tcPr>
          <w:p>
            <w:pPr>
              <w:spacing w:after="0" w:line="20" w:lineRule="exact"/>
              <w:rPr>
                <w:sz w:val="1"/>
                <w:szCs w:val="1"/>
                <w:color w:val="auto"/>
              </w:rPr>
            </w:pPr>
          </w:p>
        </w:tc>
      </w:tr>
      <w:tr>
        <w:trPr>
          <w:trHeight w:val="210"/>
        </w:trPr>
        <w:tc>
          <w:tcPr>
            <w:tcW w:w="920" w:type="dxa"/>
            <w:vAlign w:val="bottom"/>
          </w:tcPr>
          <w:p>
            <w:pPr>
              <w:jc w:val="center"/>
              <w:ind w:right="410"/>
              <w:spacing w:after="0"/>
              <w:rPr>
                <w:sz w:val="20"/>
                <w:szCs w:val="20"/>
                <w:color w:val="auto"/>
              </w:rPr>
            </w:pPr>
            <w:r>
              <w:rPr>
                <w:rFonts w:ascii="Arial" w:cs="Arial" w:eastAsia="Arial" w:hAnsi="Arial"/>
                <w:sz w:val="18"/>
                <w:szCs w:val="18"/>
                <w:color w:val="auto"/>
                <w:w w:val="93"/>
              </w:rPr>
              <w:t>32.2†</w:t>
            </w:r>
          </w:p>
        </w:tc>
        <w:tc>
          <w:tcPr>
            <w:tcW w:w="60" w:type="dxa"/>
            <w:vAlign w:val="bottom"/>
          </w:tcPr>
          <w:p>
            <w:pPr>
              <w:spacing w:after="0"/>
              <w:rPr>
                <w:sz w:val="18"/>
                <w:szCs w:val="18"/>
                <w:color w:val="auto"/>
              </w:rPr>
            </w:pPr>
          </w:p>
        </w:tc>
        <w:tc>
          <w:tcPr>
            <w:tcW w:w="310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76">
              <w:r>
                <w:rPr>
                  <w:rFonts w:ascii="Arial" w:cs="Arial" w:eastAsia="Arial" w:hAnsi="Arial"/>
                  <w:sz w:val="18"/>
                  <w:szCs w:val="18"/>
                  <w:color w:val="0000EE"/>
                  <w:w w:val="94"/>
                </w:rPr>
                <w:t>Certification of Principal Financial Officer</w:t>
              </w:r>
            </w:hyperlink>
          </w:p>
        </w:tc>
        <w:tc>
          <w:tcPr>
            <w:tcW w:w="560" w:type="dxa"/>
            <w:vAlign w:val="bottom"/>
            <w:gridSpan w:val="13"/>
          </w:tcPr>
          <w:p>
            <w:pPr>
              <w:spacing w:after="0"/>
              <w:rPr>
                <w:sz w:val="18"/>
                <w:szCs w:val="18"/>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60" w:type="dxa"/>
            <w:vAlign w:val="bottom"/>
            <w:gridSpan w:val="21"/>
          </w:tcPr>
          <w:p>
            <w:pPr>
              <w:spacing w:after="0" w:line="196" w:lineRule="exact"/>
              <w:rPr>
                <w:rFonts w:ascii="Arial" w:cs="Arial" w:eastAsia="Arial" w:hAnsi="Arial"/>
                <w:sz w:val="18"/>
                <w:szCs w:val="18"/>
                <w:color w:val="0000EE"/>
                <w:w w:val="94"/>
              </w:rPr>
            </w:pPr>
            <w:hyperlink w:anchor="page76">
              <w:r>
                <w:rPr>
                  <w:rFonts w:ascii="Arial" w:cs="Arial" w:eastAsia="Arial" w:hAnsi="Arial"/>
                  <w:sz w:val="18"/>
                  <w:szCs w:val="18"/>
                  <w:color w:val="0000EE"/>
                  <w:w w:val="94"/>
                </w:rPr>
                <w:t>Pursuant to 18 U.S.C. Section 1350, as Adopted</w:t>
              </w:r>
            </w:hyperlink>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60" w:type="dxa"/>
            <w:vAlign w:val="bottom"/>
            <w:tcBorders>
              <w:top w:val="single" w:sz="8" w:color="0000EE"/>
            </w:tcBorders>
            <w:gridSpan w:val="14"/>
          </w:tcPr>
          <w:p>
            <w:pPr>
              <w:spacing w:after="0" w:line="196" w:lineRule="exact"/>
              <w:rPr>
                <w:rFonts w:ascii="Arial" w:cs="Arial" w:eastAsia="Arial" w:hAnsi="Arial"/>
                <w:sz w:val="18"/>
                <w:szCs w:val="18"/>
                <w:color w:val="0000EE"/>
                <w:w w:val="91"/>
              </w:rPr>
            </w:pPr>
            <w:hyperlink w:anchor="page76">
              <w:r>
                <w:rPr>
                  <w:rFonts w:ascii="Arial" w:cs="Arial" w:eastAsia="Arial" w:hAnsi="Arial"/>
                  <w:sz w:val="18"/>
                  <w:szCs w:val="18"/>
                  <w:color w:val="0000EE"/>
                  <w:w w:val="91"/>
                </w:rPr>
                <w:t>Pursuant to Section 906 of the Sarbanes-Oxley</w:t>
              </w:r>
            </w:hyperlink>
          </w:p>
        </w:tc>
        <w:tc>
          <w:tcPr>
            <w:tcW w:w="200" w:type="dxa"/>
            <w:vAlign w:val="bottom"/>
            <w:gridSpan w:val="7"/>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3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Act of 2002.</w:t>
              </w:r>
            </w:hyperlink>
          </w:p>
        </w:tc>
        <w:tc>
          <w:tcPr>
            <w:tcW w:w="300" w:type="dxa"/>
            <w:vAlign w:val="bottom"/>
            <w:gridSpan w:val="11"/>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2760" w:type="dxa"/>
            <w:vAlign w:val="bottom"/>
            <w:gridSpan w:val="18"/>
          </w:tcPr>
          <w:p>
            <w:pPr>
              <w:spacing w:after="0" w:line="20" w:lineRule="exact"/>
              <w:rPr>
                <w:sz w:val="1"/>
                <w:szCs w:val="1"/>
                <w:color w:val="auto"/>
              </w:rPr>
            </w:pPr>
          </w:p>
        </w:tc>
      </w:tr>
      <w:tr>
        <w:trPr>
          <w:trHeight w:val="249"/>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60" w:type="dxa"/>
            <w:vAlign w:val="bottom"/>
          </w:tcPr>
          <w:p>
            <w:pPr>
              <w:spacing w:after="0"/>
              <w:rPr>
                <w:sz w:val="21"/>
                <w:szCs w:val="21"/>
                <w:color w:val="auto"/>
              </w:rPr>
            </w:pPr>
          </w:p>
        </w:tc>
        <w:tc>
          <w:tcPr>
            <w:tcW w:w="3660" w:type="dxa"/>
            <w:vAlign w:val="bottom"/>
            <w:gridSpan w:val="21"/>
          </w:tcPr>
          <w:p>
            <w:pPr>
              <w:spacing w:after="0"/>
              <w:rPr>
                <w:sz w:val="20"/>
                <w:szCs w:val="20"/>
                <w:color w:val="auto"/>
              </w:rPr>
            </w:pPr>
            <w:r>
              <w:rPr>
                <w:rFonts w:ascii="Arial" w:cs="Arial" w:eastAsia="Arial" w:hAnsi="Arial"/>
                <w:sz w:val="18"/>
                <w:szCs w:val="18"/>
                <w:color w:val="auto"/>
              </w:rPr>
              <w:t>XBRL Instance Document</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60" w:type="dxa"/>
            <w:vAlign w:val="bottom"/>
          </w:tcPr>
          <w:p>
            <w:pPr>
              <w:spacing w:after="0"/>
              <w:rPr>
                <w:sz w:val="19"/>
                <w:szCs w:val="19"/>
                <w:color w:val="auto"/>
              </w:rPr>
            </w:pPr>
          </w:p>
        </w:tc>
        <w:tc>
          <w:tcPr>
            <w:tcW w:w="3660" w:type="dxa"/>
            <w:vAlign w:val="bottom"/>
            <w:gridSpan w:val="21"/>
          </w:tcPr>
          <w:p>
            <w:pPr>
              <w:spacing w:after="0"/>
              <w:rPr>
                <w:sz w:val="20"/>
                <w:szCs w:val="20"/>
                <w:color w:val="auto"/>
              </w:rPr>
            </w:pPr>
            <w:r>
              <w:rPr>
                <w:rFonts w:ascii="Arial" w:cs="Arial" w:eastAsia="Arial" w:hAnsi="Arial"/>
                <w:sz w:val="18"/>
                <w:szCs w:val="18"/>
                <w:color w:val="auto"/>
                <w:w w:val="96"/>
              </w:rPr>
              <w:t>XBRL Taxonomy Extension Schema 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60" w:type="dxa"/>
            <w:vAlign w:val="bottom"/>
          </w:tcPr>
          <w:p>
            <w:pPr>
              <w:spacing w:after="0"/>
              <w:rPr>
                <w:sz w:val="18"/>
                <w:szCs w:val="18"/>
                <w:color w:val="auto"/>
              </w:rPr>
            </w:pPr>
          </w:p>
        </w:tc>
        <w:tc>
          <w:tcPr>
            <w:tcW w:w="3660" w:type="dxa"/>
            <w:vAlign w:val="bottom"/>
            <w:gridSpan w:val="21"/>
          </w:tcPr>
          <w:p>
            <w:pPr>
              <w:spacing w:after="0"/>
              <w:rPr>
                <w:sz w:val="20"/>
                <w:szCs w:val="20"/>
                <w:color w:val="auto"/>
              </w:rPr>
            </w:pPr>
            <w:r>
              <w:rPr>
                <w:rFonts w:ascii="Arial" w:cs="Arial" w:eastAsia="Arial" w:hAnsi="Arial"/>
                <w:sz w:val="18"/>
                <w:szCs w:val="18"/>
                <w:color w:val="auto"/>
                <w:w w:val="93"/>
              </w:rPr>
              <w:t>XBRL Taxonomy Extension Calculation Linkbase</w:t>
            </w:r>
          </w:p>
        </w:tc>
      </w:tr>
      <w:tr>
        <w:trPr>
          <w:trHeight w:val="230"/>
        </w:trPr>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60" w:type="dxa"/>
            <w:vAlign w:val="bottom"/>
            <w:gridSpan w:val="21"/>
          </w:tcPr>
          <w:p>
            <w:pPr>
              <w:spacing w:after="0"/>
              <w:rPr>
                <w:sz w:val="20"/>
                <w:szCs w:val="20"/>
                <w:color w:val="auto"/>
              </w:rPr>
            </w:pPr>
            <w:r>
              <w:rPr>
                <w:rFonts w:ascii="Arial" w:cs="Arial" w:eastAsia="Arial" w:hAnsi="Arial"/>
                <w:sz w:val="18"/>
                <w:szCs w:val="18"/>
                <w:color w:val="auto"/>
              </w:rPr>
              <w:t>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60" w:type="dxa"/>
            <w:vAlign w:val="bottom"/>
          </w:tcPr>
          <w:p>
            <w:pPr>
              <w:spacing w:after="0"/>
              <w:rPr>
                <w:sz w:val="18"/>
                <w:szCs w:val="18"/>
                <w:color w:val="auto"/>
              </w:rPr>
            </w:pPr>
          </w:p>
        </w:tc>
        <w:tc>
          <w:tcPr>
            <w:tcW w:w="3660" w:type="dxa"/>
            <w:vAlign w:val="bottom"/>
            <w:gridSpan w:val="21"/>
          </w:tcPr>
          <w:p>
            <w:pPr>
              <w:spacing w:after="0"/>
              <w:rPr>
                <w:sz w:val="20"/>
                <w:szCs w:val="20"/>
                <w:color w:val="auto"/>
              </w:rPr>
            </w:pPr>
            <w:r>
              <w:rPr>
                <w:rFonts w:ascii="Arial" w:cs="Arial" w:eastAsia="Arial" w:hAnsi="Arial"/>
                <w:sz w:val="18"/>
                <w:szCs w:val="18"/>
                <w:color w:val="auto"/>
                <w:w w:val="96"/>
              </w:rPr>
              <w:t>XBRL Taxonomy Extension Definition Linkbase</w:t>
            </w:r>
          </w:p>
        </w:tc>
      </w:tr>
      <w:tr>
        <w:trPr>
          <w:trHeight w:val="230"/>
        </w:trPr>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60" w:type="dxa"/>
            <w:vAlign w:val="bottom"/>
            <w:gridSpan w:val="21"/>
          </w:tcPr>
          <w:p>
            <w:pPr>
              <w:spacing w:after="0"/>
              <w:rPr>
                <w:sz w:val="20"/>
                <w:szCs w:val="20"/>
                <w:color w:val="auto"/>
              </w:rPr>
            </w:pPr>
            <w:r>
              <w:rPr>
                <w:rFonts w:ascii="Arial" w:cs="Arial" w:eastAsia="Arial" w:hAnsi="Arial"/>
                <w:sz w:val="18"/>
                <w:szCs w:val="18"/>
                <w:color w:val="auto"/>
              </w:rPr>
              <w:t>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60" w:type="dxa"/>
            <w:vAlign w:val="bottom"/>
          </w:tcPr>
          <w:p>
            <w:pPr>
              <w:spacing w:after="0"/>
              <w:rPr>
                <w:sz w:val="18"/>
                <w:szCs w:val="18"/>
                <w:color w:val="auto"/>
              </w:rPr>
            </w:pPr>
          </w:p>
        </w:tc>
        <w:tc>
          <w:tcPr>
            <w:tcW w:w="3660" w:type="dxa"/>
            <w:vAlign w:val="bottom"/>
            <w:gridSpan w:val="21"/>
          </w:tcPr>
          <w:p>
            <w:pPr>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60" w:type="dxa"/>
            <w:vAlign w:val="bottom"/>
            <w:gridSpan w:val="21"/>
          </w:tcPr>
          <w:p>
            <w:pPr>
              <w:spacing w:after="0"/>
              <w:rPr>
                <w:sz w:val="20"/>
                <w:szCs w:val="20"/>
                <w:color w:val="auto"/>
              </w:rPr>
            </w:pPr>
            <w:r>
              <w:rPr>
                <w:rFonts w:ascii="Arial" w:cs="Arial" w:eastAsia="Arial" w:hAnsi="Arial"/>
                <w:sz w:val="18"/>
                <w:szCs w:val="18"/>
                <w:color w:val="auto"/>
              </w:rPr>
              <w:t>Document</w:t>
            </w: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60" w:type="dxa"/>
            <w:vAlign w:val="bottom"/>
          </w:tcPr>
          <w:p>
            <w:pPr>
              <w:spacing w:after="0"/>
              <w:rPr>
                <w:sz w:val="18"/>
                <w:szCs w:val="18"/>
                <w:color w:val="auto"/>
              </w:rPr>
            </w:pPr>
          </w:p>
        </w:tc>
        <w:tc>
          <w:tcPr>
            <w:tcW w:w="3660" w:type="dxa"/>
            <w:vAlign w:val="bottom"/>
            <w:gridSpan w:val="21"/>
          </w:tcPr>
          <w:p>
            <w:pPr>
              <w:spacing w:after="0"/>
              <w:rPr>
                <w:sz w:val="20"/>
                <w:szCs w:val="20"/>
                <w:color w:val="auto"/>
              </w:rPr>
            </w:pPr>
            <w:r>
              <w:rPr>
                <w:rFonts w:ascii="Arial" w:cs="Arial" w:eastAsia="Arial" w:hAnsi="Arial"/>
                <w:sz w:val="18"/>
                <w:szCs w:val="18"/>
                <w:color w:val="auto"/>
              </w:rPr>
              <w:t>XBRL Taxonomy Extension Presentation</w:t>
            </w:r>
          </w:p>
        </w:tc>
      </w:tr>
      <w:tr>
        <w:trPr>
          <w:trHeight w:val="230"/>
        </w:trPr>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60" w:type="dxa"/>
            <w:vAlign w:val="bottom"/>
            <w:gridSpan w:val="21"/>
          </w:tcPr>
          <w:p>
            <w:pPr>
              <w:spacing w:after="0"/>
              <w:rPr>
                <w:sz w:val="20"/>
                <w:szCs w:val="20"/>
                <w:color w:val="auto"/>
              </w:rPr>
            </w:pPr>
            <w:r>
              <w:rPr>
                <w:rFonts w:ascii="Arial" w:cs="Arial" w:eastAsia="Arial" w:hAnsi="Arial"/>
                <w:sz w:val="18"/>
                <w:szCs w:val="18"/>
                <w:color w:val="auto"/>
              </w:rPr>
              <w:t>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jc w:val="center"/>
              <w:ind w:right="410"/>
              <w:spacing w:after="0"/>
              <w:rPr>
                <w:sz w:val="20"/>
                <w:szCs w:val="20"/>
                <w:color w:val="auto"/>
              </w:rPr>
            </w:pPr>
            <w:r>
              <w:rPr>
                <w:rFonts w:ascii="Arial" w:cs="Arial" w:eastAsia="Arial" w:hAnsi="Arial"/>
                <w:sz w:val="18"/>
                <w:szCs w:val="18"/>
                <w:color w:val="auto"/>
                <w:w w:val="99"/>
              </w:rPr>
              <w:t>8-K</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001-38943</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520" w:type="dxa"/>
            <w:vAlign w:val="bottom"/>
          </w:tcPr>
          <w:p>
            <w:pPr>
              <w:jc w:val="center"/>
              <w:ind w:left="430"/>
              <w:spacing w:after="0"/>
              <w:rPr>
                <w:sz w:val="20"/>
                <w:szCs w:val="20"/>
                <w:color w:val="auto"/>
              </w:rPr>
            </w:pPr>
            <w:r>
              <w:rPr>
                <w:rFonts w:ascii="Arial" w:cs="Arial" w:eastAsia="Arial" w:hAnsi="Arial"/>
                <w:sz w:val="18"/>
                <w:szCs w:val="18"/>
                <w:color w:val="auto"/>
                <w:w w:val="87"/>
              </w:rPr>
              <w:t>June 24, 2019</w:t>
            </w:r>
          </w:p>
        </w:tc>
      </w:tr>
      <w:tr>
        <w:trPr>
          <w:trHeight w:val="444"/>
        </w:trPr>
        <w:tc>
          <w:tcPr>
            <w:tcW w:w="940" w:type="dxa"/>
            <w:vAlign w:val="bottom"/>
          </w:tcPr>
          <w:p>
            <w:pPr>
              <w:jc w:val="center"/>
              <w:ind w:right="410"/>
              <w:spacing w:after="0"/>
              <w:rPr>
                <w:sz w:val="20"/>
                <w:szCs w:val="20"/>
                <w:color w:val="auto"/>
              </w:rPr>
            </w:pPr>
            <w:r>
              <w:rPr>
                <w:rFonts w:ascii="Arial" w:cs="Arial" w:eastAsia="Arial" w:hAnsi="Arial"/>
                <w:sz w:val="18"/>
                <w:szCs w:val="18"/>
                <w:color w:val="auto"/>
                <w:w w:val="99"/>
              </w:rPr>
              <w:t>8-K</w:t>
            </w: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001-38943</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520" w:type="dxa"/>
            <w:vAlign w:val="bottom"/>
          </w:tcPr>
          <w:p>
            <w:pPr>
              <w:jc w:val="center"/>
              <w:ind w:left="430"/>
              <w:spacing w:after="0"/>
              <w:rPr>
                <w:sz w:val="20"/>
                <w:szCs w:val="20"/>
                <w:color w:val="auto"/>
              </w:rPr>
            </w:pPr>
            <w:r>
              <w:rPr>
                <w:rFonts w:ascii="Arial" w:cs="Arial" w:eastAsia="Arial" w:hAnsi="Arial"/>
                <w:sz w:val="18"/>
                <w:szCs w:val="18"/>
                <w:color w:val="auto"/>
                <w:w w:val="87"/>
              </w:rPr>
              <w:t>June 24, 2019</w:t>
            </w:r>
          </w:p>
        </w:tc>
      </w:tr>
      <w:tr>
        <w:trPr>
          <w:trHeight w:val="230"/>
        </w:trPr>
        <w:tc>
          <w:tcPr>
            <w:tcW w:w="940" w:type="dxa"/>
            <w:vAlign w:val="bottom"/>
          </w:tcPr>
          <w:p>
            <w:pPr>
              <w:jc w:val="center"/>
              <w:ind w:right="430"/>
              <w:spacing w:after="0"/>
              <w:rPr>
                <w:sz w:val="20"/>
                <w:szCs w:val="20"/>
                <w:color w:val="auto"/>
              </w:rPr>
            </w:pPr>
            <w:r>
              <w:rPr>
                <w:rFonts w:ascii="Arial" w:cs="Arial" w:eastAsia="Arial" w:hAnsi="Arial"/>
                <w:sz w:val="18"/>
                <w:szCs w:val="18"/>
                <w:color w:val="auto"/>
                <w:w w:val="93"/>
              </w:rPr>
              <w:t>S-1/A</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520" w:type="dxa"/>
            <w:vAlign w:val="bottom"/>
          </w:tcPr>
          <w:p>
            <w:pPr>
              <w:jc w:val="center"/>
              <w:ind w:left="430"/>
              <w:spacing w:after="0"/>
              <w:rPr>
                <w:sz w:val="20"/>
                <w:szCs w:val="20"/>
                <w:color w:val="auto"/>
              </w:rPr>
            </w:pPr>
            <w:r>
              <w:rPr>
                <w:rFonts w:ascii="Arial" w:cs="Arial" w:eastAsia="Arial" w:hAnsi="Arial"/>
                <w:sz w:val="18"/>
                <w:szCs w:val="18"/>
                <w:color w:val="auto"/>
                <w:w w:val="88"/>
              </w:rPr>
              <w:t>June 7, 2019</w:t>
            </w:r>
          </w:p>
        </w:tc>
      </w:tr>
      <w:tr>
        <w:trPr>
          <w:trHeight w:val="446"/>
        </w:trPr>
        <w:tc>
          <w:tcPr>
            <w:tcW w:w="940" w:type="dxa"/>
            <w:vAlign w:val="bottom"/>
          </w:tcPr>
          <w:p>
            <w:pPr>
              <w:jc w:val="center"/>
              <w:ind w:right="430"/>
              <w:spacing w:after="0"/>
              <w:rPr>
                <w:sz w:val="20"/>
                <w:szCs w:val="20"/>
                <w:color w:val="auto"/>
              </w:rPr>
            </w:pPr>
            <w:r>
              <w:rPr>
                <w:rFonts w:ascii="Arial" w:cs="Arial" w:eastAsia="Arial" w:hAnsi="Arial"/>
                <w:sz w:val="18"/>
                <w:szCs w:val="18"/>
                <w:color w:val="auto"/>
                <w:w w:val="93"/>
              </w:rPr>
              <w:t>S-1/A</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520" w:type="dxa"/>
            <w:vAlign w:val="bottom"/>
          </w:tcPr>
          <w:p>
            <w:pPr>
              <w:jc w:val="center"/>
              <w:ind w:left="430"/>
              <w:spacing w:after="0"/>
              <w:rPr>
                <w:sz w:val="20"/>
                <w:szCs w:val="20"/>
                <w:color w:val="auto"/>
              </w:rPr>
            </w:pPr>
            <w:r>
              <w:rPr>
                <w:rFonts w:ascii="Arial" w:cs="Arial" w:eastAsia="Arial" w:hAnsi="Arial"/>
                <w:sz w:val="18"/>
                <w:szCs w:val="18"/>
                <w:color w:val="auto"/>
                <w:w w:val="88"/>
              </w:rPr>
              <w:t>June 7, 2019</w:t>
            </w:r>
          </w:p>
        </w:tc>
      </w:tr>
      <w:tr>
        <w:trPr>
          <w:trHeight w:val="446"/>
        </w:trPr>
        <w:tc>
          <w:tcPr>
            <w:tcW w:w="940" w:type="dxa"/>
            <w:vAlign w:val="bottom"/>
          </w:tcPr>
          <w:p>
            <w:pPr>
              <w:jc w:val="center"/>
              <w:ind w:right="430"/>
              <w:spacing w:after="0"/>
              <w:rPr>
                <w:sz w:val="20"/>
                <w:szCs w:val="20"/>
                <w:color w:val="auto"/>
              </w:rPr>
            </w:pPr>
            <w:r>
              <w:rPr>
                <w:rFonts w:ascii="Arial" w:cs="Arial" w:eastAsia="Arial" w:hAnsi="Arial"/>
                <w:sz w:val="18"/>
                <w:szCs w:val="18"/>
                <w:color w:val="auto"/>
                <w:w w:val="93"/>
              </w:rPr>
              <w:t>S-1/A</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520" w:type="dxa"/>
            <w:vAlign w:val="bottom"/>
          </w:tcPr>
          <w:p>
            <w:pPr>
              <w:jc w:val="center"/>
              <w:ind w:left="430"/>
              <w:spacing w:after="0"/>
              <w:rPr>
                <w:sz w:val="20"/>
                <w:szCs w:val="20"/>
                <w:color w:val="auto"/>
              </w:rPr>
            </w:pPr>
            <w:r>
              <w:rPr>
                <w:rFonts w:ascii="Arial" w:cs="Arial" w:eastAsia="Arial" w:hAnsi="Arial"/>
                <w:sz w:val="18"/>
                <w:szCs w:val="18"/>
                <w:color w:val="auto"/>
                <w:w w:val="88"/>
              </w:rPr>
              <w:t>June 7, 2019</w:t>
            </w:r>
          </w:p>
        </w:tc>
      </w:tr>
      <w:tr>
        <w:trPr>
          <w:trHeight w:val="662"/>
        </w:trPr>
        <w:tc>
          <w:tcPr>
            <w:tcW w:w="940" w:type="dxa"/>
            <w:vAlign w:val="bottom"/>
          </w:tcPr>
          <w:p>
            <w:pPr>
              <w:jc w:val="center"/>
              <w:ind w:right="430"/>
              <w:spacing w:after="0"/>
              <w:rPr>
                <w:sz w:val="20"/>
                <w:szCs w:val="20"/>
                <w:color w:val="auto"/>
              </w:rPr>
            </w:pPr>
            <w:r>
              <w:rPr>
                <w:rFonts w:ascii="Arial" w:cs="Arial" w:eastAsia="Arial" w:hAnsi="Arial"/>
                <w:sz w:val="18"/>
                <w:szCs w:val="18"/>
                <w:color w:val="auto"/>
                <w:w w:val="93"/>
              </w:rPr>
              <w:t>S-1/A</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520" w:type="dxa"/>
            <w:vAlign w:val="bottom"/>
          </w:tcPr>
          <w:p>
            <w:pPr>
              <w:jc w:val="center"/>
              <w:ind w:left="430"/>
              <w:spacing w:after="0"/>
              <w:rPr>
                <w:sz w:val="20"/>
                <w:szCs w:val="20"/>
                <w:color w:val="auto"/>
              </w:rPr>
            </w:pPr>
            <w:r>
              <w:rPr>
                <w:rFonts w:ascii="Arial" w:cs="Arial" w:eastAsia="Arial" w:hAnsi="Arial"/>
                <w:sz w:val="18"/>
                <w:szCs w:val="18"/>
                <w:color w:val="auto"/>
                <w:w w:val="88"/>
              </w:rPr>
              <w:t>June 7, 2019</w:t>
            </w:r>
          </w:p>
        </w:tc>
      </w:tr>
      <w:tr>
        <w:trPr>
          <w:trHeight w:val="446"/>
        </w:trPr>
        <w:tc>
          <w:tcPr>
            <w:tcW w:w="940" w:type="dxa"/>
            <w:vAlign w:val="bottom"/>
          </w:tcPr>
          <w:p>
            <w:pPr>
              <w:jc w:val="center"/>
              <w:ind w:right="430"/>
              <w:spacing w:after="0"/>
              <w:rPr>
                <w:sz w:val="20"/>
                <w:szCs w:val="20"/>
                <w:color w:val="auto"/>
              </w:rPr>
            </w:pPr>
            <w:r>
              <w:rPr>
                <w:rFonts w:ascii="Arial" w:cs="Arial" w:eastAsia="Arial" w:hAnsi="Arial"/>
                <w:sz w:val="18"/>
                <w:szCs w:val="18"/>
                <w:color w:val="auto"/>
                <w:w w:val="93"/>
              </w:rPr>
              <w:t>S-1/A</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520" w:type="dxa"/>
            <w:vAlign w:val="bottom"/>
          </w:tcPr>
          <w:p>
            <w:pPr>
              <w:jc w:val="center"/>
              <w:ind w:left="430"/>
              <w:spacing w:after="0"/>
              <w:rPr>
                <w:sz w:val="20"/>
                <w:szCs w:val="20"/>
                <w:color w:val="auto"/>
              </w:rPr>
            </w:pPr>
            <w:r>
              <w:rPr>
                <w:rFonts w:ascii="Arial" w:cs="Arial" w:eastAsia="Arial" w:hAnsi="Arial"/>
                <w:sz w:val="18"/>
                <w:szCs w:val="18"/>
                <w:color w:val="auto"/>
                <w:w w:val="88"/>
              </w:rPr>
              <w:t>June 7, 2019</w:t>
            </w:r>
          </w:p>
        </w:tc>
      </w:tr>
      <w:tr>
        <w:trPr>
          <w:trHeight w:val="662"/>
        </w:trPr>
        <w:tc>
          <w:tcPr>
            <w:tcW w:w="940" w:type="dxa"/>
            <w:vAlign w:val="bottom"/>
          </w:tcPr>
          <w:p>
            <w:pPr>
              <w:jc w:val="center"/>
              <w:ind w:right="430"/>
              <w:spacing w:after="0"/>
              <w:rPr>
                <w:sz w:val="20"/>
                <w:szCs w:val="20"/>
                <w:color w:val="auto"/>
              </w:rPr>
            </w:pPr>
            <w:r>
              <w:rPr>
                <w:rFonts w:ascii="Arial" w:cs="Arial" w:eastAsia="Arial" w:hAnsi="Arial"/>
                <w:sz w:val="18"/>
                <w:szCs w:val="18"/>
                <w:color w:val="auto"/>
                <w:w w:val="93"/>
              </w:rPr>
              <w:t>S-1/A</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520" w:type="dxa"/>
            <w:vAlign w:val="bottom"/>
          </w:tcPr>
          <w:p>
            <w:pPr>
              <w:jc w:val="center"/>
              <w:ind w:left="430"/>
              <w:spacing w:after="0"/>
              <w:rPr>
                <w:sz w:val="20"/>
                <w:szCs w:val="20"/>
                <w:color w:val="auto"/>
              </w:rPr>
            </w:pPr>
            <w:r>
              <w:rPr>
                <w:rFonts w:ascii="Arial" w:cs="Arial" w:eastAsia="Arial" w:hAnsi="Arial"/>
                <w:sz w:val="18"/>
                <w:szCs w:val="18"/>
                <w:color w:val="auto"/>
                <w:w w:val="88"/>
              </w:rPr>
              <w:t>June 7, 2019</w:t>
            </w:r>
          </w:p>
        </w:tc>
      </w:tr>
      <w:tr>
        <w:trPr>
          <w:trHeight w:val="662"/>
        </w:trPr>
        <w:tc>
          <w:tcPr>
            <w:tcW w:w="940" w:type="dxa"/>
            <w:vAlign w:val="bottom"/>
          </w:tcPr>
          <w:p>
            <w:pPr>
              <w:jc w:val="center"/>
              <w:ind w:right="430"/>
              <w:spacing w:after="0"/>
              <w:rPr>
                <w:sz w:val="20"/>
                <w:szCs w:val="20"/>
                <w:color w:val="auto"/>
              </w:rPr>
            </w:pPr>
            <w:r>
              <w:rPr>
                <w:rFonts w:ascii="Arial" w:cs="Arial" w:eastAsia="Arial" w:hAnsi="Arial"/>
                <w:sz w:val="18"/>
                <w:szCs w:val="18"/>
                <w:color w:val="auto"/>
                <w:w w:val="93"/>
              </w:rPr>
              <w:t>S-1/A</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333-231703</w:t>
            </w:r>
          </w:p>
        </w:tc>
        <w:tc>
          <w:tcPr>
            <w:tcW w:w="138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520" w:type="dxa"/>
            <w:vAlign w:val="bottom"/>
          </w:tcPr>
          <w:p>
            <w:pPr>
              <w:jc w:val="center"/>
              <w:ind w:left="430"/>
              <w:spacing w:after="0"/>
              <w:rPr>
                <w:sz w:val="20"/>
                <w:szCs w:val="20"/>
                <w:color w:val="auto"/>
              </w:rPr>
            </w:pPr>
            <w:r>
              <w:rPr>
                <w:rFonts w:ascii="Arial" w:cs="Arial" w:eastAsia="Arial" w:hAnsi="Arial"/>
                <w:sz w:val="18"/>
                <w:szCs w:val="18"/>
                <w:color w:val="auto"/>
                <w:w w:val="88"/>
              </w:rPr>
              <w:t>June 7, 2019</w:t>
            </w:r>
          </w:p>
        </w:tc>
      </w:tr>
    </w:tbl>
    <w:p>
      <w:pPr>
        <w:spacing w:after="0" w:line="6584" w:lineRule="exact"/>
        <w:rPr>
          <w:sz w:val="20"/>
          <w:szCs w:val="20"/>
          <w:color w:val="auto"/>
        </w:rPr>
      </w:pPr>
    </w:p>
    <w:p>
      <w:pPr>
        <w:sectPr>
          <w:pgSz w:w="11900" w:h="16838" w:orient="portrait"/>
          <w:cols w:equalWidth="0" w:num="2">
            <w:col w:w="4640" w:space="660"/>
            <w:col w:w="6120"/>
          </w:cols>
          <w:pgMar w:left="240" w:top="337" w:right="239" w:bottom="1440" w:gutter="0" w:footer="0" w:header="0"/>
          <w:type w:val="continuous"/>
        </w:sectPr>
      </w:pPr>
    </w:p>
    <w:p>
      <w:pPr>
        <w:ind w:left="520" w:hanging="512"/>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8"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w:t>
      </w:r>
    </w:p>
    <w:p>
      <w:pPr>
        <w:spacing w:after="0" w:line="28" w:lineRule="exact"/>
        <w:rPr>
          <w:sz w:val="20"/>
          <w:szCs w:val="20"/>
          <w:color w:val="auto"/>
        </w:rPr>
      </w:pPr>
    </w:p>
    <w:p>
      <w:pPr>
        <w:ind w:left="520" w:hanging="512"/>
        <w:spacing w:after="0" w:line="253" w:lineRule="auto"/>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70" w:name="page71"/>
    <w:bookmarkEnd w:id="70"/>
    <w:p>
      <w:pPr>
        <w:spacing w:after="0" w:line="253" w:lineRule="auto"/>
        <w:rPr>
          <w:sz w:val="20"/>
          <w:szCs w:val="20"/>
          <w:color w:val="auto"/>
        </w:rPr>
      </w:pPr>
      <w:r>
        <w:rPr>
          <w:rFonts w:ascii="Arial" w:cs="Arial" w:eastAsia="Arial" w:hAnsi="Arial"/>
          <w:sz w:val="14"/>
          <w:szCs w:val="14"/>
          <w:color w:val="auto"/>
        </w:rPr>
        <w:t>Securities Exchange Act of 1934, as amended, whether made before or after the date of this Quarterly Report on Form 10-Q, irrespective of any general incorporation language contained in such filing.</w:t>
      </w:r>
    </w:p>
    <w:p>
      <w:pPr>
        <w:spacing w:after="0" w:line="178"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377"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6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August 13, 2019</w:t>
      </w:r>
      <w:r>
        <w:rPr>
          <w:sz w:val="20"/>
          <w:szCs w:val="20"/>
          <w:color w:val="auto"/>
        </w:rPr>
        <w:tab/>
      </w:r>
      <w:r>
        <w:rPr>
          <w:rFonts w:ascii="Arial" w:cs="Arial" w:eastAsia="Arial" w:hAnsi="Arial"/>
          <w:sz w:val="16"/>
          <w:szCs w:val="16"/>
          <w:color w:val="auto"/>
        </w:rPr>
        <w:t>Personalis, Inc.</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John West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251"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August 13, 2019</w:t>
      </w:r>
      <w:r>
        <w:rPr>
          <w:sz w:val="20"/>
          <w:szCs w:val="20"/>
          <w:color w:val="auto"/>
        </w:rPr>
        <w:tab/>
      </w:r>
      <w:r>
        <w:rPr>
          <w:rFonts w:ascii="Arial" w:cs="Arial" w:eastAsia="Arial" w:hAnsi="Arial"/>
          <w:sz w:val="16"/>
          <w:szCs w:val="16"/>
          <w:color w:val="auto"/>
        </w:rPr>
        <w:t>Personalis, Inc.</w:t>
      </w:r>
    </w:p>
    <w:p>
      <w:pPr>
        <w:spacing w:after="0" w:line="252"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Aaron Tachibana</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337"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John West, certify that:</w:t>
      </w:r>
    </w:p>
    <w:p>
      <w:pPr>
        <w:spacing w:after="0" w:line="225"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Personalis,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640" w:hanging="512"/>
        <w:spacing w:after="0" w:line="277"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40" w:hanging="512"/>
        <w:spacing w:after="0" w:line="308"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2019</w:t>
      </w:r>
    </w:p>
    <w:p>
      <w:pPr>
        <w:spacing w:after="0" w:line="36"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/s/ John West</w:t>
      </w:r>
    </w:p>
    <w:p>
      <w:pPr>
        <w:spacing w:after="0" w:line="5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-130175</wp:posOffset>
            </wp:positionV>
            <wp:extent cx="33362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w:t>
      </w:r>
    </w:p>
    <w:p>
      <w:pPr>
        <w:spacing w:after="0" w:line="36"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5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left="260" w:right="2100"/>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Aaron Tachibana, certify that:</w:t>
      </w:r>
    </w:p>
    <w:p>
      <w:pPr>
        <w:spacing w:after="0" w:line="225"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Personalis, Inc.;</w:t>
      </w:r>
    </w:p>
    <w:p>
      <w:pPr>
        <w:spacing w:after="0" w:line="225"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640" w:hanging="512"/>
        <w:spacing w:after="0" w:line="277"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40" w:right="200" w:hanging="519"/>
        <w:spacing w:after="0" w:line="264"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340" w:hanging="512"/>
        <w:spacing w:after="0" w:line="308"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40" w:right="60" w:hanging="519"/>
        <w:spacing w:after="0" w:line="277" w:lineRule="auto"/>
        <w:tabs>
          <w:tab w:leader="none" w:pos="104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2019</w:t>
      </w:r>
    </w:p>
    <w:p>
      <w:pPr>
        <w:spacing w:after="0" w:line="36" w:lineRule="exact"/>
        <w:rPr>
          <w:sz w:val="20"/>
          <w:szCs w:val="20"/>
          <w:color w:val="auto"/>
        </w:rPr>
      </w:pPr>
    </w:p>
    <w:p>
      <w:pPr>
        <w:ind w:left="5620"/>
        <w:spacing w:after="0"/>
        <w:tabs>
          <w:tab w:leader="none" w:pos="6140" w:val="left"/>
        </w:tabs>
        <w:rPr>
          <w:sz w:val="20"/>
          <w:szCs w:val="20"/>
          <w:color w:val="auto"/>
        </w:rPr>
      </w:pPr>
      <w:r>
        <w:rPr>
          <w:rFonts w:ascii="Arial" w:cs="Arial" w:eastAsia="Arial" w:hAnsi="Arial"/>
          <w:sz w:val="18"/>
          <w:szCs w:val="18"/>
          <w:color w:val="auto"/>
        </w:rPr>
        <w:t>By:</w:t>
        <w:tab/>
        <w:t>/s/ Aaron Tachibana</w:t>
      </w:r>
    </w:p>
    <w:p>
      <w:pPr>
        <w:spacing w:after="0" w:line="5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-130175</wp:posOffset>
            </wp:positionV>
            <wp:extent cx="33362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35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connection with the Quarterly Report of Personalis, Inc. (the “Company”) on Form 10-Q for the period ending June 30, 2019 as filed with the Securities and Exchange Commission on the date hereof (the “Report”), I certify, pursuant to 18 U.S.C. § 1350, as adopted pursuant to § 906 of the Sarbanes-Oxley Act of 2002, that:</w:t>
      </w:r>
    </w:p>
    <w:p>
      <w:pPr>
        <w:spacing w:after="0" w:line="181"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2019</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John West</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35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connection with the Quarterly Report of Personalis, Inc. (the “Company”) on Form 10-Q for the period ending June 30, 2019 as filed with the Securities and Exchange Commission on the date hereof (the “Report”), I certify, pursuant to 18 U.S.C. § 1350, as adopted pursuant to § 906 of the Sarbanes-Oxley Act of 2002, that:</w:t>
      </w:r>
    </w:p>
    <w:p>
      <w:pPr>
        <w:spacing w:after="0" w:line="181"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2019</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14605</wp:posOffset>
            </wp:positionV>
            <wp:extent cx="30956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3095625" cy="8890"/>
                    </a:xfrm>
                    <a:prstGeom prst="rect">
                      <a:avLst/>
                    </a:prstGeom>
                    <a:noFill/>
                  </pic:spPr>
                </pic:pic>
              </a:graphicData>
            </a:graphic>
          </wp:anchor>
        </w:drawing>
      </w:r>
    </w:p>
    <w:p>
      <w:pPr>
        <w:spacing w:after="0" w:line="1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Aaron Tachibana</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lowerRoman"/>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lowerRoman"/>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lowerRoman"/>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lowerLetter"/>
      <w:start w:val="1"/>
    </w:lvl>
  </w:abstractNum>
  <w:abstractNum w:abstractNumId="25">
    <w:nsid w:val="3A95F874"/>
    <w:multiLevelType w:val="hybridMultilevel"/>
    <w:lvl w:ilvl="0">
      <w:lvlJc w:val="left"/>
      <w:lvlText w:val="(%1)"/>
      <w:numFmt w:val="lowerLetter"/>
      <w:start w:val="2"/>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93" Type="http://schemas.openxmlformats.org/officeDocument/2006/relationships/hyperlink" Target="http://www.sec.gov/Archives/edgar/data/0001527753/000119312519180246/d750323dex31.htm" TargetMode="External"/><Relationship Id="rId94" Type="http://schemas.openxmlformats.org/officeDocument/2006/relationships/hyperlink" Target="http://www.sec.gov/Archives/edgar/data/0001527753/000119312519180246/d750323dex32.htm" TargetMode="External"/><Relationship Id="rId95" Type="http://schemas.openxmlformats.org/officeDocument/2006/relationships/hyperlink" Target="http://www.sec.gov/Archives/edgar/data/0001527753/000119312519167583/d677649dex102.htm" TargetMode="External"/><Relationship Id="rId96" Type="http://schemas.openxmlformats.org/officeDocument/2006/relationships/hyperlink" Target="http://www.sec.gov/Archives/edgar/data/0001527753/000119312519167583/d677649dex103.htm" TargetMode="External"/><Relationship Id="rId97" Type="http://schemas.openxmlformats.org/officeDocument/2006/relationships/hyperlink" Target="http://www.sec.gov/Archives/edgar/data/0001527753/000119312519167583/d677649dex104.htm" TargetMode="External"/><Relationship Id="rId98" Type="http://schemas.openxmlformats.org/officeDocument/2006/relationships/hyperlink" Target="http://www.sec.gov/Archives/edgar/data/0001527753/000119312519167583/d677649dex105.htm" TargetMode="External"/><Relationship Id="rId99" Type="http://schemas.openxmlformats.org/officeDocument/2006/relationships/hyperlink" Target="http://www.sec.gov/Archives/edgar/data/0001527753/000119312519167583/d677649dex106.htm" TargetMode="External"/><Relationship Id="rId100" Type="http://schemas.openxmlformats.org/officeDocument/2006/relationships/hyperlink" Target="http://www.sec.gov/Archives/edgar/data/0001527753/000119312519167583/d677649dex107.htm" TargetMode="External"/><Relationship Id="rId101" Type="http://schemas.openxmlformats.org/officeDocument/2006/relationships/hyperlink" Target="http://www.sec.gov/Archives/edgar/data/0001527753/000119312519167583/d677649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2019-12-28T06:59:36Z</dcterms:created>
  <dcterms:modified xsi:type="dcterms:W3CDTF">2019-12-28T06:59:36Z</dcterms:modified>
</cp:coreProperties>
</file>