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ind w:left="3860" w:right="2540" w:hanging="3852"/>
        <w:spacing w:after="0" w:line="437" w:lineRule="auto"/>
        <w:tabs>
          <w:tab w:leader="none" w:pos="3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2025</w:t>
      </w:r>
    </w:p>
    <w:p>
      <w:pPr>
        <w:spacing w:after="0" w:line="221" w:lineRule="exact"/>
        <w:rPr>
          <w:sz w:val="24"/>
          <w:szCs w:val="24"/>
          <w:color w:val="auto"/>
        </w:rPr>
      </w:pPr>
    </w:p>
    <w:p>
      <w:pPr>
        <w:ind w:left="3620" w:right="2560" w:hanging="3612"/>
        <w:spacing w:after="0" w:line="387" w:lineRule="auto"/>
        <w:tabs>
          <w:tab w:leader="none" w:pos="3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217805</wp:posOffset>
            </wp:positionV>
            <wp:extent cx="240855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855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62"/>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6600 Dumbarton Circle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Fremont, California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94555</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35"/>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Symbol(s)</w:t>
            </w:r>
          </w:p>
        </w:tc>
        <w:tc>
          <w:tcPr>
            <w:tcW w:w="3940" w:type="dxa"/>
            <w:vAlign w:val="bottom"/>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4140" w:type="dxa"/>
            <w:vAlign w:val="bottom"/>
            <w:tcBorders>
              <w:top w:val="single" w:sz="8" w:color="auto"/>
            </w:tcBorders>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PSNL</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ind w:right="4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spacing w:after="0" w:line="161" w:lineRule="exact"/>
        <w:tabs>
          <w:tab w:leader="none" w:pos="1800" w:val="left"/>
          <w:tab w:leader="none" w:pos="2260" w:val="left"/>
          <w:tab w:leader="none" w:pos="3620" w:val="left"/>
          <w:tab w:leader="none" w:pos="4080" w:val="left"/>
          <w:tab w:leader="none" w:pos="5760" w:val="left"/>
          <w:tab w:leader="none" w:pos="6220" w:val="left"/>
          <w:tab w:leader="none" w:pos="8340" w:val="left"/>
          <w:tab w:leader="none" w:pos="8920" w:val="left"/>
          <w:tab w:leader="none" w:pos="11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9"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April 29, 2025 was 88,325,138.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8"/>
          </w:tcPr>
          <w:p>
            <w:pPr>
              <w:jc w:val="center"/>
              <w:ind w:right="3780"/>
              <w:spacing w:after="0"/>
              <w:rPr>
                <w:sz w:val="20"/>
                <w:szCs w:val="20"/>
                <w:color w:val="auto"/>
              </w:rPr>
            </w:pPr>
            <w:r>
              <w:rPr>
                <w:rFonts w:ascii="Arial" w:cs="Arial" w:eastAsia="Arial" w:hAnsi="Arial"/>
                <w:sz w:val="16"/>
                <w:szCs w:val="16"/>
                <w:b w:val="1"/>
                <w:bCs w:val="1"/>
                <w:color w:val="auto"/>
              </w:rPr>
              <w:t>PERSONALIS, INC.</w:t>
            </w:r>
          </w:p>
        </w:tc>
        <w:tc>
          <w:tcPr>
            <w:tcW w:w="960" w:type="dxa"/>
            <w:vAlign w:val="bottom"/>
          </w:tcPr>
          <w:p>
            <w:pPr>
              <w:spacing w:after="0"/>
              <w:rPr>
                <w:sz w:val="19"/>
                <w:szCs w:val="19"/>
                <w:color w:val="auto"/>
              </w:rPr>
            </w:pPr>
          </w:p>
        </w:tc>
      </w:tr>
      <w:tr>
        <w:trPr>
          <w:trHeight w:val="344"/>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6"/>
          </w:tcPr>
          <w:p>
            <w:pPr>
              <w:jc w:val="center"/>
              <w:ind w:right="4200"/>
              <w:spacing w:after="0"/>
              <w:rPr>
                <w:sz w:val="20"/>
                <w:szCs w:val="20"/>
                <w:color w:val="auto"/>
              </w:rPr>
            </w:pPr>
            <w:r>
              <w:rPr>
                <w:rFonts w:ascii="Arial" w:cs="Arial" w:eastAsia="Arial" w:hAnsi="Arial"/>
                <w:sz w:val="16"/>
                <w:szCs w:val="16"/>
                <w:b w:val="1"/>
                <w:bCs w:val="1"/>
                <w:color w:val="auto"/>
                <w:w w:val="99"/>
              </w:rPr>
              <w:t>Form 10-Q</w:t>
            </w:r>
          </w:p>
        </w:tc>
        <w:tc>
          <w:tcPr>
            <w:tcW w:w="960" w:type="dxa"/>
            <w:vAlign w:val="bottom"/>
          </w:tcPr>
          <w:p>
            <w:pPr>
              <w:spacing w:after="0"/>
              <w:rPr>
                <w:sz w:val="24"/>
                <w:szCs w:val="24"/>
                <w:color w:val="auto"/>
              </w:rPr>
            </w:pPr>
          </w:p>
        </w:tc>
      </w:tr>
      <w:tr>
        <w:trPr>
          <w:trHeight w:val="223"/>
        </w:trPr>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40" w:type="dxa"/>
            <w:vAlign w:val="bottom"/>
            <w:gridSpan w:val="14"/>
          </w:tcPr>
          <w:p>
            <w:pPr>
              <w:jc w:val="center"/>
              <w:ind w:right="2780"/>
              <w:spacing w:after="0"/>
              <w:rPr>
                <w:sz w:val="20"/>
                <w:szCs w:val="20"/>
                <w:color w:val="auto"/>
              </w:rPr>
            </w:pPr>
            <w:r>
              <w:rPr>
                <w:rFonts w:ascii="Arial" w:cs="Arial" w:eastAsia="Arial" w:hAnsi="Arial"/>
                <w:sz w:val="16"/>
                <w:szCs w:val="16"/>
                <w:b w:val="1"/>
                <w:bCs w:val="1"/>
                <w:color w:val="auto"/>
              </w:rPr>
              <w:t>For the Quarterly Period Ended March 31, 2025</w:t>
            </w:r>
          </w:p>
        </w:tc>
        <w:tc>
          <w:tcPr>
            <w:tcW w:w="960" w:type="dxa"/>
            <w:vAlign w:val="bottom"/>
          </w:tcPr>
          <w:p>
            <w:pPr>
              <w:spacing w:after="0"/>
              <w:rPr>
                <w:sz w:val="19"/>
                <w:szCs w:val="19"/>
                <w:color w:val="auto"/>
              </w:rPr>
            </w:pPr>
          </w:p>
        </w:tc>
      </w:tr>
      <w:tr>
        <w:trPr>
          <w:trHeight w:val="378"/>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9"/>
          </w:tcPr>
          <w:p>
            <w:pPr>
              <w:jc w:val="center"/>
              <w:ind w:right="3660"/>
              <w:spacing w:after="0"/>
              <w:rPr>
                <w:sz w:val="20"/>
                <w:szCs w:val="20"/>
                <w:color w:val="auto"/>
              </w:rPr>
            </w:pPr>
            <w:r>
              <w:rPr>
                <w:rFonts w:ascii="Arial" w:cs="Arial" w:eastAsia="Arial" w:hAnsi="Arial"/>
                <w:sz w:val="16"/>
                <w:szCs w:val="16"/>
                <w:b w:val="1"/>
                <w:bCs w:val="1"/>
                <w:color w:val="auto"/>
              </w:rPr>
              <w:t>TABLE OF CONTENTS</w:t>
            </w:r>
          </w:p>
        </w:tc>
        <w:tc>
          <w:tcPr>
            <w:tcW w:w="960" w:type="dxa"/>
            <w:vAlign w:val="bottom"/>
          </w:tcPr>
          <w:p>
            <w:pPr>
              <w:spacing w:after="0"/>
              <w:rPr>
                <w:sz w:val="24"/>
                <w:szCs w:val="24"/>
                <w:color w:val="auto"/>
              </w:rPr>
            </w:pPr>
          </w:p>
        </w:tc>
      </w:tr>
      <w:tr>
        <w:trPr>
          <w:trHeight w:val="358"/>
        </w:trPr>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63"/>
        </w:trPr>
        <w:tc>
          <w:tcPr>
            <w:tcW w:w="1380" w:type="dxa"/>
            <w:vAlign w:val="bottom"/>
            <w:shd w:val="clear" w:color="auto" w:fill="CFF0FC"/>
          </w:tcPr>
          <w:p>
            <w:pPr>
              <w:spacing w:after="0"/>
              <w:rPr>
                <w:sz w:val="14"/>
                <w:szCs w:val="14"/>
                <w:color w:val="auto"/>
              </w:rPr>
            </w:pPr>
          </w:p>
        </w:tc>
        <w:tc>
          <w:tcPr>
            <w:tcW w:w="8900" w:type="dxa"/>
            <w:vAlign w:val="bottom"/>
            <w:gridSpan w:val="26"/>
            <w:shd w:val="clear" w:color="auto" w:fill="CFF0FC"/>
          </w:tcPr>
          <w:p>
            <w:pPr>
              <w:spacing w:after="0" w:line="155" w:lineRule="exact"/>
              <w:rPr>
                <w:sz w:val="20"/>
                <w:szCs w:val="20"/>
                <w:color w:val="auto"/>
              </w:rPr>
            </w:pPr>
            <w:r>
              <w:rPr>
                <w:rFonts w:ascii="Arial" w:cs="Arial" w:eastAsia="Arial" w:hAnsi="Arial"/>
                <w:sz w:val="16"/>
                <w:szCs w:val="16"/>
                <w:color w:val="0000FF"/>
              </w:rPr>
              <w:t>Note Regarding Forward-Looking Statements</w:t>
            </w:r>
          </w:p>
        </w:tc>
        <w:tc>
          <w:tcPr>
            <w:tcW w:w="96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rPr>
              <w:t>3</w:t>
            </w:r>
          </w:p>
        </w:tc>
      </w:tr>
      <w:tr>
        <w:trPr>
          <w:trHeight w:val="189"/>
        </w:trPr>
        <w:tc>
          <w:tcPr>
            <w:tcW w:w="1380" w:type="dxa"/>
            <w:vAlign w:val="bottom"/>
            <w:tcBorders>
              <w:top w:val="single" w:sz="8" w:color="CFF0FC"/>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52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r>
      <w:tr>
        <w:trPr>
          <w:trHeight w:val="169"/>
        </w:trPr>
        <w:tc>
          <w:tcPr>
            <w:tcW w:w="1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2840" w:type="dxa"/>
            <w:vAlign w:val="bottom"/>
            <w:tcBorders>
              <w:bottom w:val="single" w:sz="8" w:color="0000FF"/>
            </w:tcBorders>
            <w:gridSpan w:val="11"/>
            <w:shd w:val="clear" w:color="auto" w:fill="CFF0FC"/>
          </w:tcPr>
          <w:p>
            <w:pPr>
              <w:jc w:val="center"/>
              <w:spacing w:after="0" w:line="162" w:lineRule="exact"/>
              <w:rPr>
                <w:sz w:val="20"/>
                <w:szCs w:val="20"/>
                <w:color w:val="auto"/>
              </w:rPr>
            </w:pPr>
            <w:r>
              <w:rPr>
                <w:rFonts w:ascii="Arial" w:cs="Arial" w:eastAsia="Arial" w:hAnsi="Arial"/>
                <w:sz w:val="16"/>
                <w:szCs w:val="16"/>
                <w:b w:val="1"/>
                <w:bCs w:val="1"/>
                <w:color w:val="0000FF"/>
              </w:rPr>
              <w:t>PART I — FINANCIAL INFORMATION</w:t>
            </w:r>
          </w:p>
        </w:tc>
        <w:tc>
          <w:tcPr>
            <w:tcW w:w="3240" w:type="dxa"/>
            <w:vAlign w:val="bottom"/>
            <w:tcBorders>
              <w:bottom w:val="single" w:sz="8" w:color="CFF0FC"/>
            </w:tcBorders>
            <w:gridSpan w:val="2"/>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r>
      <w:tr>
        <w:trPr>
          <w:trHeight w:val="169"/>
        </w:trPr>
        <w:tc>
          <w:tcPr>
            <w:tcW w:w="1380" w:type="dxa"/>
            <w:vAlign w:val="bottom"/>
          </w:tcPr>
          <w:p>
            <w:pPr>
              <w:spacing w:after="0" w:line="162" w:lineRule="exact"/>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8"/>
          </w:tcPr>
          <w:p>
            <w:pPr>
              <w:spacing w:after="0" w:line="162" w:lineRule="exact"/>
              <w:rPr>
                <w:sz w:val="20"/>
                <w:szCs w:val="20"/>
                <w:color w:val="auto"/>
              </w:rPr>
            </w:pPr>
            <w:r>
              <w:rPr>
                <w:rFonts w:ascii="Arial" w:cs="Arial" w:eastAsia="Arial" w:hAnsi="Arial"/>
                <w:sz w:val="16"/>
                <w:szCs w:val="16"/>
                <w:color w:val="0000FF"/>
              </w:rPr>
              <w:t>Financial Statements</w:t>
            </w:r>
          </w:p>
        </w:tc>
        <w:tc>
          <w:tcPr>
            <w:tcW w:w="7380" w:type="dxa"/>
            <w:vAlign w:val="bottom"/>
            <w:gridSpan w:val="18"/>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6</w:t>
            </w:r>
          </w:p>
        </w:tc>
      </w:tr>
      <w:tr>
        <w:trPr>
          <w:trHeight w:val="169"/>
        </w:trPr>
        <w:tc>
          <w:tcPr>
            <w:tcW w:w="1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140" w:type="dxa"/>
            <w:vAlign w:val="bottom"/>
            <w:tcBorders>
              <w:bottom w:val="single" w:sz="8" w:color="0000FF"/>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Consolidated Balance Sheets</w:t>
            </w:r>
          </w:p>
        </w:tc>
        <w:tc>
          <w:tcPr>
            <w:tcW w:w="6540" w:type="dxa"/>
            <w:vAlign w:val="bottom"/>
            <w:tcBorders>
              <w:bottom w:val="single" w:sz="8" w:color="CFF0FC"/>
            </w:tcBorders>
            <w:gridSpan w:val="14"/>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6</w:t>
            </w:r>
          </w:p>
        </w:tc>
      </w:tr>
      <w:tr>
        <w:trPr>
          <w:trHeight w:val="169"/>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Borders>
              <w:bottom w:val="single" w:sz="8" w:color="0000FF"/>
            </w:tcBorders>
            <w:gridSpan w:val="14"/>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5840" w:type="dxa"/>
            <w:vAlign w:val="bottom"/>
            <w:gridSpan w:val="11"/>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7</w:t>
            </w:r>
          </w:p>
        </w:tc>
      </w:tr>
      <w:tr>
        <w:trPr>
          <w:trHeight w:val="169"/>
        </w:trPr>
        <w:tc>
          <w:tcPr>
            <w:tcW w:w="1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80" w:type="dxa"/>
            <w:vAlign w:val="bottom"/>
            <w:gridSpan w:val="25"/>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8</w:t>
            </w:r>
          </w:p>
        </w:tc>
      </w:tr>
      <w:tr>
        <w:trPr>
          <w:trHeight w:val="169"/>
        </w:trPr>
        <w:tc>
          <w:tcPr>
            <w:tcW w:w="13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3520" w:type="dxa"/>
            <w:vAlign w:val="bottom"/>
            <w:tcBorders>
              <w:top w:val="single" w:sz="8" w:color="0000FF"/>
              <w:bottom w:val="single" w:sz="8" w:color="0000FF"/>
            </w:tcBorders>
            <w:gridSpan w:val="18"/>
          </w:tcPr>
          <w:p>
            <w:pPr>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40" w:type="dxa"/>
            <w:vAlign w:val="bottom"/>
            <w:tcBorders>
              <w:top w:val="single" w:sz="8" w:color="0000FF"/>
            </w:tcBorders>
          </w:tcPr>
          <w:p>
            <w:pPr>
              <w:spacing w:after="0"/>
              <w:rPr>
                <w:sz w:val="14"/>
                <w:szCs w:val="14"/>
                <w:color w:val="auto"/>
              </w:rPr>
            </w:pPr>
          </w:p>
        </w:tc>
        <w:tc>
          <w:tcPr>
            <w:tcW w:w="5120" w:type="dxa"/>
            <w:vAlign w:val="bottom"/>
            <w:tcBorders>
              <w:top w:val="single" w:sz="8" w:color="CFF0FC"/>
            </w:tcBorders>
            <w:gridSpan w:val="6"/>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9</w:t>
            </w:r>
          </w:p>
        </w:tc>
      </w:tr>
      <w:tr>
        <w:trPr>
          <w:trHeight w:val="169"/>
        </w:trPr>
        <w:tc>
          <w:tcPr>
            <w:tcW w:w="13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900" w:type="dxa"/>
            <w:vAlign w:val="bottom"/>
            <w:tcBorders>
              <w:bottom w:val="single" w:sz="8" w:color="0000FF"/>
            </w:tcBorders>
            <w:gridSpan w:val="15"/>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5780" w:type="dxa"/>
            <w:vAlign w:val="bottom"/>
            <w:tcBorders>
              <w:bottom w:val="single" w:sz="8" w:color="CFF0FC"/>
            </w:tcBorders>
            <w:gridSpan w:val="10"/>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10</w:t>
            </w:r>
          </w:p>
        </w:tc>
      </w:tr>
      <w:tr>
        <w:trPr>
          <w:trHeight w:val="169"/>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0000FF"/>
            </w:tcBorders>
            <w:gridSpan w:val="5"/>
          </w:tcPr>
          <w:p>
            <w:pPr>
              <w:spacing w:after="0" w:line="162" w:lineRule="exact"/>
              <w:rPr>
                <w:sz w:val="20"/>
                <w:szCs w:val="20"/>
                <w:color w:val="auto"/>
              </w:rPr>
            </w:pPr>
            <w:r>
              <w:rPr>
                <w:rFonts w:ascii="Arial" w:cs="Arial" w:eastAsia="Arial" w:hAnsi="Arial"/>
                <w:sz w:val="16"/>
                <w:szCs w:val="16"/>
                <w:color w:val="0000FF"/>
              </w:rPr>
              <w:t>Index to Notes</w:t>
            </w:r>
          </w:p>
        </w:tc>
        <w:tc>
          <w:tcPr>
            <w:tcW w:w="7620" w:type="dxa"/>
            <w:vAlign w:val="bottom"/>
            <w:gridSpan w:val="20"/>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11</w:t>
            </w:r>
          </w:p>
        </w:tc>
      </w:tr>
      <w:tr>
        <w:trPr>
          <w:trHeight w:val="162"/>
        </w:trPr>
        <w:tc>
          <w:tcPr>
            <w:tcW w:w="1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80" w:type="dxa"/>
            <w:vAlign w:val="bottom"/>
            <w:gridSpan w:val="25"/>
            <w:shd w:val="clear" w:color="auto" w:fill="CFF0FC"/>
          </w:tcPr>
          <w:p>
            <w:pPr>
              <w:spacing w:after="0" w:line="162" w:lineRule="exact"/>
              <w:rPr>
                <w:sz w:val="20"/>
                <w:szCs w:val="20"/>
                <w:color w:val="auto"/>
              </w:rPr>
            </w:pPr>
            <w:r>
              <w:rPr>
                <w:rFonts w:ascii="Arial" w:cs="Arial" w:eastAsia="Arial" w:hAnsi="Arial"/>
                <w:sz w:val="16"/>
                <w:szCs w:val="16"/>
                <w:color w:val="0000FF"/>
              </w:rPr>
              <w:t>Notes to Consolidated Financial Statements</w:t>
            </w: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12</w:t>
            </w:r>
          </w:p>
        </w:tc>
      </w:tr>
      <w:tr>
        <w:trPr>
          <w:trHeight w:val="27"/>
        </w:trPr>
        <w:tc>
          <w:tcPr>
            <w:tcW w:w="1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69"/>
        </w:trPr>
        <w:tc>
          <w:tcPr>
            <w:tcW w:w="1380" w:type="dxa"/>
            <w:vAlign w:val="bottom"/>
          </w:tcPr>
          <w:p>
            <w:pPr>
              <w:spacing w:after="0" w:line="162" w:lineRule="exact"/>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25"/>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52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25</w:t>
            </w:r>
          </w:p>
        </w:tc>
      </w:tr>
      <w:tr>
        <w:trPr>
          <w:trHeight w:val="169"/>
        </w:trPr>
        <w:tc>
          <w:tcPr>
            <w:tcW w:w="138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Item 3.</w:t>
            </w:r>
          </w:p>
        </w:tc>
        <w:tc>
          <w:tcPr>
            <w:tcW w:w="89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32</w:t>
            </w:r>
          </w:p>
        </w:tc>
      </w:tr>
      <w:tr>
        <w:trPr>
          <w:trHeight w:val="169"/>
        </w:trPr>
        <w:tc>
          <w:tcPr>
            <w:tcW w:w="1380" w:type="dxa"/>
            <w:vAlign w:val="bottom"/>
            <w:tcBorders>
              <w:top w:val="single" w:sz="8" w:color="CFF0FC"/>
            </w:tcBorders>
          </w:tcPr>
          <w:p>
            <w:pPr>
              <w:spacing w:after="0" w:line="162"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21"/>
          </w:tcPr>
          <w:p>
            <w:pPr>
              <w:spacing w:after="0" w:line="162" w:lineRule="exact"/>
              <w:rPr>
                <w:sz w:val="20"/>
                <w:szCs w:val="20"/>
                <w:color w:val="auto"/>
              </w:rPr>
            </w:pPr>
            <w:r>
              <w:rPr>
                <w:rFonts w:ascii="Arial" w:cs="Arial" w:eastAsia="Arial" w:hAnsi="Arial"/>
                <w:sz w:val="16"/>
                <w:szCs w:val="16"/>
                <w:color w:val="0000FF"/>
              </w:rPr>
              <w:t>Controls and Procedures</w:t>
            </w:r>
          </w:p>
        </w:tc>
        <w:tc>
          <w:tcPr>
            <w:tcW w:w="4660" w:type="dxa"/>
            <w:vAlign w:val="bottom"/>
            <w:tcBorders>
              <w:top w:val="single" w:sz="8" w:color="CFF0FC"/>
            </w:tcBorders>
            <w:gridSpan w:val="5"/>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32</w:t>
            </w:r>
          </w:p>
        </w:tc>
      </w:tr>
      <w:tr>
        <w:trPr>
          <w:trHeight w:val="189"/>
        </w:trPr>
        <w:tc>
          <w:tcPr>
            <w:tcW w:w="1380" w:type="dxa"/>
            <w:vAlign w:val="bottom"/>
            <w:shd w:val="clear" w:color="auto" w:fill="CFF0FC"/>
          </w:tcPr>
          <w:p>
            <w:pPr>
              <w:spacing w:after="0"/>
              <w:rPr>
                <w:sz w:val="16"/>
                <w:szCs w:val="16"/>
                <w:color w:val="auto"/>
              </w:rPr>
            </w:pPr>
          </w:p>
        </w:tc>
        <w:tc>
          <w:tcPr>
            <w:tcW w:w="220" w:type="dxa"/>
            <w:vAlign w:val="bottom"/>
            <w:tcBorders>
              <w:top w:val="single" w:sz="8" w:color="0000FF"/>
            </w:tcBorders>
            <w:shd w:val="clear" w:color="auto" w:fill="CFF0FC"/>
          </w:tcPr>
          <w:p>
            <w:pPr>
              <w:spacing w:after="0"/>
              <w:rPr>
                <w:sz w:val="16"/>
                <w:szCs w:val="16"/>
                <w:color w:val="auto"/>
              </w:rPr>
            </w:pPr>
          </w:p>
        </w:tc>
        <w:tc>
          <w:tcPr>
            <w:tcW w:w="360" w:type="dxa"/>
            <w:vAlign w:val="bottom"/>
            <w:tcBorders>
              <w:top w:val="single" w:sz="8" w:color="0000FF"/>
            </w:tcBorders>
            <w:shd w:val="clear" w:color="auto" w:fill="CFF0FC"/>
          </w:tcPr>
          <w:p>
            <w:pPr>
              <w:spacing w:after="0"/>
              <w:rPr>
                <w:sz w:val="16"/>
                <w:szCs w:val="16"/>
                <w:color w:val="auto"/>
              </w:rPr>
            </w:pPr>
          </w:p>
        </w:tc>
        <w:tc>
          <w:tcPr>
            <w:tcW w:w="200" w:type="dxa"/>
            <w:vAlign w:val="bottom"/>
            <w:tcBorders>
              <w:top w:val="single" w:sz="8" w:color="0000FF"/>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360" w:type="dxa"/>
            <w:vAlign w:val="bottom"/>
            <w:tcBorders>
              <w:top w:val="single" w:sz="8" w:color="0000FF"/>
            </w:tcBorders>
            <w:shd w:val="clear" w:color="auto" w:fill="CFF0FC"/>
          </w:tcPr>
          <w:p>
            <w:pPr>
              <w:spacing w:after="0"/>
              <w:rPr>
                <w:sz w:val="16"/>
                <w:szCs w:val="16"/>
                <w:color w:val="auto"/>
              </w:rPr>
            </w:pPr>
          </w:p>
        </w:tc>
        <w:tc>
          <w:tcPr>
            <w:tcW w:w="20" w:type="dxa"/>
            <w:vAlign w:val="bottom"/>
            <w:tcBorders>
              <w:top w:val="single" w:sz="8" w:color="0000FF"/>
            </w:tcBorders>
            <w:shd w:val="clear" w:color="auto" w:fill="CFF0FC"/>
          </w:tcPr>
          <w:p>
            <w:pPr>
              <w:spacing w:after="0"/>
              <w:rPr>
                <w:sz w:val="16"/>
                <w:szCs w:val="16"/>
                <w:color w:val="auto"/>
              </w:rPr>
            </w:pPr>
          </w:p>
        </w:tc>
        <w:tc>
          <w:tcPr>
            <w:tcW w:w="60" w:type="dxa"/>
            <w:vAlign w:val="bottom"/>
            <w:tcBorders>
              <w:top w:val="single" w:sz="8" w:color="0000FF"/>
            </w:tcBorders>
            <w:shd w:val="clear" w:color="auto" w:fill="CFF0FC"/>
          </w:tcPr>
          <w:p>
            <w:pPr>
              <w:spacing w:after="0"/>
              <w:rPr>
                <w:sz w:val="16"/>
                <w:szCs w:val="16"/>
                <w:color w:val="auto"/>
              </w:rPr>
            </w:pPr>
          </w:p>
        </w:tc>
        <w:tc>
          <w:tcPr>
            <w:tcW w:w="180" w:type="dxa"/>
            <w:vAlign w:val="bottom"/>
            <w:tcBorders>
              <w:top w:val="single" w:sz="8" w:color="0000FF"/>
            </w:tcBorders>
            <w:shd w:val="clear" w:color="auto" w:fill="CFF0FC"/>
          </w:tcPr>
          <w:p>
            <w:pPr>
              <w:spacing w:after="0"/>
              <w:rPr>
                <w:sz w:val="16"/>
                <w:szCs w:val="16"/>
                <w:color w:val="auto"/>
              </w:rPr>
            </w:pPr>
          </w:p>
        </w:tc>
        <w:tc>
          <w:tcPr>
            <w:tcW w:w="220" w:type="dxa"/>
            <w:vAlign w:val="bottom"/>
            <w:tcBorders>
              <w:top w:val="single" w:sz="8" w:color="0000FF"/>
            </w:tcBorders>
            <w:shd w:val="clear" w:color="auto" w:fill="CFF0FC"/>
          </w:tcPr>
          <w:p>
            <w:pPr>
              <w:spacing w:after="0"/>
              <w:rPr>
                <w:sz w:val="16"/>
                <w:szCs w:val="16"/>
                <w:color w:val="auto"/>
              </w:rPr>
            </w:pPr>
          </w:p>
        </w:tc>
        <w:tc>
          <w:tcPr>
            <w:tcW w:w="60" w:type="dxa"/>
            <w:vAlign w:val="bottom"/>
            <w:tcBorders>
              <w:top w:val="single" w:sz="8" w:color="0000FF"/>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69"/>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60" w:type="dxa"/>
            <w:vAlign w:val="bottom"/>
            <w:gridSpan w:val="12"/>
          </w:tcPr>
          <w:p>
            <w:pPr>
              <w:jc w:val="center"/>
              <w:ind w:right="3380"/>
              <w:spacing w:after="0" w:line="162" w:lineRule="exact"/>
              <w:rPr>
                <w:sz w:val="20"/>
                <w:szCs w:val="20"/>
                <w:color w:val="auto"/>
              </w:rPr>
            </w:pPr>
            <w:r>
              <w:rPr>
                <w:rFonts w:ascii="Arial" w:cs="Arial" w:eastAsia="Arial" w:hAnsi="Arial"/>
                <w:sz w:val="16"/>
                <w:szCs w:val="16"/>
                <w:b w:val="1"/>
                <w:bCs w:val="1"/>
                <w:color w:val="0000FF"/>
              </w:rPr>
              <w:t>PART II — OTHER INFORMATION</w:t>
            </w:r>
          </w:p>
        </w:tc>
        <w:tc>
          <w:tcPr>
            <w:tcW w:w="960" w:type="dxa"/>
            <w:vAlign w:val="bottom"/>
          </w:tcPr>
          <w:p>
            <w:pPr>
              <w:spacing w:after="0"/>
              <w:rPr>
                <w:sz w:val="14"/>
                <w:szCs w:val="14"/>
                <w:color w:val="auto"/>
              </w:rPr>
            </w:pPr>
          </w:p>
        </w:tc>
      </w:tr>
      <w:tr>
        <w:trPr>
          <w:trHeight w:val="169"/>
        </w:trPr>
        <w:tc>
          <w:tcPr>
            <w:tcW w:w="138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Item 1.</w:t>
            </w:r>
          </w:p>
        </w:tc>
        <w:tc>
          <w:tcPr>
            <w:tcW w:w="2940" w:type="dxa"/>
            <w:vAlign w:val="bottom"/>
            <w:gridSpan w:val="14"/>
            <w:shd w:val="clear" w:color="auto" w:fill="CFF0FC"/>
          </w:tcPr>
          <w:p>
            <w:pPr>
              <w:spacing w:after="0" w:line="162" w:lineRule="exact"/>
              <w:rPr>
                <w:sz w:val="20"/>
                <w:szCs w:val="20"/>
                <w:color w:val="auto"/>
              </w:rPr>
            </w:pPr>
            <w:r>
              <w:rPr>
                <w:rFonts w:ascii="Arial" w:cs="Arial" w:eastAsia="Arial" w:hAnsi="Arial"/>
                <w:sz w:val="16"/>
                <w:szCs w:val="16"/>
                <w:color w:val="0000FF"/>
              </w:rPr>
              <w:t>Legal Proceedings</w:t>
            </w:r>
          </w:p>
        </w:tc>
        <w:tc>
          <w:tcPr>
            <w:tcW w:w="2580" w:type="dxa"/>
            <w:vAlign w:val="bottom"/>
            <w:tcBorders>
              <w:top w:val="single" w:sz="8" w:color="0000FF"/>
            </w:tcBorders>
            <w:gridSpan w:val="9"/>
            <w:shd w:val="clear" w:color="auto" w:fill="CFF0FC"/>
          </w:tcPr>
          <w:p>
            <w:pPr>
              <w:spacing w:after="0"/>
              <w:rPr>
                <w:sz w:val="14"/>
                <w:szCs w:val="14"/>
                <w:color w:val="auto"/>
              </w:rPr>
            </w:pPr>
          </w:p>
        </w:tc>
        <w:tc>
          <w:tcPr>
            <w:tcW w:w="3380" w:type="dxa"/>
            <w:vAlign w:val="bottom"/>
            <w:gridSpan w:val="3"/>
            <w:shd w:val="clear" w:color="auto" w:fill="CFF0FC"/>
          </w:tcPr>
          <w:p>
            <w:pPr>
              <w:spacing w:after="0"/>
              <w:rPr>
                <w:sz w:val="14"/>
                <w:szCs w:val="14"/>
                <w:color w:val="auto"/>
              </w:rPr>
            </w:pP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33</w:t>
            </w:r>
          </w:p>
        </w:tc>
      </w:tr>
      <w:tr>
        <w:trPr>
          <w:trHeight w:val="162"/>
        </w:trPr>
        <w:tc>
          <w:tcPr>
            <w:tcW w:w="1380" w:type="dxa"/>
            <w:vAlign w:val="bottom"/>
            <w:tcBorders>
              <w:top w:val="single" w:sz="8" w:color="CFF0FC"/>
            </w:tcBorders>
          </w:tcPr>
          <w:p>
            <w:pPr>
              <w:spacing w:after="0" w:line="162" w:lineRule="exact"/>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7"/>
          </w:tcPr>
          <w:p>
            <w:pPr>
              <w:spacing w:after="0" w:line="162" w:lineRule="exact"/>
              <w:rPr>
                <w:sz w:val="20"/>
                <w:szCs w:val="20"/>
                <w:color w:val="auto"/>
              </w:rPr>
            </w:pPr>
            <w:r>
              <w:rPr>
                <w:rFonts w:ascii="Arial" w:cs="Arial" w:eastAsia="Arial" w:hAnsi="Arial"/>
                <w:sz w:val="16"/>
                <w:szCs w:val="16"/>
                <w:color w:val="0000FF"/>
              </w:rPr>
              <w:t>Risk Factors</w:t>
            </w:r>
          </w:p>
        </w:tc>
        <w:tc>
          <w:tcPr>
            <w:tcW w:w="7560" w:type="dxa"/>
            <w:vAlign w:val="bottom"/>
            <w:tcBorders>
              <w:top w:val="single" w:sz="8" w:color="CFF0FC"/>
            </w:tcBorders>
            <w:gridSpan w:val="19"/>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33</w:t>
            </w:r>
          </w:p>
        </w:tc>
      </w:tr>
      <w:tr>
        <w:trPr>
          <w:trHeight w:val="27"/>
        </w:trPr>
        <w:tc>
          <w:tcPr>
            <w:tcW w:w="13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9"/>
        </w:trPr>
        <w:tc>
          <w:tcPr>
            <w:tcW w:w="138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22"/>
            <w:shd w:val="clear" w:color="auto" w:fill="CFF0FC"/>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4520" w:type="dxa"/>
            <w:vAlign w:val="bottom"/>
            <w:tcBorders>
              <w:bottom w:val="single" w:sz="8" w:color="CFF0FC"/>
            </w:tcBorders>
            <w:gridSpan w:val="4"/>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169"/>
        </w:trPr>
        <w:tc>
          <w:tcPr>
            <w:tcW w:w="1380" w:type="dxa"/>
            <w:vAlign w:val="bottom"/>
          </w:tcPr>
          <w:p>
            <w:pPr>
              <w:spacing w:after="0" w:line="162" w:lineRule="exact"/>
              <w:rPr>
                <w:sz w:val="20"/>
                <w:szCs w:val="20"/>
                <w:color w:val="auto"/>
              </w:rPr>
            </w:pPr>
            <w:r>
              <w:rPr>
                <w:rFonts w:ascii="Arial" w:cs="Arial" w:eastAsia="Arial" w:hAnsi="Arial"/>
                <w:sz w:val="16"/>
                <w:szCs w:val="16"/>
                <w:color w:val="auto"/>
              </w:rPr>
              <w:t>Item 3.</w:t>
            </w:r>
          </w:p>
        </w:tc>
        <w:tc>
          <w:tcPr>
            <w:tcW w:w="8900" w:type="dxa"/>
            <w:vAlign w:val="bottom"/>
            <w:gridSpan w:val="26"/>
          </w:tcPr>
          <w:p>
            <w:pPr>
              <w:spacing w:after="0" w:line="162" w:lineRule="exact"/>
              <w:rPr>
                <w:sz w:val="20"/>
                <w:szCs w:val="20"/>
                <w:color w:val="auto"/>
              </w:rPr>
            </w:pPr>
            <w:r>
              <w:rPr>
                <w:rFonts w:ascii="Arial" w:cs="Arial" w:eastAsia="Arial" w:hAnsi="Arial"/>
                <w:sz w:val="16"/>
                <w:szCs w:val="16"/>
                <w:color w:val="0000FF"/>
              </w:rPr>
              <w:t>Defaults Upon Senior Securities</w:t>
            </w: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169"/>
        </w:trPr>
        <w:tc>
          <w:tcPr>
            <w:tcW w:w="138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2300" w:type="dxa"/>
            <w:vAlign w:val="bottom"/>
            <w:tcBorders>
              <w:top w:val="single" w:sz="8" w:color="0000FF"/>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6600" w:type="dxa"/>
            <w:vAlign w:val="bottom"/>
            <w:gridSpan w:val="15"/>
            <w:shd w:val="clear" w:color="auto" w:fill="CFF0FC"/>
          </w:tcPr>
          <w:p>
            <w:pPr>
              <w:spacing w:after="0"/>
              <w:rPr>
                <w:sz w:val="14"/>
                <w:szCs w:val="14"/>
                <w:color w:val="auto"/>
              </w:rPr>
            </w:pPr>
          </w:p>
        </w:tc>
        <w:tc>
          <w:tcPr>
            <w:tcW w:w="9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169"/>
        </w:trPr>
        <w:tc>
          <w:tcPr>
            <w:tcW w:w="1380" w:type="dxa"/>
            <w:vAlign w:val="bottom"/>
            <w:tcBorders>
              <w:top w:val="single" w:sz="8" w:color="CFF0FC"/>
            </w:tcBorders>
          </w:tcPr>
          <w:p>
            <w:pPr>
              <w:spacing w:after="0" w:line="162"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Other Information</w:t>
            </w:r>
          </w:p>
        </w:tc>
        <w:tc>
          <w:tcPr>
            <w:tcW w:w="7160" w:type="dxa"/>
            <w:vAlign w:val="bottom"/>
            <w:tcBorders>
              <w:top w:val="single" w:sz="8" w:color="CFF0FC"/>
            </w:tcBorders>
            <w:gridSpan w:val="17"/>
          </w:tcPr>
          <w:p>
            <w:pPr>
              <w:spacing w:after="0"/>
              <w:rPr>
                <w:sz w:val="14"/>
                <w:szCs w:val="14"/>
                <w:color w:val="auto"/>
              </w:rPr>
            </w:pPr>
          </w:p>
        </w:tc>
        <w:tc>
          <w:tcPr>
            <w:tcW w:w="9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169"/>
        </w:trPr>
        <w:tc>
          <w:tcPr>
            <w:tcW w:w="138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gridSpan w:val="2"/>
            <w:shd w:val="clear" w:color="auto" w:fill="CFF0FC"/>
          </w:tcPr>
          <w:p>
            <w:pPr>
              <w:spacing w:after="0" w:line="162" w:lineRule="exact"/>
              <w:rPr>
                <w:sz w:val="20"/>
                <w:szCs w:val="20"/>
                <w:color w:val="auto"/>
              </w:rPr>
            </w:pPr>
            <w:r>
              <w:rPr>
                <w:rFonts w:ascii="Arial" w:cs="Arial" w:eastAsia="Arial" w:hAnsi="Arial"/>
                <w:sz w:val="16"/>
                <w:szCs w:val="16"/>
                <w:color w:val="0000FF"/>
                <w:w w:val="99"/>
              </w:rPr>
              <w:t>Exhibits</w:t>
            </w:r>
          </w:p>
        </w:tc>
        <w:tc>
          <w:tcPr>
            <w:tcW w:w="680" w:type="dxa"/>
            <w:vAlign w:val="bottom"/>
            <w:tcBorders>
              <w:top w:val="single" w:sz="8" w:color="0000FF"/>
              <w:bottom w:val="single" w:sz="8" w:color="CFF0FC"/>
            </w:tcBorders>
            <w:gridSpan w:val="3"/>
            <w:shd w:val="clear" w:color="auto" w:fill="CFF0FC"/>
          </w:tcPr>
          <w:p>
            <w:pPr>
              <w:spacing w:after="0"/>
              <w:rPr>
                <w:sz w:val="14"/>
                <w:szCs w:val="14"/>
                <w:color w:val="auto"/>
              </w:rPr>
            </w:pPr>
          </w:p>
        </w:tc>
        <w:tc>
          <w:tcPr>
            <w:tcW w:w="7640" w:type="dxa"/>
            <w:vAlign w:val="bottom"/>
            <w:tcBorders>
              <w:bottom w:val="single" w:sz="8" w:color="CFF0FC"/>
            </w:tcBorders>
            <w:gridSpan w:val="21"/>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74</w:t>
            </w:r>
          </w:p>
        </w:tc>
      </w:tr>
      <w:tr>
        <w:trPr>
          <w:trHeight w:val="162"/>
        </w:trPr>
        <w:tc>
          <w:tcPr>
            <w:tcW w:w="1380" w:type="dxa"/>
            <w:vAlign w:val="bottom"/>
          </w:tcPr>
          <w:p>
            <w:pPr>
              <w:spacing w:after="0"/>
              <w:rPr>
                <w:sz w:val="14"/>
                <w:szCs w:val="14"/>
                <w:color w:val="auto"/>
              </w:rPr>
            </w:pPr>
          </w:p>
        </w:tc>
        <w:tc>
          <w:tcPr>
            <w:tcW w:w="780" w:type="dxa"/>
            <w:vAlign w:val="bottom"/>
            <w:tcBorders>
              <w:bottom w:val="single" w:sz="8" w:color="0000FF"/>
            </w:tcBorders>
            <w:gridSpan w:val="3"/>
          </w:tcPr>
          <w:p>
            <w:pPr>
              <w:spacing w:after="0" w:line="162" w:lineRule="exact"/>
              <w:rPr>
                <w:sz w:val="20"/>
                <w:szCs w:val="20"/>
                <w:color w:val="auto"/>
              </w:rPr>
            </w:pPr>
            <w:r>
              <w:rPr>
                <w:rFonts w:ascii="Arial" w:cs="Arial" w:eastAsia="Arial" w:hAnsi="Arial"/>
                <w:sz w:val="16"/>
                <w:szCs w:val="16"/>
                <w:color w:val="0000FF"/>
                <w:w w:val="99"/>
              </w:rPr>
              <w:t>Signatures</w:t>
            </w:r>
          </w:p>
        </w:tc>
        <w:tc>
          <w:tcPr>
            <w:tcW w:w="8120" w:type="dxa"/>
            <w:vAlign w:val="bottom"/>
            <w:gridSpan w:val="23"/>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color w:val="auto"/>
              </w:rPr>
              <w:t>75</w:t>
            </w:r>
          </w:p>
        </w:tc>
      </w:tr>
      <w:tr>
        <w:trPr>
          <w:trHeight w:val="640"/>
        </w:trPr>
        <w:tc>
          <w:tcPr>
            <w:tcW w:w="1380" w:type="dxa"/>
            <w:vAlign w:val="bottom"/>
          </w:tcPr>
          <w:p>
            <w:pPr>
              <w:spacing w:after="0"/>
              <w:rPr>
                <w:sz w:val="24"/>
                <w:szCs w:val="24"/>
                <w:color w:val="auto"/>
              </w:rPr>
            </w:pPr>
          </w:p>
        </w:tc>
        <w:tc>
          <w:tcPr>
            <w:tcW w:w="4380" w:type="dxa"/>
            <w:vAlign w:val="bottom"/>
            <w:gridSpan w:val="22"/>
          </w:tcPr>
          <w:p>
            <w:pPr>
              <w:jc w:val="center"/>
              <w:ind w:left="4019"/>
              <w:spacing w:after="0"/>
              <w:rPr>
                <w:sz w:val="20"/>
                <w:szCs w:val="20"/>
                <w:color w:val="auto"/>
              </w:rPr>
            </w:pPr>
            <w:r>
              <w:rPr>
                <w:rFonts w:ascii="Arial" w:cs="Arial" w:eastAsia="Arial" w:hAnsi="Arial"/>
                <w:sz w:val="16"/>
                <w:szCs w:val="16"/>
                <w:color w:val="auto"/>
                <w:w w:val="89"/>
              </w:rPr>
              <w:t>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51"/>
        </w:trPr>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155"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9"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 and our ability to obtain financing when needed;</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reimbursement and reimbursement rulings;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strategies, including our aim to focus on certain indications and the timing thereof;</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and compete effectively in existing and new markets, with existing competitors and new market entrants;</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40" w:hanging="383"/>
        <w:spacing w:after="0" w:line="246"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sales, marketing and commercialization plans and strategies, including the expected benefits of and activities to be performed under our Commercialization and Reference Laboratory Agreement with Tempus AI, Inc. ("Tempus");</w:t>
      </w:r>
    </w:p>
    <w:p>
      <w:pPr>
        <w:ind w:left="1140" w:hanging="383"/>
        <w:spacing w:after="0" w:line="246"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future business with the U.S. Department of Veterans Affairs' Million Veteran Program, Natera, Inc., Moderna, Inc. ("Moderna"), and other collaboration partners and customers;</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benefit from the scaling of our infrastructure and capacity at our headquarters facility in Fremont;</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our collaboration agreements and key opinion leaders may have on the broader use of our products in the future;</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in defending and enforcing our intellectual property rights, including patents;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effects of government regulation;</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hire and retain key personnel;</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our previous reductions in force on our operations and operating results; and</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proper and effective internal controls.</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1" w:lineRule="exact"/>
        <w:rPr>
          <w:sz w:val="20"/>
          <w:szCs w:val="20"/>
          <w:color w:val="auto"/>
        </w:rPr>
      </w:pPr>
    </w:p>
    <w:p>
      <w:pPr>
        <w:jc w:val="both"/>
        <w:ind w:right="20" w:firstLine="749"/>
        <w:spacing w:after="0" w:line="283"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 and our subsidiary, Personalis (UK) Ltd.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3"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13" w:lineRule="exact"/>
        <w:rPr>
          <w:sz w:val="20"/>
          <w:szCs w:val="20"/>
          <w:color w:val="auto"/>
        </w:rPr>
      </w:pPr>
    </w:p>
    <w:p>
      <w:pPr>
        <w:ind w:left="760" w:right="2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48" w:lineRule="exact"/>
        <w:rPr>
          <w:rFonts w:ascii="Times New Roman" w:cs="Times New Roman" w:eastAsia="Times New Roman" w:hAnsi="Times New Roman"/>
          <w:sz w:val="16"/>
          <w:szCs w:val="16"/>
          <w:color w:val="auto"/>
        </w:rPr>
      </w:pPr>
    </w:p>
    <w:p>
      <w:pPr>
        <w:ind w:left="760" w:right="16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spacing w:after="0" w:line="69" w:lineRule="exact"/>
        <w:rPr>
          <w:rFonts w:ascii="Times New Roman" w:cs="Times New Roman" w:eastAsia="Times New Roman" w:hAnsi="Times New Roman"/>
          <w:sz w:val="16"/>
          <w:szCs w:val="16"/>
          <w:color w:val="auto"/>
        </w:rPr>
      </w:pPr>
    </w:p>
    <w:p>
      <w:pPr>
        <w:ind w:left="760" w:right="4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other large customers.</w:t>
      </w:r>
    </w:p>
    <w:p>
      <w:pPr>
        <w:spacing w:after="0" w:line="62" w:lineRule="exact"/>
        <w:rPr>
          <w:rFonts w:ascii="Times New Roman" w:cs="Times New Roman" w:eastAsia="Times New Roman" w:hAnsi="Times New Roman"/>
          <w:sz w:val="16"/>
          <w:szCs w:val="16"/>
          <w:color w:val="auto"/>
        </w:rPr>
      </w:pPr>
    </w:p>
    <w:p>
      <w:pPr>
        <w:ind w:left="760" w:right="38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Building our clinical laboratory business is subject to a number or reimbursement challenges and we may not be able to establish the medical necessity of our tests for coverage or reimbursement rates that cover our costs.</w:t>
      </w:r>
    </w:p>
    <w:p>
      <w:pPr>
        <w:spacing w:after="0" w:line="48" w:lineRule="exact"/>
        <w:rPr>
          <w:rFonts w:ascii="Times New Roman" w:cs="Times New Roman" w:eastAsia="Times New Roman" w:hAnsi="Times New Roman"/>
          <w:sz w:val="16"/>
          <w:szCs w:val="16"/>
          <w:color w:val="auto"/>
        </w:rPr>
      </w:pPr>
    </w:p>
    <w:p>
      <w:pPr>
        <w:ind w:left="760" w:right="12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are pursuing a partner-centric strategy and have key relationships with Tempus, Myriad Genetics, Inc, Moderna, and Merck &amp; Co., Inc. ("Merck"), among others. These and any other partnering and/or collaboration agreements that we have entered into or may enter into in the future may not be successful, or may terminate, which could adversely impact our business or affect our ability to develop and commercialize our services and products.</w:t>
      </w:r>
    </w:p>
    <w:p>
      <w:pPr>
        <w:spacing w:after="0" w:line="69" w:lineRule="exact"/>
        <w:rPr>
          <w:rFonts w:ascii="Times New Roman" w:cs="Times New Roman" w:eastAsia="Times New Roman" w:hAnsi="Times New Roman"/>
          <w:sz w:val="16"/>
          <w:szCs w:val="16"/>
          <w:color w:val="auto"/>
        </w:rPr>
      </w:pPr>
    </w:p>
    <w:p>
      <w:pPr>
        <w:ind w:left="760" w:right="3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48" w:lineRule="exact"/>
        <w:rPr>
          <w:rFonts w:ascii="Times New Roman" w:cs="Times New Roman" w:eastAsia="Times New Roman" w:hAnsi="Times New Roman"/>
          <w:sz w:val="16"/>
          <w:szCs w:val="16"/>
          <w:color w:val="auto"/>
        </w:rPr>
      </w:pPr>
    </w:p>
    <w:p>
      <w:pPr>
        <w:ind w:left="760" w:right="7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International trade policies, including tariffs, sanctions and trade barriers may adversely affect our business, financial condition, results of operations and prospects.</w:t>
      </w:r>
    </w:p>
    <w:p>
      <w:pPr>
        <w:spacing w:after="0" w:line="48" w:lineRule="exact"/>
        <w:rPr>
          <w:rFonts w:ascii="Times New Roman" w:cs="Times New Roman" w:eastAsia="Times New Roman" w:hAnsi="Times New Roman"/>
          <w:sz w:val="16"/>
          <w:szCs w:val="16"/>
          <w:color w:val="auto"/>
        </w:rPr>
      </w:pPr>
    </w:p>
    <w:p>
      <w:pPr>
        <w:ind w:left="760" w:right="4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single facility and if it becomes damaged or inoperable, or we are required to vacate our facility, our ability to sell and provide our services and pursue research and development efforts may be jeopardized.</w:t>
      </w:r>
    </w:p>
    <w:p>
      <w:pPr>
        <w:spacing w:after="0" w:line="48" w:lineRule="exact"/>
        <w:rPr>
          <w:rFonts w:ascii="Times New Roman" w:cs="Times New Roman" w:eastAsia="Times New Roman" w:hAnsi="Times New Roman"/>
          <w:sz w:val="16"/>
          <w:szCs w:val="16"/>
          <w:color w:val="auto"/>
        </w:rPr>
      </w:pPr>
    </w:p>
    <w:p>
      <w:pPr>
        <w:ind w:left="760" w:right="40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48" w:lineRule="exact"/>
        <w:rPr>
          <w:rFonts w:ascii="Times New Roman" w:cs="Times New Roman" w:eastAsia="Times New Roman" w:hAnsi="Times New Roman"/>
          <w:sz w:val="16"/>
          <w:szCs w:val="16"/>
          <w:color w:val="auto"/>
        </w:rPr>
      </w:pPr>
    </w:p>
    <w:p>
      <w:pPr>
        <w:ind w:left="760" w:right="16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or inability to achieve regulatory approval, commercialization, or payor coverage, any of which could adversely affect our business.</w:t>
      </w:r>
    </w:p>
    <w:p>
      <w:pPr>
        <w:spacing w:after="0" w:line="62"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5" w:lineRule="exact"/>
        <w:rPr>
          <w:rFonts w:ascii="Times New Roman" w:cs="Times New Roman" w:eastAsia="Times New Roman" w:hAnsi="Times New Roman"/>
          <w:sz w:val="16"/>
          <w:szCs w:val="16"/>
          <w:color w:val="auto"/>
        </w:rPr>
      </w:pPr>
    </w:p>
    <w:p>
      <w:pPr>
        <w:ind w:left="760" w:right="4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13" w:lineRule="exact"/>
        <w:rPr>
          <w:sz w:val="20"/>
          <w:szCs w:val="20"/>
          <w:color w:val="auto"/>
        </w:rPr>
      </w:pPr>
    </w:p>
    <w:p>
      <w:pPr>
        <w:ind w:left="760" w:right="500" w:hanging="378"/>
        <w:spacing w:after="0" w:line="266"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62" w:lineRule="exact"/>
        <w:rPr>
          <w:rFonts w:ascii="Times New Roman" w:cs="Times New Roman" w:eastAsia="Times New Roman" w:hAnsi="Times New Roman"/>
          <w:sz w:val="16"/>
          <w:szCs w:val="16"/>
          <w:color w:val="auto"/>
        </w:rPr>
      </w:pPr>
    </w:p>
    <w:p>
      <w:pPr>
        <w:ind w:left="760" w:right="48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48" w:lineRule="exact"/>
        <w:rPr>
          <w:rFonts w:ascii="Times New Roman" w:cs="Times New Roman" w:eastAsia="Times New Roman" w:hAnsi="Times New Roman"/>
          <w:sz w:val="16"/>
          <w:szCs w:val="16"/>
          <w:color w:val="auto"/>
        </w:rPr>
      </w:pPr>
    </w:p>
    <w:p>
      <w:pPr>
        <w:ind w:left="760" w:right="16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48" w:lineRule="exact"/>
        <w:rPr>
          <w:rFonts w:ascii="Times New Roman" w:cs="Times New Roman" w:eastAsia="Times New Roman" w:hAnsi="Times New Roman"/>
          <w:sz w:val="16"/>
          <w:szCs w:val="16"/>
          <w:color w:val="auto"/>
        </w:rPr>
      </w:pPr>
    </w:p>
    <w:p>
      <w:pPr>
        <w:ind w:left="760" w:right="40" w:hanging="378"/>
        <w:spacing w:after="0" w:line="259"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760" w:right="460" w:hanging="378"/>
        <w:spacing w:after="0" w:line="266"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62"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48" w:lineRule="exact"/>
        <w:rPr>
          <w:rFonts w:ascii="Times New Roman" w:cs="Times New Roman" w:eastAsia="Times New Roman" w:hAnsi="Times New Roman"/>
          <w:sz w:val="16"/>
          <w:szCs w:val="16"/>
          <w:color w:val="auto"/>
        </w:rPr>
      </w:pPr>
    </w:p>
    <w:p>
      <w:pPr>
        <w:ind w:left="760" w:right="180" w:hanging="378"/>
        <w:spacing w:after="0" w:line="285"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Competitors could take legal action against us for statements that are made by the company and/or its representatives, which may require us to spend significant time and money, including damages, and could limit our ability to market our tests.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13" w:lineRule="exact"/>
        <w:rPr>
          <w:sz w:val="20"/>
          <w:szCs w:val="20"/>
          <w:color w:val="auto"/>
        </w:rPr>
      </w:pPr>
    </w:p>
    <w:p>
      <w:pPr>
        <w:ind w:left="760" w:right="30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125" w:lineRule="exact"/>
        <w:rPr>
          <w:rFonts w:ascii="Times New Roman" w:cs="Times New Roman" w:eastAsia="Times New Roman" w:hAnsi="Times New Roman"/>
          <w:sz w:val="16"/>
          <w:szCs w:val="16"/>
          <w:color w:val="auto"/>
        </w:rPr>
      </w:pPr>
    </w:p>
    <w:p>
      <w:pPr>
        <w:ind w:left="760" w:right="400" w:hanging="378"/>
        <w:spacing w:after="0" w:line="266"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5" w:lineRule="exact"/>
        <w:rPr>
          <w:rFonts w:ascii="Times New Roman" w:cs="Times New Roman" w:eastAsia="Times New Roman" w:hAnsi="Times New Roman"/>
          <w:sz w:val="16"/>
          <w:szCs w:val="16"/>
          <w:color w:val="auto"/>
        </w:rPr>
      </w:pPr>
    </w:p>
    <w:p>
      <w:pPr>
        <w:ind w:left="760" w:right="22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13" w:lineRule="exact"/>
        <w:rPr>
          <w:sz w:val="20"/>
          <w:szCs w:val="20"/>
          <w:color w:val="auto"/>
        </w:rPr>
      </w:pPr>
    </w:p>
    <w:p>
      <w:pPr>
        <w:ind w:left="760" w:right="5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48" w:lineRule="exact"/>
        <w:rPr>
          <w:rFonts w:ascii="Times New Roman" w:cs="Times New Roman" w:eastAsia="Times New Roman" w:hAnsi="Times New Roman"/>
          <w:sz w:val="16"/>
          <w:szCs w:val="16"/>
          <w:color w:val="auto"/>
        </w:rPr>
      </w:pPr>
    </w:p>
    <w:p>
      <w:pPr>
        <w:ind w:left="760" w:right="18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5"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Insiders or holders of greater than five percent of our outstanding common stock may exercise significant control over our company and will be able to influence corporate matters.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48" w:lineRule="exact"/>
        <w:rPr>
          <w:rFonts w:ascii="Times New Roman" w:cs="Times New Roman" w:eastAsia="Times New Roman" w:hAnsi="Times New Roman"/>
          <w:sz w:val="16"/>
          <w:szCs w:val="16"/>
          <w:color w:val="auto"/>
        </w:rPr>
      </w:pPr>
    </w:p>
    <w:p>
      <w:pPr>
        <w:ind w:left="760" w:right="4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48" w:lineRule="exact"/>
        <w:rPr>
          <w:rFonts w:ascii="Times New Roman" w:cs="Times New Roman" w:eastAsia="Times New Roman" w:hAnsi="Times New Roman"/>
          <w:sz w:val="16"/>
          <w:szCs w:val="16"/>
          <w:color w:val="auto"/>
        </w:rPr>
      </w:pPr>
    </w:p>
    <w:p>
      <w:pPr>
        <w:ind w:left="760" w:right="2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48" w:lineRule="exact"/>
        <w:rPr>
          <w:rFonts w:ascii="Times New Roman" w:cs="Times New Roman" w:eastAsia="Times New Roman" w:hAnsi="Times New Roman"/>
          <w:sz w:val="16"/>
          <w:szCs w:val="16"/>
          <w:color w:val="auto"/>
        </w:rPr>
      </w:pPr>
    </w:p>
    <w:p>
      <w:pPr>
        <w:ind w:left="760" w:hanging="378"/>
        <w:spacing w:after="0" w:line="259"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4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9"/>
        </w:trPr>
        <w:tc>
          <w:tcPr>
            <w:tcW w:w="74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74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71,001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91,415</w:t>
            </w:r>
          </w:p>
        </w:tc>
      </w:tr>
      <w:tr>
        <w:trPr>
          <w:trHeight w:val="189"/>
        </w:trPr>
        <w:tc>
          <w:tcPr>
            <w:tcW w:w="746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114,687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93,594</w:t>
            </w:r>
          </w:p>
        </w:tc>
      </w:tr>
      <w:tr>
        <w:trPr>
          <w:trHeight w:val="189"/>
        </w:trPr>
        <w:tc>
          <w:tcPr>
            <w:tcW w:w="746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10,973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8,140</w:t>
            </w:r>
          </w:p>
        </w:tc>
      </w:tr>
      <w:tr>
        <w:trPr>
          <w:trHeight w:val="189"/>
        </w:trPr>
        <w:tc>
          <w:tcPr>
            <w:tcW w:w="7460" w:type="dxa"/>
            <w:vAlign w:val="bottom"/>
          </w:tcPr>
          <w:p>
            <w:pPr>
              <w:ind w:left="140"/>
              <w:spacing w:after="0"/>
              <w:rPr>
                <w:sz w:val="20"/>
                <w:szCs w:val="20"/>
                <w:color w:val="auto"/>
              </w:rPr>
            </w:pPr>
            <w:r>
              <w:rPr>
                <w:rFonts w:ascii="Arial" w:cs="Arial" w:eastAsia="Arial" w:hAnsi="Arial"/>
                <w:sz w:val="16"/>
                <w:szCs w:val="16"/>
                <w:color w:val="auto"/>
              </w:rPr>
              <w:t>Inventory and other deferred costs</w:t>
            </w:r>
          </w:p>
        </w:tc>
        <w:tc>
          <w:tcPr>
            <w:tcW w:w="18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4,923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5,939</w:t>
            </w:r>
          </w:p>
        </w:tc>
      </w:tr>
      <w:tr>
        <w:trPr>
          <w:trHeight w:val="189"/>
        </w:trPr>
        <w:tc>
          <w:tcPr>
            <w:tcW w:w="7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4,838</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3,927</w:t>
            </w:r>
          </w:p>
        </w:tc>
      </w:tr>
      <w:tr>
        <w:trPr>
          <w:trHeight w:val="183"/>
        </w:trPr>
        <w:tc>
          <w:tcPr>
            <w:tcW w:w="7460" w:type="dxa"/>
            <w:vAlign w:val="bottom"/>
          </w:tcPr>
          <w:p>
            <w:pPr>
              <w:ind w:left="420"/>
              <w:spacing w:after="0" w:line="183" w:lineRule="exact"/>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5"/>
                <w:szCs w:val="15"/>
                <w:color w:val="auto"/>
              </w:rPr>
            </w:pPr>
          </w:p>
        </w:tc>
        <w:tc>
          <w:tcPr>
            <w:tcW w:w="16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206,422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203,015</w:t>
            </w:r>
          </w:p>
        </w:tc>
      </w:tr>
      <w:tr>
        <w:trPr>
          <w:trHeight w:val="189"/>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47,986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48,274</w:t>
            </w:r>
          </w:p>
        </w:tc>
      </w:tr>
      <w:tr>
        <w:trPr>
          <w:trHeight w:val="189"/>
        </w:trPr>
        <w:tc>
          <w:tcPr>
            <w:tcW w:w="74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16,055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16,453</w:t>
            </w:r>
          </w:p>
        </w:tc>
      </w:tr>
      <w:tr>
        <w:trPr>
          <w:trHeight w:val="189"/>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2,845</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2,526</w:t>
            </w:r>
          </w:p>
        </w:tc>
      </w:tr>
      <w:tr>
        <w:trPr>
          <w:trHeight w:val="183"/>
        </w:trPr>
        <w:tc>
          <w:tcPr>
            <w:tcW w:w="7460" w:type="dxa"/>
            <w:vAlign w:val="bottom"/>
          </w:tcPr>
          <w:p>
            <w:pPr>
              <w:ind w:left="420"/>
              <w:spacing w:after="0" w:line="169" w:lineRule="exact"/>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273,308</w:t>
            </w:r>
          </w:p>
        </w:tc>
        <w:tc>
          <w:tcPr>
            <w:tcW w:w="2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270,268</w:t>
            </w:r>
          </w:p>
        </w:tc>
      </w:tr>
      <w:tr>
        <w:trPr>
          <w:trHeight w:val="20"/>
        </w:trPr>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4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r>
      <w:tr>
        <w:trPr>
          <w:trHeight w:val="189"/>
        </w:trPr>
        <w:tc>
          <w:tcPr>
            <w:tcW w:w="746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746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7,914</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6,397</w:t>
            </w:r>
          </w:p>
        </w:tc>
      </w:tr>
      <w:tr>
        <w:trPr>
          <w:trHeight w:val="189"/>
        </w:trPr>
        <w:tc>
          <w:tcPr>
            <w:tcW w:w="7460" w:type="dxa"/>
            <w:vAlign w:val="bottom"/>
          </w:tcPr>
          <w:p>
            <w:pPr>
              <w:ind w:left="140"/>
              <w:spacing w:after="0" w:line="189"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20,014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21,629</w:t>
            </w:r>
          </w:p>
        </w:tc>
      </w:tr>
      <w:tr>
        <w:trPr>
          <w:trHeight w:val="189"/>
        </w:trPr>
        <w:tc>
          <w:tcPr>
            <w:tcW w:w="74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1,964</w:t>
            </w:r>
          </w:p>
        </w:tc>
        <w:tc>
          <w:tcPr>
            <w:tcW w:w="16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3,100</w:t>
            </w:r>
          </w:p>
        </w:tc>
      </w:tr>
      <w:tr>
        <w:trPr>
          <w:trHeight w:val="183"/>
        </w:trPr>
        <w:tc>
          <w:tcPr>
            <w:tcW w:w="7460" w:type="dxa"/>
            <w:vAlign w:val="bottom"/>
          </w:tcPr>
          <w:p>
            <w:pPr>
              <w:ind w:left="420"/>
              <w:spacing w:after="0" w:line="183" w:lineRule="exact"/>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5"/>
                <w:szCs w:val="15"/>
                <w:color w:val="auto"/>
              </w:rPr>
            </w:pPr>
          </w:p>
        </w:tc>
        <w:tc>
          <w:tcPr>
            <w:tcW w:w="16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29,892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31,126</w:t>
            </w:r>
          </w:p>
        </w:tc>
      </w:tr>
      <w:tr>
        <w:trPr>
          <w:trHeight w:val="189"/>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34,112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34,882</w:t>
            </w:r>
          </w:p>
        </w:tc>
      </w:tr>
      <w:tr>
        <w:trPr>
          <w:trHeight w:val="189"/>
        </w:trPr>
        <w:tc>
          <w:tcPr>
            <w:tcW w:w="7460" w:type="dxa"/>
            <w:vAlign w:val="bottom"/>
          </w:tcPr>
          <w:p>
            <w:pPr>
              <w:spacing w:after="0" w:line="18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1,959</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1,303</w:t>
            </w:r>
          </w:p>
        </w:tc>
      </w:tr>
      <w:tr>
        <w:trPr>
          <w:trHeight w:val="183"/>
        </w:trPr>
        <w:tc>
          <w:tcPr>
            <w:tcW w:w="746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65,963</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67,311</w:t>
            </w:r>
          </w:p>
        </w:tc>
      </w:tr>
      <w:tr>
        <w:trPr>
          <w:trHeight w:val="183"/>
        </w:trPr>
        <w:tc>
          <w:tcPr>
            <w:tcW w:w="7460" w:type="dxa"/>
            <w:vAlign w:val="bottom"/>
          </w:tcPr>
          <w:p>
            <w:pPr>
              <w:spacing w:after="0" w:line="183" w:lineRule="exact"/>
              <w:rPr>
                <w:sz w:val="20"/>
                <w:szCs w:val="20"/>
                <w:color w:val="auto"/>
              </w:rPr>
            </w:pPr>
            <w:r>
              <w:rPr>
                <w:rFonts w:ascii="Arial" w:cs="Arial" w:eastAsia="Arial" w:hAnsi="Arial"/>
                <w:sz w:val="16"/>
                <w:szCs w:val="16"/>
                <w:color w:val="auto"/>
              </w:rPr>
              <w:t>Commitments and contingencies (Note 11)</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9"/>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r>
      <w:tr>
        <w:trPr>
          <w:trHeight w:val="189"/>
        </w:trPr>
        <w:tc>
          <w:tcPr>
            <w:tcW w:w="7460" w:type="dxa"/>
            <w:vAlign w:val="bottom"/>
          </w:tcPr>
          <w:p>
            <w:pPr>
              <w:ind w:left="2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18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75"/>
        </w:trPr>
        <w:tc>
          <w:tcPr>
            <w:tcW w:w="746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Common stock, $0.0001 par value — 200,000,000 shares authorized; 88,319,290 and</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203"/>
        </w:trPr>
        <w:tc>
          <w:tcPr>
            <w:tcW w:w="74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85,171,146 shares issued and outstanding, respectively</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r>
      <w:tr>
        <w:trPr>
          <w:trHeight w:val="189"/>
        </w:trPr>
        <w:tc>
          <w:tcPr>
            <w:tcW w:w="74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773,094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752,961</w:t>
            </w:r>
          </w:p>
        </w:tc>
      </w:tr>
      <w:tr>
        <w:trPr>
          <w:trHeight w:val="189"/>
        </w:trPr>
        <w:tc>
          <w:tcPr>
            <w:tcW w:w="74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746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(565,740)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(549,990)</w:t>
            </w:r>
          </w:p>
        </w:tc>
      </w:tr>
      <w:tr>
        <w:trPr>
          <w:trHeight w:val="183"/>
        </w:trPr>
        <w:tc>
          <w:tcPr>
            <w:tcW w:w="746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207,345</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202,957</w:t>
            </w:r>
          </w:p>
        </w:tc>
      </w:tr>
      <w:tr>
        <w:trPr>
          <w:trHeight w:val="183"/>
        </w:trPr>
        <w:tc>
          <w:tcPr>
            <w:tcW w:w="7460" w:type="dxa"/>
            <w:vAlign w:val="bottom"/>
          </w:tcPr>
          <w:p>
            <w:pPr>
              <w:ind w:left="42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273,308</w:t>
            </w:r>
          </w:p>
        </w:tc>
        <w:tc>
          <w:tcPr>
            <w:tcW w:w="2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270,268</w:t>
            </w:r>
          </w:p>
        </w:tc>
      </w:tr>
      <w:tr>
        <w:trPr>
          <w:trHeight w:val="20"/>
        </w:trPr>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-2990850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-2502535</wp:posOffset>
            </wp:positionV>
            <wp:extent cx="102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-1250950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related party accounts receivable of $0.5 million and $2.5 million as of March 31, 2025 and December 31, 2024, respectively.</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related party liabilities of $2.8 million and $1.7 million as of March 31, 2025 and December 31, 2024,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related party liabilities of $1.2 million and $1.2 million as of March 31, 2025 and December 31, 2024,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40"/>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5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220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20,605</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19,525</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Costs and expenses</w:t>
            </w: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9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 of revenue</w:t>
            </w:r>
          </w:p>
        </w:tc>
        <w:tc>
          <w:tcPr>
            <w:tcW w:w="1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13,398</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14,032</w:t>
            </w:r>
          </w:p>
        </w:tc>
      </w:tr>
      <w:tr>
        <w:trPr>
          <w:trHeight w:val="189"/>
        </w:trPr>
        <w:tc>
          <w:tcPr>
            <w:tcW w:w="590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12,640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12,771</w:t>
            </w:r>
          </w:p>
        </w:tc>
      </w:tr>
      <w:tr>
        <w:trPr>
          <w:trHeight w:val="189"/>
        </w:trPr>
        <w:tc>
          <w:tcPr>
            <w:tcW w:w="590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18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12,263</w:t>
            </w:r>
          </w:p>
        </w:tc>
        <w:tc>
          <w:tcPr>
            <w:tcW w:w="18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11,602</w:t>
            </w:r>
          </w:p>
        </w:tc>
      </w:tr>
      <w:tr>
        <w:trPr>
          <w:trHeight w:val="183"/>
        </w:trPr>
        <w:tc>
          <w:tcPr>
            <w:tcW w:w="5900" w:type="dxa"/>
            <w:vAlign w:val="bottom"/>
          </w:tcPr>
          <w:p>
            <w:pPr>
              <w:ind w:left="280"/>
              <w:spacing w:after="0" w:line="183" w:lineRule="exact"/>
              <w:rPr>
                <w:sz w:val="20"/>
                <w:szCs w:val="20"/>
                <w:color w:val="auto"/>
              </w:rPr>
            </w:pPr>
            <w:r>
              <w:rPr>
                <w:rFonts w:ascii="Arial" w:cs="Arial" w:eastAsia="Arial" w:hAnsi="Arial"/>
                <w:sz w:val="16"/>
                <w:szCs w:val="16"/>
                <w:color w:val="auto"/>
              </w:rPr>
              <w:t>Total costs and expenses</w:t>
            </w:r>
          </w:p>
        </w:tc>
        <w:tc>
          <w:tcPr>
            <w:tcW w:w="1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38,301</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38,405</w:t>
            </w:r>
          </w:p>
        </w:tc>
      </w:tr>
      <w:tr>
        <w:trPr>
          <w:trHeight w:val="183"/>
        </w:trPr>
        <w:tc>
          <w:tcPr>
            <w:tcW w:w="5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1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(17,696)</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(18,880)</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Interest income</w:t>
            </w: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1,359</w:t>
            </w:r>
          </w:p>
        </w:tc>
      </w:tr>
      <w:tr>
        <w:trPr>
          <w:trHeight w:val="18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4,569</w:t>
            </w:r>
          </w:p>
        </w:tc>
      </w:tr>
      <w:tr>
        <w:trPr>
          <w:trHeight w:val="183"/>
        </w:trPr>
        <w:tc>
          <w:tcPr>
            <w:tcW w:w="5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taxes</w:t>
            </w:r>
          </w:p>
        </w:tc>
        <w:tc>
          <w:tcPr>
            <w:tcW w:w="1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(15,743)</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(12,961)</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r>
      <w:tr>
        <w:trPr>
          <w:trHeight w:val="203"/>
        </w:trPr>
        <w:tc>
          <w:tcPr>
            <w:tcW w:w="5900" w:type="dxa"/>
            <w:vAlign w:val="bottom"/>
            <w:shd w:val="clear" w:color="auto" w:fill="CFF0FC"/>
          </w:tcPr>
          <w:p>
            <w:pPr>
              <w:ind w:left="420"/>
              <w:spacing w:after="0" w:line="169" w:lineRule="exact"/>
              <w:rPr>
                <w:sz w:val="20"/>
                <w:szCs w:val="20"/>
                <w:color w:val="auto"/>
              </w:rPr>
            </w:pPr>
            <w:r>
              <w:rPr>
                <w:rFonts w:ascii="Arial" w:cs="Arial" w:eastAsia="Arial" w:hAnsi="Arial"/>
                <w:sz w:val="16"/>
                <w:szCs w:val="16"/>
                <w:color w:val="auto"/>
              </w:rPr>
              <w:t>Net loss</w:t>
            </w:r>
          </w:p>
        </w:tc>
        <w:tc>
          <w:tcPr>
            <w:tcW w:w="18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(15,750)</w:t>
            </w:r>
          </w:p>
        </w:tc>
        <w:tc>
          <w:tcPr>
            <w:tcW w:w="5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(12,968)</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r>
        <w:trPr>
          <w:trHeight w:val="170"/>
        </w:trPr>
        <w:tc>
          <w:tcPr>
            <w:tcW w:w="5900" w:type="dxa"/>
            <w:vAlign w:val="bottom"/>
          </w:tcPr>
          <w:p>
            <w:pPr>
              <w:spacing w:after="0" w:line="169" w:lineRule="exact"/>
              <w:rPr>
                <w:sz w:val="20"/>
                <w:szCs w:val="20"/>
                <w:color w:val="auto"/>
              </w:rPr>
            </w:pPr>
            <w:r>
              <w:rPr>
                <w:rFonts w:ascii="Arial" w:cs="Arial" w:eastAsia="Arial" w:hAnsi="Arial"/>
                <w:sz w:val="16"/>
                <w:szCs w:val="16"/>
                <w:color w:val="auto"/>
              </w:rPr>
              <w:t>Net loss per share, basic and diluted</w:t>
            </w:r>
          </w:p>
        </w:tc>
        <w:tc>
          <w:tcPr>
            <w:tcW w:w="1840" w:type="dxa"/>
            <w:vAlign w:val="bottom"/>
          </w:tcPr>
          <w:p>
            <w:pPr>
              <w:spacing w:after="0"/>
              <w:rPr>
                <w:sz w:val="14"/>
                <w:szCs w:val="14"/>
                <w:color w:val="auto"/>
              </w:rPr>
            </w:pP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(0.18)</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(0.26)</w:t>
            </w:r>
          </w:p>
        </w:tc>
      </w:tr>
      <w:tr>
        <w:trPr>
          <w:trHeight w:val="20"/>
        </w:trPr>
        <w:tc>
          <w:tcPr>
            <w:tcW w:w="5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9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Weighted-average shares outstanding, basic and diluted</w:t>
            </w:r>
          </w:p>
        </w:tc>
        <w:tc>
          <w:tcPr>
            <w:tcW w:w="18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87,463,885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50,678,586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-1323975</wp:posOffset>
            </wp:positionV>
            <wp:extent cx="1365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5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related party revenue of $0.5 million for the three months ended March 31, 2025.</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related party sales and marketing expenses of $0.6 million for the three months ended March 31, 2025.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r>
      <w:tr>
        <w:trPr>
          <w:trHeight w:val="155"/>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FF0FC"/>
          </w:tcPr>
          <w:p>
            <w:pPr>
              <w:jc w:val="right"/>
              <w:ind w:right="788"/>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(15,750)</w:t>
            </w:r>
          </w:p>
        </w:tc>
        <w:tc>
          <w:tcPr>
            <w:tcW w:w="1140" w:type="dxa"/>
            <w:vAlign w:val="bottom"/>
            <w:gridSpan w:val="2"/>
            <w:shd w:val="clear" w:color="auto" w:fill="CFF0FC"/>
          </w:tcPr>
          <w:p>
            <w:pPr>
              <w:jc w:val="right"/>
              <w:ind w:right="808"/>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(12,968)</w:t>
            </w: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Changes in foreign currency translation adjustments:</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7740" w:type="dxa"/>
            <w:vAlign w:val="bottom"/>
          </w:tcPr>
          <w:p>
            <w:pPr>
              <w:ind w:left="280"/>
              <w:spacing w:after="0"/>
              <w:rPr>
                <w:sz w:val="20"/>
                <w:szCs w:val="20"/>
                <w:color w:val="auto"/>
              </w:rPr>
            </w:pPr>
            <w:r>
              <w:rPr>
                <w:rFonts w:ascii="Arial" w:cs="Arial" w:eastAsia="Arial" w:hAnsi="Arial"/>
                <w:sz w:val="16"/>
                <w:szCs w:val="16"/>
                <w:color w:val="auto"/>
              </w:rPr>
              <w:t>Change during period</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Reclassification of adjustments to net loss due to dissolution of Personalis (Shanghai) Ltd</w:t>
            </w:r>
          </w:p>
        </w:tc>
        <w:tc>
          <w:tcPr>
            <w:tcW w:w="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199</w:t>
            </w:r>
          </w:p>
        </w:tc>
      </w:tr>
      <w:tr>
        <w:trPr>
          <w:trHeight w:val="183"/>
        </w:trPr>
        <w:tc>
          <w:tcPr>
            <w:tcW w:w="7740" w:type="dxa"/>
            <w:vAlign w:val="bottom"/>
          </w:tcPr>
          <w:p>
            <w:pPr>
              <w:ind w:left="420"/>
              <w:spacing w:after="0" w:line="183" w:lineRule="exact"/>
              <w:rPr>
                <w:sz w:val="20"/>
                <w:szCs w:val="20"/>
                <w:color w:val="auto"/>
              </w:rPr>
            </w:pPr>
            <w:r>
              <w:rPr>
                <w:rFonts w:ascii="Arial" w:cs="Arial" w:eastAsia="Arial" w:hAnsi="Arial"/>
                <w:sz w:val="16"/>
                <w:szCs w:val="16"/>
                <w:color w:val="auto"/>
              </w:rPr>
              <w:t>Net changes in foreign currency translation adjustments</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170</w:t>
            </w:r>
          </w:p>
        </w:tc>
      </w:tr>
      <w:tr>
        <w:trPr>
          <w:trHeight w:val="18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Change in unrealized gain on available-for-sale debt securities</w:t>
            </w:r>
          </w:p>
        </w:tc>
        <w:tc>
          <w:tcPr>
            <w:tcW w:w="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183"/>
        </w:trPr>
        <w:tc>
          <w:tcPr>
            <w:tcW w:w="7740" w:type="dxa"/>
            <w:vAlign w:val="bottom"/>
          </w:tcPr>
          <w:p>
            <w:pPr>
              <w:spacing w:after="0" w:line="169" w:lineRule="exact"/>
              <w:rPr>
                <w:sz w:val="20"/>
                <w:szCs w:val="20"/>
                <w:color w:val="auto"/>
              </w:rPr>
            </w:pPr>
            <w:r>
              <w:rPr>
                <w:rFonts w:ascii="Arial" w:cs="Arial" w:eastAsia="Arial" w:hAnsi="Arial"/>
                <w:sz w:val="16"/>
                <w:szCs w:val="16"/>
                <w:color w:val="auto"/>
              </w:rPr>
              <w:t>Comprehensive loss</w:t>
            </w:r>
          </w:p>
        </w:tc>
        <w:tc>
          <w:tcPr>
            <w:tcW w:w="960" w:type="dxa"/>
            <w:vAlign w:val="bottom"/>
            <w:gridSpan w:val="2"/>
          </w:tcPr>
          <w:p>
            <w:pPr>
              <w:jc w:val="right"/>
              <w:ind w:right="788"/>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(15,745)</w:t>
            </w:r>
          </w:p>
        </w:tc>
        <w:tc>
          <w:tcPr>
            <w:tcW w:w="1140" w:type="dxa"/>
            <w:vAlign w:val="bottom"/>
            <w:gridSpan w:val="2"/>
          </w:tcPr>
          <w:p>
            <w:pPr>
              <w:jc w:val="right"/>
              <w:ind w:right="808"/>
              <w:spacing w:after="0" w:line="169"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6"/>
                <w:szCs w:val="16"/>
                <w:color w:val="auto"/>
              </w:rPr>
              <w:t>(12,871)</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-402590</wp:posOffset>
            </wp:positionV>
            <wp:extent cx="111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March 31, 2025 and 2024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8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Comprehensi</w:t>
            </w:r>
          </w:p>
        </w:tc>
        <w:tc>
          <w:tcPr>
            <w:tcW w:w="1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3"/>
        </w:trPr>
        <w:tc>
          <w:tcPr>
            <w:tcW w:w="4660" w:type="dxa"/>
            <w:vAlign w:val="bottom"/>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4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201"/>
              <w:spacing w:after="0" w:line="158" w:lineRule="exact"/>
              <w:rPr>
                <w:sz w:val="20"/>
                <w:szCs w:val="20"/>
                <w:color w:val="auto"/>
              </w:rPr>
            </w:pPr>
            <w:r>
              <w:rPr>
                <w:rFonts w:ascii="Arial" w:cs="Arial" w:eastAsia="Arial" w:hAnsi="Arial"/>
                <w:sz w:val="14"/>
                <w:szCs w:val="14"/>
                <w:b w:val="1"/>
                <w:bCs w:val="1"/>
                <w:color w:val="auto"/>
              </w:rPr>
              <w:t>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221"/>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85,171,146</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752,961</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280" w:type="dxa"/>
            <w:vAlign w:val="bottom"/>
            <w:gridSpan w:val="2"/>
            <w:shd w:val="clear" w:color="auto" w:fill="CFF0FC"/>
          </w:tcPr>
          <w:p>
            <w:pPr>
              <w:jc w:val="right"/>
              <w:ind w:right="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(549,990)</w:t>
            </w:r>
          </w:p>
        </w:tc>
        <w:tc>
          <w:tcPr>
            <w:tcW w:w="26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202,957</w:t>
            </w:r>
          </w:p>
        </w:tc>
        <w:tc>
          <w:tcPr>
            <w:tcW w:w="0" w:type="dxa"/>
            <w:vAlign w:val="bottom"/>
          </w:tcPr>
          <w:p>
            <w:pPr>
              <w:spacing w:after="0"/>
              <w:rPr>
                <w:sz w:val="1"/>
                <w:szCs w:val="1"/>
                <w:color w:val="auto"/>
              </w:rPr>
            </w:pPr>
          </w:p>
        </w:tc>
      </w:tr>
      <w:tr>
        <w:trPr>
          <w:trHeight w:val="175"/>
        </w:trPr>
        <w:tc>
          <w:tcPr>
            <w:tcW w:w="4660" w:type="dxa"/>
            <w:vAlign w:val="bottom"/>
          </w:tcPr>
          <w:p>
            <w:pPr>
              <w:ind w:left="180"/>
              <w:spacing w:after="0" w:line="175" w:lineRule="exact"/>
              <w:rPr>
                <w:sz w:val="20"/>
                <w:szCs w:val="20"/>
                <w:color w:val="auto"/>
              </w:rPr>
            </w:pPr>
            <w:r>
              <w:rPr>
                <w:rFonts w:ascii="Arial" w:cs="Arial" w:eastAsia="Arial" w:hAnsi="Arial"/>
                <w:sz w:val="16"/>
                <w:szCs w:val="16"/>
                <w:color w:val="auto"/>
              </w:rPr>
              <w:t>Proceeds from sales of common stock under ATM facility,</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80"/>
              <w:spacing w:after="0"/>
              <w:rPr>
                <w:sz w:val="20"/>
                <w:szCs w:val="20"/>
                <w:color w:val="auto"/>
              </w:rPr>
            </w:pPr>
            <w:r>
              <w:rPr>
                <w:rFonts w:ascii="Arial" w:cs="Arial" w:eastAsia="Arial" w:hAnsi="Arial"/>
                <w:sz w:val="16"/>
                <w:szCs w:val="16"/>
                <w:color w:val="auto"/>
              </w:rPr>
              <w:t>net of commissions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3,064,152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17,782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17,782</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62,022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21,970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2,219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(15,750)</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Balance—March 31, 2025</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88,319,290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773,094</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w:t>
            </w:r>
          </w:p>
        </w:tc>
        <w:tc>
          <w:tcPr>
            <w:tcW w:w="280" w:type="dxa"/>
            <w:vAlign w:val="bottom"/>
            <w:gridSpan w:val="2"/>
            <w:shd w:val="clear" w:color="auto" w:fill="CFF0FC"/>
          </w:tcPr>
          <w:p>
            <w:pPr>
              <w:jc w:val="right"/>
              <w:ind w:right="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(565,740)</w:t>
            </w:r>
          </w:p>
        </w:tc>
        <w:tc>
          <w:tcPr>
            <w:tcW w:w="26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207,345</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0"/>
                <w:szCs w:val="20"/>
                <w:color w:val="auto"/>
              </w:rPr>
            </w:pPr>
            <w:r>
              <w:rPr>
                <w:rFonts w:ascii="Arial" w:cs="Arial" w:eastAsia="Arial" w:hAnsi="Arial"/>
                <w:sz w:val="16"/>
                <w:szCs w:val="16"/>
                <w:color w:val="auto"/>
              </w:rPr>
              <w:t>Balance—December 31, 2023</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50,480,694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598,364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(468,706)</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129,441</w:t>
            </w:r>
          </w:p>
        </w:tc>
        <w:tc>
          <w:tcPr>
            <w:tcW w:w="0" w:type="dxa"/>
            <w:vAlign w:val="bottom"/>
          </w:tcPr>
          <w:p>
            <w:pPr>
              <w:spacing w:after="0"/>
              <w:rPr>
                <w:sz w:val="1"/>
                <w:szCs w:val="1"/>
                <w:color w:val="auto"/>
              </w:rPr>
            </w:pPr>
          </w:p>
        </w:tc>
      </w:tr>
      <w:tr>
        <w:trPr>
          <w:trHeight w:val="175"/>
        </w:trPr>
        <w:tc>
          <w:tcPr>
            <w:tcW w:w="46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Proceeds from sales of common stock under ATM facility,</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commissions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880,000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33,505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46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Balance—March 31, 2024</w:t>
            </w:r>
          </w:p>
        </w:tc>
        <w:tc>
          <w:tcPr>
            <w:tcW w:w="10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51,394,199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602,488</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w:t>
            </w:r>
          </w:p>
        </w:tc>
        <w:tc>
          <w:tcPr>
            <w:tcW w:w="280" w:type="dxa"/>
            <w:vAlign w:val="bottom"/>
            <w:gridSpan w:val="2"/>
            <w:shd w:val="clear" w:color="auto" w:fill="CFF0FC"/>
          </w:tcPr>
          <w:p>
            <w:pPr>
              <w:jc w:val="right"/>
              <w:ind w:right="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(481,674)</w:t>
            </w:r>
          </w:p>
        </w:tc>
        <w:tc>
          <w:tcPr>
            <w:tcW w:w="26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120,694</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-1259205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-1242695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-1259205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-1242695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-1259205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-1242695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-1259205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-1242695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-1259205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-1242695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r>
      <w:tr>
        <w:trPr>
          <w:trHeight w:val="155"/>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3"/>
                <w:szCs w:val="13"/>
                <w:color w:val="auto"/>
              </w:rPr>
            </w:pPr>
          </w:p>
        </w:tc>
        <w:tc>
          <w:tcPr>
            <w:tcW w:w="11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13"/>
                <w:szCs w:val="13"/>
                <w:color w:val="auto"/>
              </w:rPr>
            </w:pPr>
          </w:p>
        </w:tc>
      </w:tr>
      <w:tr>
        <w:trPr>
          <w:trHeight w:val="183"/>
        </w:trPr>
        <w:tc>
          <w:tcPr>
            <w:tcW w:w="75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78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(15,750)</w:t>
            </w: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(12,968)</w:t>
            </w: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756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2,219</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2,687</w:t>
            </w:r>
          </w:p>
        </w:tc>
      </w:tr>
      <w:tr>
        <w:trPr>
          <w:trHeight w:val="189"/>
        </w:trPr>
        <w:tc>
          <w:tcPr>
            <w:tcW w:w="7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2,587</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2,837</w:t>
            </w:r>
          </w:p>
        </w:tc>
      </w:tr>
      <w:tr>
        <w:trPr>
          <w:trHeight w:val="189"/>
        </w:trPr>
        <w:tc>
          <w:tcPr>
            <w:tcW w:w="7560" w:type="dxa"/>
            <w:vAlign w:val="bottom"/>
          </w:tcPr>
          <w:p>
            <w:pPr>
              <w:ind w:left="140"/>
              <w:spacing w:after="0"/>
              <w:rPr>
                <w:sz w:val="20"/>
                <w:szCs w:val="20"/>
                <w:color w:val="auto"/>
              </w:rPr>
            </w:pPr>
            <w:r>
              <w:rPr>
                <w:rFonts w:ascii="Arial" w:cs="Arial" w:eastAsia="Arial" w:hAnsi="Arial"/>
                <w:sz w:val="16"/>
                <w:szCs w:val="16"/>
                <w:color w:val="auto"/>
              </w:rPr>
              <w:t>Noncash operating lease cost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337</w:t>
            </w:r>
          </w:p>
        </w:tc>
      </w:tr>
      <w:tr>
        <w:trPr>
          <w:trHeight w:val="189"/>
        </w:trPr>
        <w:tc>
          <w:tcPr>
            <w:tcW w:w="7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gain related to liability classified Tempus Warrants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(4,765)</w:t>
            </w:r>
          </w:p>
        </w:tc>
      </w:tr>
      <w:tr>
        <w:trPr>
          <w:trHeight w:val="189"/>
        </w:trPr>
        <w:tc>
          <w:tcPr>
            <w:tcW w:w="7560" w:type="dxa"/>
            <w:vAlign w:val="bottom"/>
          </w:tcPr>
          <w:p>
            <w:pPr>
              <w:ind w:left="140"/>
              <w:spacing w:after="0"/>
              <w:rPr>
                <w:sz w:val="20"/>
                <w:szCs w:val="20"/>
                <w:color w:val="auto"/>
              </w:rPr>
            </w:pPr>
            <w:r>
              <w:rPr>
                <w:rFonts w:ascii="Arial" w:cs="Arial" w:eastAsia="Arial" w:hAnsi="Arial"/>
                <w:sz w:val="16"/>
                <w:szCs w:val="16"/>
                <w:color w:val="auto"/>
              </w:rPr>
              <w:t>Amortization of discount on short-term investments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189"/>
        </w:trPr>
        <w:tc>
          <w:tcPr>
            <w:tcW w:w="7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w:t>
            </w:r>
          </w:p>
        </w:tc>
      </w:tr>
      <w:tr>
        <w:trPr>
          <w:trHeight w:val="189"/>
        </w:trPr>
        <w:tc>
          <w:tcPr>
            <w:tcW w:w="75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7560" w:type="dxa"/>
            <w:vAlign w:val="bottom"/>
            <w:shd w:val="clear" w:color="auto" w:fill="CFF0FC"/>
          </w:tcPr>
          <w:p>
            <w:pPr>
              <w:ind w:left="280"/>
              <w:spacing w:after="0" w:line="189"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6,385</w:t>
            </w:r>
          </w:p>
        </w:tc>
      </w:tr>
      <w:tr>
        <w:trPr>
          <w:trHeight w:val="189"/>
        </w:trPr>
        <w:tc>
          <w:tcPr>
            <w:tcW w:w="7560" w:type="dxa"/>
            <w:vAlign w:val="bottom"/>
          </w:tcPr>
          <w:p>
            <w:pPr>
              <w:ind w:left="280"/>
              <w:spacing w:after="0"/>
              <w:rPr>
                <w:sz w:val="20"/>
                <w:szCs w:val="20"/>
                <w:color w:val="auto"/>
              </w:rPr>
            </w:pPr>
            <w:r>
              <w:rPr>
                <w:rFonts w:ascii="Arial" w:cs="Arial" w:eastAsia="Arial" w:hAnsi="Arial"/>
                <w:sz w:val="16"/>
                <w:szCs w:val="16"/>
                <w:color w:val="auto"/>
              </w:rPr>
              <w:t>Inventory and other deferred costs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1,707</w:t>
            </w:r>
          </w:p>
        </w:tc>
      </w:tr>
      <w:tr>
        <w:trPr>
          <w:trHeight w:val="189"/>
        </w:trPr>
        <w:tc>
          <w:tcPr>
            <w:tcW w:w="75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r>
      <w:tr>
        <w:trPr>
          <w:trHeight w:val="189"/>
        </w:trPr>
        <w:tc>
          <w:tcPr>
            <w:tcW w:w="7560" w:type="dxa"/>
            <w:vAlign w:val="bottom"/>
          </w:tcPr>
          <w:p>
            <w:pPr>
              <w:ind w:left="280"/>
              <w:spacing w:after="0" w:line="189"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2,013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(5,637)</w:t>
            </w:r>
          </w:p>
        </w:tc>
      </w:tr>
      <w:tr>
        <w:trPr>
          <w:trHeight w:val="189"/>
        </w:trPr>
        <w:tc>
          <w:tcPr>
            <w:tcW w:w="7560" w:type="dxa"/>
            <w:vAlign w:val="bottom"/>
            <w:shd w:val="clear" w:color="auto" w:fill="CFF0FC"/>
          </w:tcPr>
          <w:p>
            <w:pPr>
              <w:ind w:left="280"/>
              <w:spacing w:after="0" w:line="189"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(2)</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(2,742)</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(7,836)</w:t>
            </w:r>
          </w:p>
        </w:tc>
      </w:tr>
      <w:tr>
        <w:trPr>
          <w:trHeight w:val="189"/>
        </w:trPr>
        <w:tc>
          <w:tcPr>
            <w:tcW w:w="756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189"/>
        </w:trPr>
        <w:tc>
          <w:tcPr>
            <w:tcW w:w="75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r>
      <w:tr>
        <w:trPr>
          <w:trHeight w:val="189"/>
        </w:trPr>
        <w:tc>
          <w:tcPr>
            <w:tcW w:w="7560" w:type="dxa"/>
            <w:vAlign w:val="bottom"/>
          </w:tcPr>
          <w:p>
            <w:pPr>
              <w:ind w:left="280"/>
              <w:spacing w:after="0" w:line="18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756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(17,961)</w:t>
            </w: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(20,413)</w:t>
            </w:r>
          </w:p>
        </w:tc>
      </w:tr>
      <w:tr>
        <w:trPr>
          <w:trHeight w:val="183"/>
        </w:trPr>
        <w:tc>
          <w:tcPr>
            <w:tcW w:w="75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debt securities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(64,281)</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(29,095)</w:t>
            </w: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44,250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35,500</w:t>
            </w: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(2,511)</w:t>
            </w:r>
          </w:p>
        </w:tc>
        <w:tc>
          <w:tcPr>
            <w:tcW w:w="180" w:type="dxa"/>
            <w:vAlign w:val="bottom"/>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r>
      <w:tr>
        <w:trPr>
          <w:trHeight w:val="183"/>
        </w:trPr>
        <w:tc>
          <w:tcPr>
            <w:tcW w:w="7560" w:type="dxa"/>
            <w:vAlign w:val="bottom"/>
          </w:tcPr>
          <w:p>
            <w:pPr>
              <w:ind w:left="42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(22,542)</w:t>
            </w: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6,301</w:t>
            </w:r>
          </w:p>
        </w:tc>
      </w:tr>
      <w:tr>
        <w:trPr>
          <w:trHeight w:val="183"/>
        </w:trPr>
        <w:tc>
          <w:tcPr>
            <w:tcW w:w="75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Proceeds from sales of common stock under ATM facility, net of commissions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17,782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1,437</w:t>
            </w: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Payment of costs related to Tempus and Merck Investment Agreements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Proceeds from loans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2,587</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loans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Proceeds from issuance of common stock under equity incentive plans</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7560" w:type="dxa"/>
            <w:vAlign w:val="bottom"/>
            <w:tcBorders>
              <w:bottom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20,087</w:t>
            </w: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1,129</w:t>
            </w:r>
          </w:p>
        </w:tc>
      </w:tr>
      <w:tr>
        <w:trPr>
          <w:trHeight w:val="183"/>
        </w:trPr>
        <w:tc>
          <w:tcPr>
            <w:tcW w:w="7560" w:type="dxa"/>
            <w:vAlign w:val="bottom"/>
          </w:tcPr>
          <w:p>
            <w:pPr>
              <w:spacing w:after="0" w:line="183" w:lineRule="exact"/>
              <w:rPr>
                <w:sz w:val="20"/>
                <w:szCs w:val="20"/>
                <w:color w:val="auto"/>
              </w:rPr>
            </w:pPr>
            <w:r>
              <w:rPr>
                <w:rFonts w:ascii="Arial" w:cs="Arial" w:eastAsia="Arial" w:hAnsi="Arial"/>
                <w:sz w:val="16"/>
                <w:szCs w:val="16"/>
                <w:color w:val="auto"/>
              </w:rPr>
              <w:t>Effect of exchange rates on cash, cash equivalents and restricted cash</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(20,414)</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(13,003)</w:t>
            </w: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93,205</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58,774</w:t>
            </w:r>
          </w:p>
        </w:tc>
      </w:tr>
      <w:tr>
        <w:trPr>
          <w:trHeight w:val="223"/>
        </w:trPr>
        <w:tc>
          <w:tcPr>
            <w:tcW w:w="756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cash equivalents and restricted cash, end of period</w:t>
            </w:r>
          </w:p>
        </w:tc>
        <w:tc>
          <w:tcPr>
            <w:tcW w:w="1140" w:type="dxa"/>
            <w:vAlign w:val="bottom"/>
            <w:gridSpan w:val="2"/>
            <w:shd w:val="clear" w:color="auto" w:fill="CFF0FC"/>
          </w:tcPr>
          <w:p>
            <w:pPr>
              <w:jc w:val="right"/>
              <w:ind w:right="785"/>
              <w:spacing w:after="0" w:line="169"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72,791</w:t>
            </w:r>
          </w:p>
        </w:tc>
        <w:tc>
          <w:tcPr>
            <w:tcW w:w="1140" w:type="dxa"/>
            <w:vAlign w:val="bottom"/>
            <w:gridSpan w:val="2"/>
            <w:shd w:val="clear" w:color="auto" w:fill="CFF0FC"/>
          </w:tcPr>
          <w:p>
            <w:pPr>
              <w:jc w:val="right"/>
              <w:ind w:right="880"/>
              <w:spacing w:after="0" w:line="169"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45,771</w:t>
            </w:r>
          </w:p>
        </w:tc>
      </w:tr>
      <w:tr>
        <w:trPr>
          <w:trHeight w:val="170"/>
        </w:trPr>
        <w:tc>
          <w:tcPr>
            <w:tcW w:w="756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40" w:type="dxa"/>
            <w:vAlign w:val="bottom"/>
            <w:gridSpan w:val="2"/>
            <w:shd w:val="clear" w:color="auto" w:fill="CFF0FC"/>
          </w:tcPr>
          <w:p>
            <w:pPr>
              <w:jc w:val="right"/>
              <w:ind w:right="785"/>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71,001</w:t>
            </w:r>
          </w:p>
        </w:tc>
        <w:tc>
          <w:tcPr>
            <w:tcW w:w="114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43,981</w:t>
            </w: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Restricted cash, included in other long-term assets</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r>
      <w:tr>
        <w:trPr>
          <w:trHeight w:val="203"/>
        </w:trPr>
        <w:tc>
          <w:tcPr>
            <w:tcW w:w="7560" w:type="dxa"/>
            <w:vAlign w:val="bottom"/>
            <w:shd w:val="clear" w:color="auto" w:fill="CFF0FC"/>
          </w:tcPr>
          <w:p>
            <w:pPr>
              <w:ind w:left="140"/>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85"/>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72,791</w:t>
            </w:r>
          </w:p>
        </w:tc>
        <w:tc>
          <w:tcPr>
            <w:tcW w:w="1140" w:type="dxa"/>
            <w:vAlign w:val="bottom"/>
            <w:gridSpan w:val="2"/>
            <w:shd w:val="clear" w:color="auto" w:fill="CFF0FC"/>
          </w:tcPr>
          <w:p>
            <w:pPr>
              <w:jc w:val="right"/>
              <w:ind w:right="880"/>
              <w:spacing w:after="0" w:line="169"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45,771</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-2630805</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-2155190</wp:posOffset>
            </wp:positionV>
            <wp:extent cx="13652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65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-1156335</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-659130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-641985</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951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change in related party receivable of $1.9 million for the three months ended March 31, 2025.</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change in related party liabilities of $1.0 million for the three months ended March 31, 2025.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FOR NOTES TO CONSOLIDATED FINANCIAL STATEMENTS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163"/>
        </w:trPr>
        <w:tc>
          <w:tcPr>
            <w:tcW w:w="13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6"/>
                <w:szCs w:val="16"/>
                <w:color w:val="auto"/>
              </w:rPr>
              <w:t>Note 1.</w:t>
            </w:r>
          </w:p>
        </w:tc>
        <w:tc>
          <w:tcPr>
            <w:tcW w:w="2420" w:type="dxa"/>
            <w:vAlign w:val="bottom"/>
            <w:tcBorders>
              <w:bottom w:val="single" w:sz="8" w:color="0000FF"/>
              <w:right w:val="single" w:sz="8" w:color="CFF0FC"/>
            </w:tcBorders>
            <w:gridSpan w:val="7"/>
            <w:shd w:val="clear" w:color="auto" w:fill="CFF0FC"/>
          </w:tcPr>
          <w:p>
            <w:pPr>
              <w:spacing w:after="0" w:line="155" w:lineRule="exact"/>
              <w:rPr>
                <w:sz w:val="20"/>
                <w:szCs w:val="20"/>
                <w:color w:val="auto"/>
              </w:rPr>
            </w:pPr>
            <w:r>
              <w:rPr>
                <w:rFonts w:ascii="Arial" w:cs="Arial" w:eastAsia="Arial" w:hAnsi="Arial"/>
                <w:sz w:val="16"/>
                <w:szCs w:val="16"/>
                <w:color w:val="0000FF"/>
                <w:w w:val="99"/>
              </w:rPr>
              <w:t>Company and Nature of Business</w:t>
            </w:r>
          </w:p>
        </w:tc>
        <w:tc>
          <w:tcPr>
            <w:tcW w:w="1000" w:type="dxa"/>
            <w:vAlign w:val="bottom"/>
            <w:tcBorders>
              <w:bottom w:val="single" w:sz="8" w:color="CFF0FC"/>
            </w:tcBorders>
            <w:gridSpan w:val="3"/>
            <w:shd w:val="clear" w:color="auto" w:fill="CFF0FC"/>
          </w:tcPr>
          <w:p>
            <w:pPr>
              <w:spacing w:after="0"/>
              <w:rPr>
                <w:sz w:val="14"/>
                <w:szCs w:val="14"/>
                <w:color w:val="auto"/>
              </w:rPr>
            </w:pPr>
          </w:p>
        </w:tc>
        <w:tc>
          <w:tcPr>
            <w:tcW w:w="6460" w:type="dxa"/>
            <w:vAlign w:val="bottom"/>
            <w:tcBorders>
              <w:bottom w:val="single" w:sz="8" w:color="CFF0FC"/>
            </w:tcBorders>
            <w:gridSpan w:val="2"/>
            <w:shd w:val="clear" w:color="auto" w:fill="CFF0FC"/>
          </w:tcPr>
          <w:p>
            <w:pPr>
              <w:jc w:val="center"/>
              <w:ind w:left="5399"/>
              <w:spacing w:after="0" w:line="155" w:lineRule="exact"/>
              <w:rPr>
                <w:sz w:val="20"/>
                <w:szCs w:val="20"/>
                <w:color w:val="auto"/>
              </w:rPr>
            </w:pPr>
            <w:r>
              <w:rPr>
                <w:rFonts w:ascii="Arial" w:cs="Arial" w:eastAsia="Arial" w:hAnsi="Arial"/>
                <w:sz w:val="16"/>
                <w:szCs w:val="16"/>
                <w:color w:val="auto"/>
              </w:rPr>
              <w:t>12</w:t>
            </w: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2.</w:t>
            </w:r>
          </w:p>
        </w:tc>
        <w:tc>
          <w:tcPr>
            <w:tcW w:w="3120" w:type="dxa"/>
            <w:vAlign w:val="bottom"/>
            <w:tcBorders>
              <w:bottom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Summary of Significant Accounting Policies</w:t>
            </w:r>
          </w:p>
        </w:tc>
        <w:tc>
          <w:tcPr>
            <w:tcW w:w="300" w:type="dxa"/>
            <w:vAlign w:val="bottom"/>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12</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3.</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Revenue</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14</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4.</w:t>
            </w:r>
          </w:p>
        </w:tc>
        <w:tc>
          <w:tcPr>
            <w:tcW w:w="1600" w:type="dxa"/>
            <w:vAlign w:val="bottom"/>
            <w:tcBorders>
              <w:bottom w:val="single" w:sz="8" w:color="0000FF"/>
            </w:tcBorders>
            <w:gridSpan w:val="4"/>
          </w:tcPr>
          <w:p>
            <w:pPr>
              <w:spacing w:after="0" w:line="162" w:lineRule="exact"/>
              <w:rPr>
                <w:sz w:val="20"/>
                <w:szCs w:val="20"/>
                <w:color w:val="auto"/>
              </w:rPr>
            </w:pPr>
            <w:r>
              <w:rPr>
                <w:rFonts w:ascii="Arial" w:cs="Arial" w:eastAsia="Arial" w:hAnsi="Arial"/>
                <w:sz w:val="16"/>
                <w:szCs w:val="16"/>
                <w:color w:val="0000FF"/>
              </w:rPr>
              <w:t>Balance Sheet Details</w:t>
            </w:r>
          </w:p>
        </w:tc>
        <w:tc>
          <w:tcPr>
            <w:tcW w:w="1820" w:type="dxa"/>
            <w:vAlign w:val="bottom"/>
            <w:gridSpan w:val="6"/>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15</w:t>
            </w:r>
          </w:p>
        </w:tc>
      </w:tr>
      <w:tr>
        <w:trPr>
          <w:trHeight w:val="169"/>
        </w:trPr>
        <w:tc>
          <w:tcPr>
            <w:tcW w:w="136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Note 5.</w:t>
            </w:r>
          </w:p>
        </w:tc>
        <w:tc>
          <w:tcPr>
            <w:tcW w:w="1860" w:type="dxa"/>
            <w:vAlign w:val="bottom"/>
            <w:tcBorders>
              <w:bottom w:val="single" w:sz="8" w:color="0000FF"/>
            </w:tcBorders>
            <w:gridSpan w:val="5"/>
            <w:shd w:val="clear" w:color="auto" w:fill="CFF0FC"/>
          </w:tcPr>
          <w:p>
            <w:pPr>
              <w:spacing w:after="0" w:line="162" w:lineRule="exact"/>
              <w:rPr>
                <w:sz w:val="20"/>
                <w:szCs w:val="20"/>
                <w:color w:val="auto"/>
              </w:rPr>
            </w:pPr>
            <w:r>
              <w:rPr>
                <w:rFonts w:ascii="Arial" w:cs="Arial" w:eastAsia="Arial" w:hAnsi="Arial"/>
                <w:sz w:val="16"/>
                <w:szCs w:val="16"/>
                <w:color w:val="0000FF"/>
              </w:rPr>
              <w:t>Fair Value Measurements</w:t>
            </w:r>
          </w:p>
        </w:tc>
        <w:tc>
          <w:tcPr>
            <w:tcW w:w="1560" w:type="dxa"/>
            <w:vAlign w:val="bottom"/>
            <w:tcBorders>
              <w:bottom w:val="single" w:sz="8" w:color="CFF0FC"/>
            </w:tcBorders>
            <w:gridSpan w:val="5"/>
            <w:shd w:val="clear" w:color="auto" w:fill="CFF0FC"/>
          </w:tcPr>
          <w:p>
            <w:pPr>
              <w:spacing w:after="0"/>
              <w:rPr>
                <w:sz w:val="14"/>
                <w:szCs w:val="14"/>
                <w:color w:val="auto"/>
              </w:rPr>
            </w:pPr>
          </w:p>
        </w:tc>
        <w:tc>
          <w:tcPr>
            <w:tcW w:w="6460" w:type="dxa"/>
            <w:vAlign w:val="bottom"/>
            <w:tcBorders>
              <w:bottom w:val="single" w:sz="8" w:color="CFF0FC"/>
            </w:tcBorders>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16</w:t>
            </w: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6.</w:t>
            </w:r>
          </w:p>
        </w:tc>
        <w:tc>
          <w:tcPr>
            <w:tcW w:w="440" w:type="dxa"/>
            <w:vAlign w:val="bottom"/>
            <w:tcBorders>
              <w:bottom w:val="single" w:sz="8" w:color="0000FF"/>
            </w:tcBorders>
          </w:tcPr>
          <w:p>
            <w:pPr>
              <w:spacing w:after="0" w:line="162" w:lineRule="exact"/>
              <w:rPr>
                <w:sz w:val="20"/>
                <w:szCs w:val="20"/>
                <w:color w:val="auto"/>
              </w:rPr>
            </w:pPr>
            <w:r>
              <w:rPr>
                <w:rFonts w:ascii="Arial" w:cs="Arial" w:eastAsia="Arial" w:hAnsi="Arial"/>
                <w:sz w:val="16"/>
                <w:szCs w:val="16"/>
                <w:color w:val="0000FF"/>
                <w:w w:val="96"/>
              </w:rPr>
              <w:t>Loans</w:t>
            </w:r>
          </w:p>
        </w:tc>
        <w:tc>
          <w:tcPr>
            <w:tcW w:w="2980" w:type="dxa"/>
            <w:vAlign w:val="bottom"/>
            <w:gridSpan w:val="9"/>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17</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7.</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Leases</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18</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8.</w:t>
            </w:r>
          </w:p>
        </w:tc>
        <w:tc>
          <w:tcPr>
            <w:tcW w:w="2000" w:type="dxa"/>
            <w:vAlign w:val="bottom"/>
            <w:tcBorders>
              <w:bottom w:val="single" w:sz="8" w:color="0000FF"/>
            </w:tcBorders>
            <w:gridSpan w:val="6"/>
          </w:tcPr>
          <w:p>
            <w:pPr>
              <w:spacing w:after="0" w:line="162" w:lineRule="exact"/>
              <w:rPr>
                <w:sz w:val="20"/>
                <w:szCs w:val="20"/>
                <w:color w:val="auto"/>
              </w:rPr>
            </w:pPr>
            <w:r>
              <w:rPr>
                <w:rFonts w:ascii="Arial" w:cs="Arial" w:eastAsia="Arial" w:hAnsi="Arial"/>
                <w:sz w:val="16"/>
                <w:szCs w:val="16"/>
                <w:color w:val="0000FF"/>
              </w:rPr>
              <w:t>Related Party Transactions</w:t>
            </w:r>
          </w:p>
        </w:tc>
        <w:tc>
          <w:tcPr>
            <w:tcW w:w="1420" w:type="dxa"/>
            <w:vAlign w:val="bottom"/>
            <w:gridSpan w:val="4"/>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18</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9.</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Stock-Based Compensation</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21</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9"/>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10.</w:t>
            </w:r>
          </w:p>
        </w:tc>
        <w:tc>
          <w:tcPr>
            <w:tcW w:w="2700" w:type="dxa"/>
            <w:vAlign w:val="bottom"/>
            <w:tcBorders>
              <w:bottom w:val="single" w:sz="8" w:color="0000FF"/>
            </w:tcBorders>
            <w:gridSpan w:val="8"/>
          </w:tcPr>
          <w:p>
            <w:pPr>
              <w:spacing w:after="0" w:line="162" w:lineRule="exact"/>
              <w:rPr>
                <w:sz w:val="20"/>
                <w:szCs w:val="20"/>
                <w:color w:val="auto"/>
              </w:rPr>
            </w:pPr>
            <w:r>
              <w:rPr>
                <w:rFonts w:ascii="Arial" w:cs="Arial" w:eastAsia="Arial" w:hAnsi="Arial"/>
                <w:sz w:val="16"/>
                <w:szCs w:val="16"/>
                <w:color w:val="0000FF"/>
              </w:rPr>
              <w:t>Segment and Geographic Information</w:t>
            </w:r>
          </w:p>
        </w:tc>
        <w:tc>
          <w:tcPr>
            <w:tcW w:w="720" w:type="dxa"/>
            <w:vAlign w:val="bottom"/>
            <w:gridSpan w:val="2"/>
          </w:tcPr>
          <w:p>
            <w:pPr>
              <w:spacing w:after="0"/>
              <w:rPr>
                <w:sz w:val="14"/>
                <w:szCs w:val="14"/>
                <w:color w:val="auto"/>
              </w:rPr>
            </w:pP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23</w:t>
            </w:r>
          </w:p>
        </w:tc>
      </w:tr>
      <w:tr>
        <w:trPr>
          <w:trHeight w:val="162"/>
        </w:trPr>
        <w:tc>
          <w:tcPr>
            <w:tcW w:w="13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Note 11.</w:t>
            </w:r>
          </w:p>
        </w:tc>
        <w:tc>
          <w:tcPr>
            <w:tcW w:w="342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Commitments and Contingencies</w:t>
            </w:r>
          </w:p>
        </w:tc>
        <w:tc>
          <w:tcPr>
            <w:tcW w:w="6460" w:type="dxa"/>
            <w:vAlign w:val="bottom"/>
            <w:gridSpan w:val="2"/>
            <w:shd w:val="clear" w:color="auto" w:fill="CFF0FC"/>
          </w:tcPr>
          <w:p>
            <w:pPr>
              <w:jc w:val="center"/>
              <w:ind w:left="5399"/>
              <w:spacing w:after="0" w:line="162" w:lineRule="exact"/>
              <w:rPr>
                <w:sz w:val="20"/>
                <w:szCs w:val="20"/>
                <w:color w:val="auto"/>
              </w:rPr>
            </w:pPr>
            <w:r>
              <w:rPr>
                <w:rFonts w:ascii="Arial" w:cs="Arial" w:eastAsia="Arial" w:hAnsi="Arial"/>
                <w:sz w:val="16"/>
                <w:szCs w:val="16"/>
                <w:color w:val="auto"/>
              </w:rPr>
              <w:t>24</w:t>
            </w:r>
          </w:p>
        </w:tc>
      </w:tr>
      <w:tr>
        <w:trPr>
          <w:trHeight w:val="27"/>
        </w:trPr>
        <w:tc>
          <w:tcPr>
            <w:tcW w:w="136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FF0FC"/>
            </w:tcBorders>
            <w:shd w:val="clear" w:color="auto" w:fill="0000FF"/>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r>
        <w:trPr>
          <w:trHeight w:val="162"/>
        </w:trPr>
        <w:tc>
          <w:tcPr>
            <w:tcW w:w="1360" w:type="dxa"/>
            <w:vAlign w:val="bottom"/>
          </w:tcPr>
          <w:p>
            <w:pPr>
              <w:spacing w:after="0" w:line="162" w:lineRule="exact"/>
              <w:rPr>
                <w:sz w:val="20"/>
                <w:szCs w:val="20"/>
                <w:color w:val="auto"/>
              </w:rPr>
            </w:pPr>
            <w:r>
              <w:rPr>
                <w:rFonts w:ascii="Arial" w:cs="Arial" w:eastAsia="Arial" w:hAnsi="Arial"/>
                <w:sz w:val="16"/>
                <w:szCs w:val="16"/>
                <w:color w:val="auto"/>
              </w:rPr>
              <w:t>Note 12.</w:t>
            </w:r>
          </w:p>
        </w:tc>
        <w:tc>
          <w:tcPr>
            <w:tcW w:w="3420" w:type="dxa"/>
            <w:vAlign w:val="bottom"/>
            <w:tcBorders>
              <w:bottom w:val="single" w:sz="8" w:color="0000FF"/>
            </w:tcBorders>
            <w:gridSpan w:val="10"/>
          </w:tcPr>
          <w:p>
            <w:pPr>
              <w:spacing w:after="0" w:line="162" w:lineRule="exact"/>
              <w:rPr>
                <w:sz w:val="20"/>
                <w:szCs w:val="20"/>
                <w:color w:val="auto"/>
              </w:rPr>
            </w:pPr>
            <w:r>
              <w:rPr>
                <w:rFonts w:ascii="Arial" w:cs="Arial" w:eastAsia="Arial" w:hAnsi="Arial"/>
                <w:sz w:val="16"/>
                <w:szCs w:val="16"/>
                <w:color w:val="0000FF"/>
              </w:rPr>
              <w:t>Basic and Diluted Net Loss Per Common Share</w:t>
            </w:r>
          </w:p>
        </w:tc>
        <w:tc>
          <w:tcPr>
            <w:tcW w:w="6460" w:type="dxa"/>
            <w:vAlign w:val="bottom"/>
            <w:gridSpan w:val="2"/>
          </w:tcPr>
          <w:p>
            <w:pPr>
              <w:jc w:val="center"/>
              <w:ind w:left="5399"/>
              <w:spacing w:after="0" w:line="162" w:lineRule="exact"/>
              <w:rPr>
                <w:sz w:val="20"/>
                <w:szCs w:val="20"/>
                <w:color w:val="auto"/>
              </w:rPr>
            </w:pPr>
            <w:r>
              <w:rPr>
                <w:rFonts w:ascii="Arial" w:cs="Arial" w:eastAsia="Arial" w:hAnsi="Arial"/>
                <w:sz w:val="16"/>
                <w:szCs w:val="16"/>
                <w:color w:val="auto"/>
              </w:rPr>
              <w:t>24</w:t>
            </w:r>
          </w:p>
        </w:tc>
      </w:tr>
      <w:tr>
        <w:trPr>
          <w:trHeight w:val="639"/>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jc w:val="right"/>
              <w:ind w:right="4439"/>
              <w:spacing w:after="0"/>
              <w:rPr>
                <w:sz w:val="20"/>
                <w:szCs w:val="20"/>
                <w:color w:val="auto"/>
              </w:rPr>
            </w:pPr>
            <w:r>
              <w:rPr>
                <w:rFonts w:ascii="Arial" w:cs="Arial" w:eastAsia="Arial" w:hAnsi="Arial"/>
                <w:sz w:val="16"/>
                <w:szCs w:val="16"/>
                <w:color w:val="auto"/>
              </w:rPr>
              <w:t>11</w:t>
            </w:r>
          </w:p>
        </w:tc>
        <w:tc>
          <w:tcPr>
            <w:tcW w:w="1000" w:type="dxa"/>
            <w:vAlign w:val="bottom"/>
          </w:tcPr>
          <w:p>
            <w:pPr>
              <w:spacing w:after="0"/>
              <w:rPr>
                <w:sz w:val="24"/>
                <w:szCs w:val="24"/>
                <w:color w:val="auto"/>
              </w:rPr>
            </w:pPr>
          </w:p>
        </w:tc>
      </w:tr>
      <w:tr>
        <w:trPr>
          <w:trHeight w:val="752"/>
        </w:trPr>
        <w:tc>
          <w:tcPr>
            <w:tcW w:w="1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Personalis, Inc. (the "Company" or "Personalis") develops, markets, and sells advanced cancer genomic tests and services. The services are used by pharmaceutical companies for translational research, biomarker discovery, the development of personalized cancer therapies, and for clinical trials. The tests are used by physicians to detect residual or recurrent cancer in patients, monitor cancer response to therapy, and uncover insights for therapy selection. The Company also provides whole exome and whole genome sequencing services for other diagnostic companies and population sequencing initiatives. The principal markets for the Company’s tests and services are in the United States and Europe.</w:t>
      </w:r>
    </w:p>
    <w:p>
      <w:pPr>
        <w:spacing w:after="0" w:line="15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is expanding its business model to offer genomic tests directly to cancer patients in a clinical setting. However, revenue generated from clinical customers was not significant for any periods presented in these consolidated financial statements.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terminated its operations in China and completed the process of dissolving the Personalis (Shanghai) Ltd entity in February 2024. The Company operates and manages its business as one reportable operating segment, which is providing advanced cancer genomic tests and services for precision oncology applications, personalized testing, and other tests.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unaudited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note disclosures normally included in the financial statements prepared in accordance with U.S. GAAP have been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2024.</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consolidated financial statements include the accounts of Personalis, Inc. and its wholly owned subsidiaries, Personalis (UK) Ltd. and Personalis (Shanghai) Ltd (the latter entity until its dissolution during the first quarter of 2024). All intercompany balances and transactions have been eliminated in consolidation. Upon dissolution of Personalis (Shanghai) Ltd during the first quarter of 2024, an accumulated foreign currency translation adjustment of $0.2 million was reclassified from accumulated other comprehensive loss to net loss within Other income (expense), net.</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Equity Offerings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December 2021, the Company entered into an At-the-Market ("ATM") Sales Agreement with BTIG, LLC (“BTIG”), as amended in December 2023 (the “Sales Agreement”), under which it was permitted to offer and sell its common stock from time to time through BTIG as its sales agent. BTIG agreed to use commercially reasonable efforts to sell the Company’s common stock from time to time, based upon instructions from the Company (including any price, time or size limits or other customary parameters or conditions the Company may impose). The Company agreed to pay BTIG a commission of up to 3% of the gross sales proceeds of any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sold through BTIG under the Sales Agreement. The Company was not obligated to make any sales of common stock under the Sales Agreement.</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December 2024, the Company entered into an Amended and Restated At-the-Market Sales Agreement (the "Amended Sales Agreement") with Piper Sandler &amp; Co. (“Piper”) and BTIG. The Amended Sales Agreement amends and restates the Sales Agreement with BTIG, previously entered into in December 2021, as amended in December 2023, to add Piper as a sales agent (Piper and BTIG, together, the “Sales Agents”), among certain other changes. The Sales Agents have agreed to use commercially reasonable efforts to sell the Company's common stock from time to time, based upon instructions from the Company (including any price, time or size limits or other customary parameters or conditions the Company may impose). The Company agreed to pay the applicable Sales Agent a commission of up to 3% of the gross sales proceeds of any common stock sold through such Sales Agent under the Amended Sales Agreement. The Company is not obligated to make any sales of common stock under the Amended Sales Agreement</w:t>
      </w:r>
      <w:r>
        <w:rPr>
          <w:rFonts w:ascii="Arial" w:cs="Arial" w:eastAsia="Arial" w:hAnsi="Arial"/>
          <w:sz w:val="16"/>
          <w:szCs w:val="16"/>
          <w:u w:val="single" w:color="auto"/>
          <w:color w:val="auto"/>
        </w:rPr>
        <w:t>.</w:t>
      </w:r>
    </w:p>
    <w:p>
      <w:pPr>
        <w:spacing w:after="0" w:line="14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During the three months ended March 31, 2025, the Company issued and sold 3,064,152 shares of its common stock under the Amended Sales Agreement at a weighted-average price of $5.89 per share and received $17.8 million in proceeds, net of commissions.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purchases various reagents and sequencing materials from sole-source suppliers. Any extended interruption in the supply of these materials could result in the Company’s inability to secure sufficient materials to conduct business and meet customer demand.</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908"/>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27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2"/>
                <w:szCs w:val="12"/>
                <w:color w:val="auto"/>
              </w:rPr>
            </w:pPr>
          </w:p>
        </w:tc>
        <w:tc>
          <w:tcPr>
            <w:tcW w:w="130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27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440" w:type="dxa"/>
            <w:vAlign w:val="bottom"/>
            <w:gridSpan w:val="2"/>
            <w:vMerge w:val="restart"/>
          </w:tcPr>
          <w:p>
            <w:pPr>
              <w:jc w:val="center"/>
              <w:ind w:left="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56"/>
        </w:trPr>
        <w:tc>
          <w:tcPr>
            <w:tcW w:w="5620" w:type="dxa"/>
            <w:vAlign w:val="bottom"/>
          </w:tcPr>
          <w:p>
            <w:pPr>
              <w:spacing w:after="0"/>
              <w:rPr>
                <w:sz w:val="4"/>
                <w:szCs w:val="4"/>
                <w:color w:val="auto"/>
              </w:rPr>
            </w:pPr>
          </w:p>
        </w:tc>
        <w:tc>
          <w:tcPr>
            <w:tcW w:w="27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261"/>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Moderna, Inc.</w:t>
            </w:r>
          </w:p>
        </w:tc>
        <w:tc>
          <w:tcPr>
            <w:tcW w:w="940" w:type="dxa"/>
            <w:vAlign w:val="bottom"/>
            <w:shd w:val="clear" w:color="auto" w:fill="CFF0FC"/>
          </w:tcPr>
          <w:p>
            <w:pPr>
              <w:jc w:val="center"/>
              <w:ind w:left="261"/>
              <w:spacing w:after="0" w:line="183" w:lineRule="exact"/>
              <w:rPr>
                <w:sz w:val="20"/>
                <w:szCs w:val="20"/>
                <w:color w:val="auto"/>
              </w:rPr>
            </w:pPr>
            <w:r>
              <w:rPr>
                <w:rFonts w:ascii="Arial" w:cs="Arial" w:eastAsia="Arial" w:hAnsi="Arial"/>
                <w:sz w:val="16"/>
                <w:szCs w:val="16"/>
                <w:color w:val="auto"/>
                <w:w w:val="99"/>
              </w:rPr>
              <w:t>27%</w:t>
            </w:r>
          </w:p>
        </w:tc>
        <w:tc>
          <w:tcPr>
            <w:tcW w:w="1820" w:type="dxa"/>
            <w:vAlign w:val="bottom"/>
            <w:gridSpan w:val="3"/>
            <w:shd w:val="clear" w:color="auto" w:fill="CFF0FC"/>
          </w:tcPr>
          <w:p>
            <w:pPr>
              <w:jc w:val="center"/>
              <w:ind w:left="420"/>
              <w:spacing w:after="0" w:line="183" w:lineRule="exact"/>
              <w:rPr>
                <w:sz w:val="20"/>
                <w:szCs w:val="20"/>
                <w:color w:val="auto"/>
              </w:rPr>
            </w:pPr>
            <w:r>
              <w:rPr>
                <w:rFonts w:ascii="Arial" w:cs="Arial" w:eastAsia="Arial" w:hAnsi="Arial"/>
                <w:sz w:val="16"/>
                <w:szCs w:val="16"/>
                <w:color w:val="auto"/>
                <w:w w:val="99"/>
              </w:rPr>
              <w:t>24%</w:t>
            </w:r>
          </w:p>
        </w:tc>
        <w:tc>
          <w:tcPr>
            <w:tcW w:w="1420" w:type="dxa"/>
            <w:vAlign w:val="bottom"/>
            <w:gridSpan w:val="2"/>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14%</w:t>
            </w:r>
          </w:p>
        </w:tc>
        <w:tc>
          <w:tcPr>
            <w:tcW w:w="1440" w:type="dxa"/>
            <w:vAlign w:val="bottom"/>
            <w:gridSpan w:val="2"/>
            <w:shd w:val="clear" w:color="auto" w:fill="CFF0FC"/>
          </w:tcPr>
          <w:p>
            <w:pPr>
              <w:jc w:val="center"/>
              <w:ind w:left="60"/>
              <w:spacing w:after="0" w:line="183" w:lineRule="exact"/>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VA MVP</w:t>
            </w:r>
          </w:p>
        </w:tc>
        <w:tc>
          <w:tcPr>
            <w:tcW w:w="940" w:type="dxa"/>
            <w:vAlign w:val="bottom"/>
          </w:tcPr>
          <w:p>
            <w:pPr>
              <w:jc w:val="center"/>
              <w:ind w:left="261"/>
              <w:spacing w:after="0"/>
              <w:rPr>
                <w:sz w:val="20"/>
                <w:szCs w:val="20"/>
                <w:color w:val="auto"/>
              </w:rPr>
            </w:pPr>
            <w:r>
              <w:rPr>
                <w:rFonts w:ascii="Arial" w:cs="Arial" w:eastAsia="Arial" w:hAnsi="Arial"/>
                <w:sz w:val="16"/>
                <w:szCs w:val="16"/>
                <w:color w:val="auto"/>
                <w:w w:val="99"/>
              </w:rPr>
              <w:t>20%</w:t>
            </w:r>
          </w:p>
        </w:tc>
        <w:tc>
          <w:tcPr>
            <w:tcW w:w="1820" w:type="dxa"/>
            <w:vAlign w:val="bottom"/>
            <w:gridSpan w:val="3"/>
          </w:tcPr>
          <w:p>
            <w:pPr>
              <w:jc w:val="center"/>
              <w:ind w:left="400"/>
              <w:spacing w:after="0"/>
              <w:rPr>
                <w:sz w:val="20"/>
                <w:szCs w:val="20"/>
                <w:color w:val="auto"/>
              </w:rPr>
            </w:pPr>
            <w:r>
              <w:rPr>
                <w:rFonts w:ascii="Arial" w:cs="Arial" w:eastAsia="Arial" w:hAnsi="Arial"/>
                <w:sz w:val="16"/>
                <w:szCs w:val="16"/>
                <w:color w:val="auto"/>
                <w:w w:val="95"/>
              </w:rPr>
              <w:t>*</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w:t>
            </w:r>
          </w:p>
        </w:tc>
        <w:tc>
          <w:tcPr>
            <w:tcW w:w="1440" w:type="dxa"/>
            <w:vAlign w:val="bottom"/>
            <w:gridSpan w:val="2"/>
          </w:tcPr>
          <w:p>
            <w:pPr>
              <w:jc w:val="center"/>
              <w:ind w:left="6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Pfizer Inc.</w:t>
            </w:r>
          </w:p>
        </w:tc>
        <w:tc>
          <w:tcPr>
            <w:tcW w:w="940" w:type="dxa"/>
            <w:vAlign w:val="bottom"/>
            <w:shd w:val="clear" w:color="auto" w:fill="CFF0FC"/>
          </w:tcPr>
          <w:p>
            <w:pPr>
              <w:jc w:val="center"/>
              <w:ind w:left="261"/>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FF0FC"/>
          </w:tcPr>
          <w:p>
            <w:pPr>
              <w:jc w:val="center"/>
              <w:ind w:left="400"/>
              <w:spacing w:after="0"/>
              <w:rPr>
                <w:sz w:val="20"/>
                <w:szCs w:val="20"/>
                <w:color w:val="auto"/>
              </w:rPr>
            </w:pPr>
            <w:r>
              <w:rPr>
                <w:rFonts w:ascii="Arial" w:cs="Arial" w:eastAsia="Arial" w:hAnsi="Arial"/>
                <w:sz w:val="16"/>
                <w:szCs w:val="16"/>
                <w:color w:val="auto"/>
                <w:w w:val="95"/>
              </w:rPr>
              <w:t>*</w:t>
            </w:r>
          </w:p>
        </w:tc>
        <w:tc>
          <w:tcPr>
            <w:tcW w:w="142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26%</w:t>
            </w:r>
          </w:p>
        </w:tc>
        <w:tc>
          <w:tcPr>
            <w:tcW w:w="1440" w:type="dxa"/>
            <w:vAlign w:val="bottom"/>
            <w:gridSpan w:val="2"/>
            <w:shd w:val="clear" w:color="auto" w:fill="CFF0FC"/>
          </w:tcPr>
          <w:p>
            <w:pPr>
              <w:jc w:val="center"/>
              <w:ind w:left="40"/>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Merck &amp; Co., Inc.</w:t>
            </w:r>
          </w:p>
        </w:tc>
        <w:tc>
          <w:tcPr>
            <w:tcW w:w="940" w:type="dxa"/>
            <w:vAlign w:val="bottom"/>
          </w:tcPr>
          <w:p>
            <w:pPr>
              <w:jc w:val="center"/>
              <w:ind w:left="261"/>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center"/>
              <w:ind w:left="400"/>
              <w:spacing w:after="0"/>
              <w:rPr>
                <w:sz w:val="20"/>
                <w:szCs w:val="20"/>
                <w:color w:val="auto"/>
              </w:rPr>
            </w:pPr>
            <w:r>
              <w:rPr>
                <w:rFonts w:ascii="Arial" w:cs="Arial" w:eastAsia="Arial" w:hAnsi="Arial"/>
                <w:sz w:val="16"/>
                <w:szCs w:val="16"/>
                <w:color w:val="auto"/>
                <w:w w:val="95"/>
              </w:rPr>
              <w:t>*</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1440" w:type="dxa"/>
            <w:vAlign w:val="bottom"/>
            <w:gridSpan w:val="2"/>
          </w:tcPr>
          <w:p>
            <w:pPr>
              <w:jc w:val="center"/>
              <w:ind w:left="40"/>
              <w:spacing w:after="0"/>
              <w:rPr>
                <w:sz w:val="20"/>
                <w:szCs w:val="20"/>
                <w:color w:val="auto"/>
              </w:rPr>
            </w:pPr>
            <w:r>
              <w:rPr>
                <w:rFonts w:ascii="Arial" w:cs="Arial" w:eastAsia="Arial" w:hAnsi="Arial"/>
                <w:sz w:val="16"/>
                <w:szCs w:val="16"/>
                <w:color w:val="auto"/>
                <w:w w:val="99"/>
              </w:rPr>
              <w:t>31%</w:t>
            </w:r>
          </w:p>
        </w:tc>
        <w:tc>
          <w:tcPr>
            <w:tcW w:w="0" w:type="dxa"/>
            <w:vAlign w:val="bottom"/>
          </w:tcPr>
          <w:p>
            <w:pPr>
              <w:spacing w:after="0"/>
              <w:rPr>
                <w:sz w:val="1"/>
                <w:szCs w:val="1"/>
                <w:color w:val="auto"/>
              </w:rPr>
            </w:pPr>
          </w:p>
        </w:tc>
      </w:tr>
      <w:tr>
        <w:trPr>
          <w:trHeight w:val="189"/>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Natera, Inc.</w:t>
            </w:r>
          </w:p>
        </w:tc>
        <w:tc>
          <w:tcPr>
            <w:tcW w:w="940" w:type="dxa"/>
            <w:vAlign w:val="bottom"/>
            <w:shd w:val="clear" w:color="auto" w:fill="CFF0FC"/>
          </w:tcPr>
          <w:p>
            <w:pPr>
              <w:jc w:val="center"/>
              <w:ind w:left="261"/>
              <w:spacing w:after="0"/>
              <w:rPr>
                <w:sz w:val="20"/>
                <w:szCs w:val="20"/>
                <w:color w:val="auto"/>
              </w:rPr>
            </w:pPr>
            <w:r>
              <w:rPr>
                <w:rFonts w:ascii="Arial" w:cs="Arial" w:eastAsia="Arial" w:hAnsi="Arial"/>
                <w:sz w:val="16"/>
                <w:szCs w:val="16"/>
                <w:color w:val="auto"/>
                <w:w w:val="99"/>
              </w:rPr>
              <w:t>12%</w:t>
            </w:r>
          </w:p>
        </w:tc>
        <w:tc>
          <w:tcPr>
            <w:tcW w:w="1820" w:type="dxa"/>
            <w:vAlign w:val="bottom"/>
            <w:gridSpan w:val="3"/>
            <w:shd w:val="clear" w:color="auto" w:fill="CFF0FC"/>
          </w:tcPr>
          <w:p>
            <w:pPr>
              <w:jc w:val="center"/>
              <w:ind w:left="420"/>
              <w:spacing w:after="0"/>
              <w:rPr>
                <w:sz w:val="20"/>
                <w:szCs w:val="20"/>
                <w:color w:val="auto"/>
              </w:rPr>
            </w:pPr>
            <w:r>
              <w:rPr>
                <w:rFonts w:ascii="Arial" w:cs="Arial" w:eastAsia="Arial" w:hAnsi="Arial"/>
                <w:sz w:val="16"/>
                <w:szCs w:val="16"/>
                <w:color w:val="auto"/>
                <w:w w:val="99"/>
              </w:rPr>
              <w:t>41%</w:t>
            </w:r>
          </w:p>
        </w:tc>
        <w:tc>
          <w:tcPr>
            <w:tcW w:w="14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c>
          <w:tcPr>
            <w:tcW w:w="1440" w:type="dxa"/>
            <w:vAlign w:val="bottom"/>
            <w:gridSpan w:val="2"/>
            <w:shd w:val="clear" w:color="auto" w:fill="CFF0FC"/>
          </w:tcPr>
          <w:p>
            <w:pPr>
              <w:jc w:val="center"/>
              <w:ind w:left="40"/>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AstraZeneca UK Limited</w:t>
            </w:r>
          </w:p>
        </w:tc>
        <w:tc>
          <w:tcPr>
            <w:tcW w:w="940" w:type="dxa"/>
            <w:vAlign w:val="bottom"/>
          </w:tcPr>
          <w:p>
            <w:pPr>
              <w:jc w:val="center"/>
              <w:ind w:left="261"/>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center"/>
              <w:ind w:left="400"/>
              <w:spacing w:after="0"/>
              <w:rPr>
                <w:sz w:val="20"/>
                <w:szCs w:val="20"/>
                <w:color w:val="auto"/>
              </w:rPr>
            </w:pPr>
            <w:r>
              <w:rPr>
                <w:rFonts w:ascii="Arial" w:cs="Arial" w:eastAsia="Arial" w:hAnsi="Arial"/>
                <w:sz w:val="16"/>
                <w:szCs w:val="16"/>
                <w:color w:val="auto"/>
                <w:w w:val="95"/>
              </w:rPr>
              <w:t>*</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18%</w:t>
            </w:r>
          </w:p>
        </w:tc>
        <w:tc>
          <w:tcPr>
            <w:tcW w:w="1440" w:type="dxa"/>
            <w:vAlign w:val="bottom"/>
            <w:gridSpan w:val="2"/>
          </w:tcPr>
          <w:p>
            <w:pPr>
              <w:jc w:val="center"/>
              <w:ind w:left="6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 Less than 10% of revenue or accounts receivable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As of March 31, 2025, the Company’s significant accounting policies are consistent with those discussed in Note 2 - “Summary of Significant Accounting Policies” in its consolidated financial statements included in the Company’s Annual Report on Form 10-K for the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In December 2023, the FASB issued ASU No. 2023-09, </w:t>
      </w:r>
      <w:r>
        <w:rPr>
          <w:rFonts w:ascii="Arial" w:cs="Arial" w:eastAsia="Arial" w:hAnsi="Arial"/>
          <w:sz w:val="16"/>
          <w:szCs w:val="16"/>
          <w:i w:val="1"/>
          <w:iCs w:val="1"/>
          <w:color w:val="auto"/>
        </w:rPr>
        <w:t>Income Taxes (Topic 740): Improvements to Income Tax Disclosures ("ASU 2023-09")</w:t>
      </w:r>
      <w:r>
        <w:rPr>
          <w:rFonts w:ascii="Arial" w:cs="Arial" w:eastAsia="Arial" w:hAnsi="Arial"/>
          <w:sz w:val="16"/>
          <w:szCs w:val="16"/>
          <w:color w:val="auto"/>
        </w:rPr>
        <w:t>,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is currently evaluating the potential impact of adopting this new guidance on its consolidated financial statements and related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In November 2024, the FASB issued ASU No. 2024-03, </w:t>
      </w:r>
      <w:r>
        <w:rPr>
          <w:rFonts w:ascii="Arial" w:cs="Arial" w:eastAsia="Arial" w:hAnsi="Arial"/>
          <w:sz w:val="16"/>
          <w:szCs w:val="16"/>
          <w:i w:val="1"/>
          <w:iCs w:val="1"/>
          <w:color w:val="auto"/>
        </w:rPr>
        <w:t>Income Statement–Reporting Comprehensive Income–Expense Disaggregation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(Subtopic 220-40): Disaggregation of Income Statement Expenses ("ASU 2024-03")</w:t>
      </w:r>
      <w:r>
        <w:rPr>
          <w:rFonts w:ascii="Arial" w:cs="Arial" w:eastAsia="Arial" w:hAnsi="Arial"/>
          <w:sz w:val="16"/>
          <w:szCs w:val="16"/>
          <w:color w:val="auto"/>
        </w:rPr>
        <w:t>, which requires</w:t>
      </w:r>
      <w:r>
        <w:rPr>
          <w:rFonts w:ascii="Arial" w:cs="Arial" w:eastAsia="Arial" w:hAnsi="Arial"/>
          <w:sz w:val="16"/>
          <w:szCs w:val="16"/>
          <w:i w:val="1"/>
          <w:iCs w:val="1"/>
          <w:color w:val="auto"/>
        </w:rPr>
        <w:t xml:space="preserve"> </w:t>
      </w:r>
      <w:r>
        <w:rPr>
          <w:rFonts w:ascii="Arial" w:cs="Arial" w:eastAsia="Arial" w:hAnsi="Arial"/>
          <w:sz w:val="16"/>
          <w:szCs w:val="16"/>
          <w:color w:val="080808"/>
        </w:rPr>
        <w:t>the disclosure of additional information</w:t>
      </w:r>
      <w:r>
        <w:rPr>
          <w:rFonts w:ascii="Arial" w:cs="Arial" w:eastAsia="Arial" w:hAnsi="Arial"/>
          <w:sz w:val="16"/>
          <w:szCs w:val="16"/>
          <w:i w:val="1"/>
          <w:iCs w:val="1"/>
          <w:color w:val="auto"/>
        </w:rPr>
        <w:t xml:space="preserve"> </w:t>
      </w:r>
      <w:r>
        <w:rPr>
          <w:rFonts w:ascii="Arial" w:cs="Arial" w:eastAsia="Arial" w:hAnsi="Arial"/>
          <w:sz w:val="16"/>
          <w:szCs w:val="16"/>
          <w:color w:val="080808"/>
        </w:rPr>
        <w:t xml:space="preserve">related to certain costs and expenses, including amounts of inventory purchases, employee compensation, and depreciation and amortization included in each income statement line item </w:t>
      </w:r>
      <w:r>
        <w:rPr>
          <w:rFonts w:ascii="Arial" w:cs="Arial" w:eastAsia="Arial" w:hAnsi="Arial"/>
          <w:sz w:val="16"/>
          <w:szCs w:val="16"/>
          <w:color w:val="000000"/>
        </w:rPr>
        <w:t>on an interim and annual basis. ASU 2024-03 also requires disclosure of the total amount of selling expenses and the</w:t>
      </w:r>
      <w:r>
        <w:rPr>
          <w:rFonts w:ascii="Arial" w:cs="Arial" w:eastAsia="Arial" w:hAnsi="Arial"/>
          <w:sz w:val="16"/>
          <w:szCs w:val="16"/>
          <w:color w:val="080808"/>
        </w:rPr>
        <w:t xml:space="preserve"> </w:t>
      </w:r>
      <w:r>
        <w:rPr>
          <w:rFonts w:ascii="Arial" w:cs="Arial" w:eastAsia="Arial" w:hAnsi="Arial"/>
          <w:sz w:val="16"/>
          <w:szCs w:val="16"/>
          <w:color w:val="000000"/>
        </w:rPr>
        <w:t>Company's definition of selling expenses. ASU 2024-03 is effective for annual reporting periods beginning after December 15, 2026, and interim reporting periods beginning after December 15, 2027, with early adoption permitted. Although the new standard requires comparative disclosures for all periods presented, entities will be permitted to begin applying the guidance prospectively. Therefore, comparative disclosures are not required for reporting periods beginning before the effective date. Entities can elect to apply the new standard retrospectively to any or all prior periods presented in the financial statements. The Company is currently evaluating the impact that adoption of ASU 2024-03 will have on its consolidated financial statement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five customer types:</w:t>
      </w:r>
    </w:p>
    <w:p>
      <w:pPr>
        <w:spacing w:after="0" w:line="181" w:lineRule="exact"/>
        <w:rPr>
          <w:sz w:val="20"/>
          <w:szCs w:val="20"/>
          <w:color w:val="auto"/>
        </w:rPr>
      </w:pPr>
    </w:p>
    <w:p>
      <w:pPr>
        <w:jc w:val="both"/>
        <w:ind w:left="1140" w:hanging="383"/>
        <w:spacing w:after="0" w:line="266"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 Contracts typically contemplate a single project and involve a range of tests and analytics to fulfill the requirements of each particular project.</w:t>
      </w:r>
    </w:p>
    <w:p>
      <w:pPr>
        <w:spacing w:after="0" w:line="143"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specified tests and analytics in high volume over time. Revenue from the Company's partnership with Natera to provide advanced tumor analysis for use in Natera's molecular residual disease ("MRD") test makes up substantially all of the revenue in this category.</w:t>
      </w:r>
    </w:p>
    <w:p>
      <w:pPr>
        <w:spacing w:after="0" w:line="136"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perform whole genome sequencing and provide data that can be used for analysis across a large volume of samples. All of the revenue within this category is from the Company's partnership with the VA MVP.</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diagnostic </w:t>
      </w:r>
      <w:r>
        <w:rPr>
          <w:rFonts w:ascii="Arial" w:cs="Arial" w:eastAsia="Arial" w:hAnsi="Arial"/>
          <w:sz w:val="16"/>
          <w:szCs w:val="16"/>
          <w:color w:val="auto"/>
        </w:rPr>
        <w:t>includes sales of ultra-sensitive, tumor-informed diagnostics tests, ordered by healthcare providers for cancer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can detect cancer recurrence earlier and aids in treatment decision-making. Revenue is derived from Medicare and private insurance reimbursements.</w:t>
      </w:r>
    </w:p>
    <w:p>
      <w:pPr>
        <w:spacing w:after="0" w:line="14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r>
      <w:tr>
        <w:trPr>
          <w:trHeight w:val="155"/>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Pharma tests and services </w:t>
            </w:r>
            <w:r>
              <w:rPr>
                <w:rFonts w:ascii="Arial" w:cs="Arial" w:eastAsia="Arial" w:hAnsi="Arial"/>
                <w:sz w:val="21"/>
                <w:szCs w:val="21"/>
                <w:color w:val="auto"/>
                <w:vertAlign w:val="superscript"/>
              </w:rPr>
              <w:t>(1)</w:t>
            </w:r>
          </w:p>
        </w:tc>
        <w:tc>
          <w:tcPr>
            <w:tcW w:w="1000" w:type="dxa"/>
            <w:vAlign w:val="bottom"/>
            <w:gridSpan w:val="2"/>
            <w:shd w:val="clear" w:color="auto" w:fill="CFF0FC"/>
          </w:tcPr>
          <w:p>
            <w:pPr>
              <w:jc w:val="right"/>
              <w:ind w:right="828"/>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13,594</w:t>
            </w:r>
          </w:p>
        </w:tc>
        <w:tc>
          <w:tcPr>
            <w:tcW w:w="1160" w:type="dxa"/>
            <w:vAlign w:val="bottom"/>
            <w:gridSpan w:val="2"/>
            <w:shd w:val="clear" w:color="auto" w:fill="CFF0FC"/>
          </w:tcPr>
          <w:p>
            <w:pPr>
              <w:jc w:val="right"/>
              <w:ind w:right="828"/>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9,812</w:t>
            </w: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Enterprise sales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2,465</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7,972</w:t>
            </w: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Population sequencing</w:t>
            </w:r>
          </w:p>
        </w:tc>
        <w:tc>
          <w:tcPr>
            <w:tcW w:w="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4,213</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1,500</w:t>
            </w: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Clinical diagnostic</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195</w:t>
            </w:r>
          </w:p>
        </w:tc>
      </w:tr>
      <w:tr>
        <w:trPr>
          <w:trHeight w:val="189"/>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183"/>
        </w:trPr>
        <w:tc>
          <w:tcPr>
            <w:tcW w:w="7740" w:type="dxa"/>
            <w:vAlign w:val="bottom"/>
          </w:tcPr>
          <w:p>
            <w:pPr>
              <w:ind w:left="140"/>
              <w:spacing w:after="0" w:line="169" w:lineRule="exact"/>
              <w:rPr>
                <w:sz w:val="20"/>
                <w:szCs w:val="20"/>
                <w:color w:val="auto"/>
              </w:rPr>
            </w:pPr>
            <w:r>
              <w:rPr>
                <w:rFonts w:ascii="Arial" w:cs="Arial" w:eastAsia="Arial" w:hAnsi="Arial"/>
                <w:sz w:val="16"/>
                <w:szCs w:val="16"/>
                <w:color w:val="auto"/>
              </w:rPr>
              <w:t>Total revenue</w:t>
            </w:r>
          </w:p>
        </w:tc>
        <w:tc>
          <w:tcPr>
            <w:tcW w:w="1000" w:type="dxa"/>
            <w:vAlign w:val="bottom"/>
            <w:gridSpan w:val="2"/>
          </w:tcPr>
          <w:p>
            <w:pPr>
              <w:jc w:val="right"/>
              <w:ind w:right="828"/>
              <w:spacing w:after="0" w:line="169"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20,605</w:t>
            </w:r>
          </w:p>
        </w:tc>
        <w:tc>
          <w:tcPr>
            <w:tcW w:w="1160" w:type="dxa"/>
            <w:vAlign w:val="bottom"/>
            <w:gridSpan w:val="2"/>
          </w:tcPr>
          <w:p>
            <w:pPr>
              <w:jc w:val="right"/>
              <w:ind w:right="828"/>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19,525</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0"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related party revenue of $0.5 million for the three months ended March 31, 2025.</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opening and closing balances of receivables and contract liabilities from contracts with customers are shown below (in thousands). Contract assets were immaterial for all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63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Opening balances:</w:t>
            </w:r>
          </w:p>
        </w:tc>
        <w:tc>
          <w:tcPr>
            <w:tcW w:w="1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189"/>
        </w:trPr>
        <w:tc>
          <w:tcPr>
            <w:tcW w:w="63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8,140</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17,730</w:t>
            </w:r>
          </w:p>
        </w:tc>
      </w:tr>
      <w:tr>
        <w:trPr>
          <w:trHeight w:val="189"/>
        </w:trPr>
        <w:tc>
          <w:tcPr>
            <w:tcW w:w="63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9"/>
        </w:trPr>
        <w:tc>
          <w:tcPr>
            <w:tcW w:w="6320" w:type="dxa"/>
            <w:vAlign w:val="bottom"/>
          </w:tcPr>
          <w:p>
            <w:pPr>
              <w:ind w:left="140"/>
              <w:spacing w:after="0"/>
              <w:rPr>
                <w:sz w:val="20"/>
                <w:szCs w:val="20"/>
                <w:color w:val="auto"/>
              </w:rPr>
            </w:pPr>
            <w:r>
              <w:rPr>
                <w:rFonts w:ascii="Arial" w:cs="Arial" w:eastAsia="Arial" w:hAnsi="Arial"/>
                <w:sz w:val="16"/>
                <w:szCs w:val="16"/>
                <w:color w:val="auto"/>
              </w:rPr>
              <w:t>Short-term contract liabilities</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3,100</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3,288</w:t>
            </w:r>
          </w:p>
        </w:tc>
      </w:tr>
      <w:tr>
        <w:trPr>
          <w:trHeight w:val="189"/>
        </w:trPr>
        <w:tc>
          <w:tcPr>
            <w:tcW w:w="6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14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3,928</w:t>
            </w:r>
          </w:p>
        </w:tc>
      </w:tr>
      <w:tr>
        <w:trPr>
          <w:trHeight w:val="183"/>
        </w:trPr>
        <w:tc>
          <w:tcPr>
            <w:tcW w:w="6320" w:type="dxa"/>
            <w:vAlign w:val="bottom"/>
          </w:tcPr>
          <w:p>
            <w:pPr>
              <w:ind w:left="280"/>
              <w:spacing w:after="0" w:line="183" w:lineRule="exact"/>
              <w:rPr>
                <w:sz w:val="20"/>
                <w:szCs w:val="20"/>
                <w:color w:val="auto"/>
              </w:rPr>
            </w:pPr>
            <w:r>
              <w:rPr>
                <w:rFonts w:ascii="Arial" w:cs="Arial" w:eastAsia="Arial" w:hAnsi="Arial"/>
                <w:sz w:val="16"/>
                <w:szCs w:val="16"/>
                <w:color w:val="auto"/>
              </w:rPr>
              <w:t>Total contract liabilities</w:t>
            </w: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3,100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7,216</w:t>
            </w:r>
          </w:p>
        </w:tc>
      </w:tr>
      <w:tr>
        <w:trPr>
          <w:trHeight w:val="189"/>
        </w:trPr>
        <w:tc>
          <w:tcPr>
            <w:tcW w:w="63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89"/>
        </w:trPr>
        <w:tc>
          <w:tcPr>
            <w:tcW w:w="6320" w:type="dxa"/>
            <w:vAlign w:val="bottom"/>
          </w:tcPr>
          <w:p>
            <w:pPr>
              <w:spacing w:after="0"/>
              <w:rPr>
                <w:sz w:val="20"/>
                <w:szCs w:val="20"/>
                <w:color w:val="auto"/>
              </w:rPr>
            </w:pPr>
            <w:r>
              <w:rPr>
                <w:rFonts w:ascii="Arial" w:cs="Arial" w:eastAsia="Arial" w:hAnsi="Arial"/>
                <w:sz w:val="16"/>
                <w:szCs w:val="16"/>
                <w:b w:val="1"/>
                <w:bCs w:val="1"/>
                <w:color w:val="auto"/>
              </w:rPr>
              <w:t>Closing balances:</w:t>
            </w: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6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receivable, net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10,973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8,140</w:t>
            </w:r>
          </w:p>
        </w:tc>
      </w:tr>
      <w:tr>
        <w:trPr>
          <w:trHeight w:val="189"/>
        </w:trPr>
        <w:tc>
          <w:tcPr>
            <w:tcW w:w="6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6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Short-term contract liabilities</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1,964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3,100</w:t>
            </w:r>
          </w:p>
        </w:tc>
      </w:tr>
      <w:tr>
        <w:trPr>
          <w:trHeight w:val="208"/>
        </w:trPr>
        <w:tc>
          <w:tcPr>
            <w:tcW w:w="6320" w:type="dxa"/>
            <w:vAlign w:val="bottom"/>
          </w:tcPr>
          <w:p>
            <w:pPr>
              <w:ind w:left="280"/>
              <w:spacing w:after="0"/>
              <w:rPr>
                <w:sz w:val="20"/>
                <w:szCs w:val="20"/>
                <w:color w:val="auto"/>
              </w:rPr>
            </w:pPr>
            <w:r>
              <w:rPr>
                <w:rFonts w:ascii="Arial" w:cs="Arial" w:eastAsia="Arial" w:hAnsi="Arial"/>
                <w:sz w:val="16"/>
                <w:szCs w:val="16"/>
                <w:color w:val="auto"/>
              </w:rPr>
              <w:t>Total contract liabilities</w:t>
            </w:r>
          </w:p>
        </w:tc>
        <w:tc>
          <w:tcPr>
            <w:tcW w:w="1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-873125</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Amounts collected in advance of services being provided are deferred as contract liabilities in the consolidated balance sheets. The associated revenue is recognized, and the contract liability is reduced, as the services are subsequently performed. Remaining performance obligations are comprised mainly of contract liabilities, and to a lesser extent, unbilled service revenue from non-cancellable contracts for which the Company has not invoiced and has an obligation to perform, and for which revenue has not yet been recognized in the financial statements. As of March 31, 2025, amounts related to unfulfilled services under contracts with an original expected duration of more than one year was $0.5 million. The Company expects to recognize the entire amount in the next 12 months. Revenue recognized that was included in the contract liability balance at the beginning of each reporting period was $1.1 million and $2.0 million for the three months ended March 31, 2025 and 2024,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5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Raw materials</w:t>
            </w:r>
          </w:p>
        </w:tc>
        <w:tc>
          <w:tcPr>
            <w:tcW w:w="250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4,212</w:t>
            </w:r>
          </w:p>
        </w:tc>
        <w:tc>
          <w:tcPr>
            <w:tcW w:w="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3,976</w:t>
            </w:r>
          </w:p>
        </w:tc>
      </w:tr>
      <w:tr>
        <w:trPr>
          <w:trHeight w:val="189"/>
        </w:trPr>
        <w:tc>
          <w:tcPr>
            <w:tcW w:w="5300" w:type="dxa"/>
            <w:vAlign w:val="bottom"/>
          </w:tcPr>
          <w:p>
            <w:pPr>
              <w:spacing w:after="0"/>
              <w:rPr>
                <w:sz w:val="20"/>
                <w:szCs w:val="20"/>
                <w:color w:val="auto"/>
              </w:rPr>
            </w:pPr>
            <w:r>
              <w:rPr>
                <w:rFonts w:ascii="Arial" w:cs="Arial" w:eastAsia="Arial" w:hAnsi="Arial"/>
                <w:sz w:val="16"/>
                <w:szCs w:val="16"/>
                <w:color w:val="auto"/>
              </w:rPr>
              <w:t>Other deferred costs</w:t>
            </w:r>
          </w:p>
        </w:tc>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1,963</w:t>
            </w:r>
          </w:p>
        </w:tc>
      </w:tr>
      <w:tr>
        <w:trPr>
          <w:trHeight w:val="203"/>
        </w:trPr>
        <w:tc>
          <w:tcPr>
            <w:tcW w:w="5300" w:type="dxa"/>
            <w:vAlign w:val="bottom"/>
            <w:shd w:val="clear" w:color="auto" w:fill="CFF0FC"/>
          </w:tcPr>
          <w:p>
            <w:pPr>
              <w:ind w:left="140"/>
              <w:spacing w:after="0" w:line="169" w:lineRule="exact"/>
              <w:rPr>
                <w:sz w:val="20"/>
                <w:szCs w:val="20"/>
                <w:color w:val="auto"/>
              </w:rPr>
            </w:pPr>
            <w:r>
              <w:rPr>
                <w:rFonts w:ascii="Arial" w:cs="Arial" w:eastAsia="Arial" w:hAnsi="Arial"/>
                <w:sz w:val="16"/>
                <w:szCs w:val="16"/>
                <w:color w:val="auto"/>
              </w:rPr>
              <w:t>Total inventory and other deferred costs</w:t>
            </w:r>
          </w:p>
        </w:tc>
        <w:tc>
          <w:tcPr>
            <w:tcW w:w="2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4,923</w:t>
            </w:r>
          </w:p>
        </w:tc>
        <w:tc>
          <w:tcPr>
            <w:tcW w:w="3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5,939</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March 31, 2025 and 2024 was $2.6 million and $2.8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Accumulated depreciation and amortization was $48.6 million and $46.0 million as of March 31, 2025 and December 31, 2024, respectively.</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March 31, 2025 and December 31, 2024, and is included in other long-term assets.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4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compensation</w:t>
            </w:r>
          </w:p>
        </w:tc>
        <w:tc>
          <w:tcPr>
            <w:tcW w:w="30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5,205</w:t>
            </w: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8,544</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7,472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7,696</w:t>
            </w: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Loans—current portion (Note 6)</w:t>
            </w:r>
          </w:p>
        </w:tc>
        <w:tc>
          <w:tcPr>
            <w:tcW w:w="2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2,834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1,669</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Market Development Fees received from Tempus (Note 8)</w:t>
            </w: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2,100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1,400</w:t>
            </w: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Employee ESPP contributions</w:t>
            </w:r>
          </w:p>
        </w:tc>
        <w:tc>
          <w:tcPr>
            <w:tcW w:w="2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740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301</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2,019</w:t>
            </w:r>
          </w:p>
        </w:tc>
      </w:tr>
      <w:tr>
        <w:trPr>
          <w:trHeight w:val="223"/>
        </w:trPr>
        <w:tc>
          <w:tcPr>
            <w:tcW w:w="48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accrued and other current liabilities</w:t>
            </w:r>
          </w:p>
        </w:tc>
        <w:tc>
          <w:tcPr>
            <w:tcW w:w="30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20,014</w:t>
            </w: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21,629</w:t>
            </w:r>
          </w:p>
        </w:tc>
      </w:tr>
      <w:tr>
        <w:trPr>
          <w:trHeight w:val="613"/>
        </w:trPr>
        <w:tc>
          <w:tcPr>
            <w:tcW w:w="4860" w:type="dxa"/>
            <w:vAlign w:val="bottom"/>
            <w:tcBorders>
              <w:top w:val="single" w:sz="8" w:color="CFF0FC"/>
            </w:tcBorders>
          </w:tcPr>
          <w:p>
            <w:pPr>
              <w:spacing w:after="0"/>
              <w:rPr>
                <w:sz w:val="24"/>
                <w:szCs w:val="24"/>
                <w:color w:val="auto"/>
              </w:rPr>
            </w:pPr>
          </w:p>
        </w:tc>
        <w:tc>
          <w:tcPr>
            <w:tcW w:w="2880" w:type="dxa"/>
            <w:vAlign w:val="bottom"/>
            <w:tcBorders>
              <w:top w:val="single" w:sz="8" w:color="CFF0FC"/>
            </w:tcBorders>
          </w:tcPr>
          <w:p>
            <w:pPr>
              <w:jc w:val="right"/>
              <w:ind w:right="1939"/>
              <w:spacing w:after="0"/>
              <w:rPr>
                <w:sz w:val="20"/>
                <w:szCs w:val="20"/>
                <w:color w:val="auto"/>
              </w:rPr>
            </w:pPr>
            <w:r>
              <w:rPr>
                <w:rFonts w:ascii="Arial" w:cs="Arial" w:eastAsia="Arial" w:hAnsi="Arial"/>
                <w:sz w:val="16"/>
                <w:szCs w:val="16"/>
                <w:color w:val="auto"/>
              </w:rPr>
              <w:t>15</w:t>
            </w: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751"/>
        </w:trPr>
        <w:tc>
          <w:tcPr>
            <w:tcW w:w="48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11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-899795</wp:posOffset>
            </wp:positionV>
            <wp:extent cx="111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March 31, 2025 and December 31, 2024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83"/>
        </w:trPr>
        <w:tc>
          <w:tcPr>
            <w:tcW w:w="40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w:t>
            </w:r>
          </w:p>
        </w:tc>
        <w:tc>
          <w:tcPr>
            <w:tcW w:w="1460" w:type="dxa"/>
            <w:vAlign w:val="bottom"/>
            <w:gridSpan w:val="2"/>
            <w:shd w:val="clear" w:color="auto" w:fill="CFF0FC"/>
          </w:tcPr>
          <w:p>
            <w:pPr>
              <w:ind w:left="1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Money market funds</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16,478</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53,213</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53,202</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3"/>
        </w:trPr>
        <w:tc>
          <w:tcPr>
            <w:tcW w:w="4000" w:type="dxa"/>
            <w:vAlign w:val="bottom"/>
          </w:tcPr>
          <w:p>
            <w:pPr>
              <w:ind w:left="200"/>
              <w:spacing w:after="0" w:line="183" w:lineRule="exact"/>
              <w:rPr>
                <w:sz w:val="20"/>
                <w:szCs w:val="20"/>
                <w:color w:val="auto"/>
              </w:rPr>
            </w:pPr>
            <w:r>
              <w:rPr>
                <w:rFonts w:ascii="Arial" w:cs="Arial" w:eastAsia="Arial" w:hAnsi="Arial"/>
                <w:sz w:val="16"/>
                <w:szCs w:val="16"/>
                <w:color w:val="auto"/>
              </w:rPr>
              <w:t>Total cash and cash equivalents</w:t>
            </w: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71,012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71,001</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11,868</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debt securities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U.S. agency securities</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2,817</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U.S. government securities</w:t>
            </w:r>
          </w:p>
        </w:tc>
        <w:tc>
          <w:tcPr>
            <w:tcW w:w="12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99,493</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99,503</w:t>
            </w:r>
          </w:p>
        </w:tc>
        <w:tc>
          <w:tcPr>
            <w:tcW w:w="1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3"/>
        </w:trPr>
        <w:tc>
          <w:tcPr>
            <w:tcW w:w="4000" w:type="dxa"/>
            <w:vAlign w:val="bottom"/>
          </w:tcPr>
          <w:p>
            <w:pPr>
              <w:ind w:left="200"/>
              <w:spacing w:after="0" w:line="183" w:lineRule="exact"/>
              <w:rPr>
                <w:sz w:val="20"/>
                <w:szCs w:val="20"/>
                <w:color w:val="auto"/>
              </w:rPr>
            </w:pPr>
            <w:r>
              <w:rPr>
                <w:rFonts w:ascii="Arial" w:cs="Arial" w:eastAsia="Arial" w:hAnsi="Arial"/>
                <w:sz w:val="16"/>
                <w:szCs w:val="16"/>
                <w:color w:val="auto"/>
              </w:rPr>
              <w:t>Total short-term investments</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114,681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114,687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300"/>
              <w:spacing w:after="0" w:line="169" w:lineRule="exact"/>
              <w:rPr>
                <w:sz w:val="20"/>
                <w:szCs w:val="20"/>
                <w:color w:val="auto"/>
              </w:rPr>
            </w:pPr>
            <w:r>
              <w:rPr>
                <w:rFonts w:ascii="Arial" w:cs="Arial" w:eastAsia="Arial" w:hAnsi="Arial"/>
                <w:sz w:val="16"/>
                <w:szCs w:val="16"/>
                <w:color w:val="auto"/>
              </w:rPr>
              <w:t>Total assets measured at fair value</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185,693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17</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185,688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2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83"/>
        </w:trPr>
        <w:tc>
          <w:tcPr>
            <w:tcW w:w="400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Cash</w:t>
            </w:r>
          </w:p>
        </w:tc>
        <w:tc>
          <w:tcPr>
            <w:tcW w:w="146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44,524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44,524</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39,291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39,285</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agency securities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6,454</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3"/>
        </w:trPr>
        <w:tc>
          <w:tcPr>
            <w:tcW w:w="400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6"/>
                <w:szCs w:val="16"/>
                <w:color w:val="auto"/>
              </w:rPr>
              <w:t>Total cash and cash equivalents</w:t>
            </w:r>
          </w:p>
        </w:tc>
        <w:tc>
          <w:tcPr>
            <w:tcW w:w="12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91,420</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91,415</w:t>
            </w:r>
          </w:p>
        </w:tc>
        <w:tc>
          <w:tcPr>
            <w:tcW w:w="12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8,697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8,697</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debt securities</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U.S. agency securities</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U.S. government securities</w:t>
            </w:r>
          </w:p>
        </w:tc>
        <w:tc>
          <w:tcPr>
            <w:tcW w:w="12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82,042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82,069</w:t>
            </w:r>
          </w:p>
        </w:tc>
        <w:tc>
          <w:tcPr>
            <w:tcW w:w="1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83"/>
        </w:trPr>
        <w:tc>
          <w:tcPr>
            <w:tcW w:w="4000" w:type="dxa"/>
            <w:vAlign w:val="bottom"/>
          </w:tcPr>
          <w:p>
            <w:pPr>
              <w:ind w:left="200"/>
              <w:spacing w:after="0" w:line="183" w:lineRule="exact"/>
              <w:rPr>
                <w:sz w:val="20"/>
                <w:szCs w:val="20"/>
                <w:color w:val="auto"/>
              </w:rPr>
            </w:pPr>
            <w:r>
              <w:rPr>
                <w:rFonts w:ascii="Arial" w:cs="Arial" w:eastAsia="Arial" w:hAnsi="Arial"/>
                <w:sz w:val="16"/>
                <w:szCs w:val="16"/>
                <w:color w:val="auto"/>
              </w:rPr>
              <w:t>Total short-term investments</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93,567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93,594</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300"/>
              <w:spacing w:after="0" w:line="169" w:lineRule="exact"/>
              <w:rPr>
                <w:sz w:val="20"/>
                <w:szCs w:val="20"/>
                <w:color w:val="auto"/>
              </w:rPr>
            </w:pPr>
            <w:r>
              <w:rPr>
                <w:rFonts w:ascii="Arial" w:cs="Arial" w:eastAsia="Arial" w:hAnsi="Arial"/>
                <w:sz w:val="16"/>
                <w:szCs w:val="16"/>
                <w:color w:val="auto"/>
              </w:rPr>
              <w:t>Total assets measured at fair value</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184,987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35</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185,009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-2442210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-2442210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-2442210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-2442210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-2185035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-2167890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-2185035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-2167890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-2185035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-2167890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-2185035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-2167890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-1010920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-1010920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-1010920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-1010920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-281940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-281940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-281940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-281940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The amortized costs and fair value of marketable debt securities (excluding cash and money market funds) by contractual maturity, at March 31, 2025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 2025</w:t>
            </w:r>
          </w:p>
        </w:tc>
        <w:tc>
          <w:tcPr>
            <w:tcW w:w="1260" w:type="dxa"/>
            <w:vAlign w:val="bottom"/>
            <w:tcBorders>
              <w:bottom w:val="single" w:sz="8" w:color="auto"/>
            </w:tcBorders>
          </w:tcPr>
          <w:p>
            <w:pPr>
              <w:spacing w:after="0"/>
              <w:rPr>
                <w:sz w:val="14"/>
                <w:szCs w:val="14"/>
                <w:color w:val="auto"/>
              </w:rPr>
            </w:pPr>
          </w:p>
        </w:tc>
      </w:tr>
      <w:tr>
        <w:trPr>
          <w:trHeight w:val="155"/>
        </w:trPr>
        <w:tc>
          <w:tcPr>
            <w:tcW w:w="44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Fair Value</w:t>
            </w: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Less than 1 year</w:t>
            </w:r>
          </w:p>
        </w:tc>
        <w:tc>
          <w:tcPr>
            <w:tcW w:w="3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160,931</w:t>
            </w:r>
          </w:p>
        </w:tc>
        <w:tc>
          <w:tcPr>
            <w:tcW w:w="58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160,924</w:t>
            </w: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1 to 5 years</w:t>
            </w: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6,963</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6,965</w:t>
            </w:r>
          </w:p>
        </w:tc>
      </w:tr>
      <w:tr>
        <w:trPr>
          <w:trHeight w:val="203"/>
        </w:trPr>
        <w:tc>
          <w:tcPr>
            <w:tcW w:w="44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3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43"/>
              <w:spacing w:after="0" w:line="169" w:lineRule="exact"/>
              <w:rPr>
                <w:sz w:val="20"/>
                <w:szCs w:val="20"/>
                <w:color w:val="auto"/>
              </w:rPr>
            </w:pPr>
            <w:r>
              <w:rPr>
                <w:rFonts w:ascii="Arial" w:cs="Arial" w:eastAsia="Arial" w:hAnsi="Arial"/>
                <w:sz w:val="16"/>
                <w:szCs w:val="16"/>
                <w:color w:val="auto"/>
              </w:rPr>
              <w:t>167,894</w:t>
            </w:r>
          </w:p>
        </w:tc>
        <w:tc>
          <w:tcPr>
            <w:tcW w:w="580" w:type="dxa"/>
            <w:vAlign w:val="bottom"/>
            <w:gridSpan w:val="2"/>
            <w:shd w:val="clear" w:color="auto" w:fill="CFF0FC"/>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167,889</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No security has been in a continuous unrealized loss position for more than 12 months and the Company does not consider any of its marketable debt securities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Black-Scholes option-pricing model was used to estimate fair value of the warrants issued to Tempus at the date of issuance, November 28, 2023, and at each subsequent balance sheet date prior to their exercise in full in August 2024. Assumptions used are listed below, which are Level 3 fair value inputs. Expected term was equal to the then-remaining contractual periods of each of the two warrants. Expected volatility was based on the Company's actual historical volatility over the expected terms of the warrants. The risk-free interest rate was based on the U.S. Treasury yield curve over the expected terms of the warrants. Refer to Note 8. Related Party Transactions for further information about the warrants issued to Tempus.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140" w:type="dxa"/>
            <w:vAlign w:val="bottom"/>
            <w:tcBorders>
              <w:top w:val="single" w:sz="8" w:color="0000FF"/>
            </w:tcBorders>
          </w:tcPr>
          <w:p>
            <w:pPr>
              <w:spacing w:after="0"/>
              <w:rPr>
                <w:sz w:val="24"/>
                <w:szCs w:val="24"/>
                <w:color w:val="auto"/>
              </w:rPr>
            </w:pPr>
          </w:p>
        </w:tc>
        <w:tc>
          <w:tcPr>
            <w:tcW w:w="8100" w:type="dxa"/>
            <w:vAlign w:val="bottom"/>
          </w:tcPr>
          <w:p>
            <w:pPr>
              <w:spacing w:after="0"/>
              <w:rPr>
                <w:sz w:val="24"/>
                <w:szCs w:val="24"/>
                <w:color w:val="auto"/>
              </w:rPr>
            </w:pPr>
          </w:p>
        </w:tc>
        <w:tc>
          <w:tcPr>
            <w:tcW w:w="200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1"/>
        </w:trPr>
        <w:tc>
          <w:tcPr>
            <w:tcW w:w="9240" w:type="dxa"/>
            <w:vAlign w:val="bottom"/>
            <w:gridSpan w:val="2"/>
            <w:vMerge w:val="restart"/>
          </w:tcPr>
          <w:p>
            <w:pPr>
              <w:spacing w:after="0"/>
              <w:rPr>
                <w:sz w:val="20"/>
                <w:szCs w:val="20"/>
                <w:color w:val="auto"/>
              </w:rPr>
            </w:pPr>
            <w:r>
              <w:rPr>
                <w:rFonts w:ascii="Arial" w:cs="Arial" w:eastAsia="Arial" w:hAnsi="Arial"/>
                <w:sz w:val="16"/>
                <w:szCs w:val="16"/>
                <w:color w:val="auto"/>
              </w:rPr>
              <w:t>Expected term (in years)</w:t>
            </w:r>
          </w:p>
        </w:tc>
        <w:tc>
          <w:tcPr>
            <w:tcW w:w="200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9240" w:type="dxa"/>
            <w:vAlign w:val="bottom"/>
            <w:gridSpan w:val="2"/>
            <w:vMerge w:val="continue"/>
          </w:tcPr>
          <w:p>
            <w:pPr>
              <w:spacing w:after="0"/>
              <w:rPr>
                <w:sz w:val="15"/>
                <w:szCs w:val="15"/>
                <w:color w:val="auto"/>
              </w:rPr>
            </w:pPr>
          </w:p>
        </w:tc>
        <w:tc>
          <w:tcPr>
            <w:tcW w:w="2000" w:type="dxa"/>
            <w:vAlign w:val="bottom"/>
            <w:gridSpan w:val="2"/>
          </w:tcPr>
          <w:p>
            <w:pPr>
              <w:jc w:val="center"/>
              <w:ind w:right="59"/>
              <w:spacing w:after="0" w:line="183" w:lineRule="exact"/>
              <w:rPr>
                <w:sz w:val="20"/>
                <w:szCs w:val="20"/>
                <w:color w:val="auto"/>
              </w:rPr>
            </w:pPr>
            <w:r>
              <w:rPr>
                <w:rFonts w:ascii="Arial" w:cs="Arial" w:eastAsia="Arial" w:hAnsi="Arial"/>
                <w:sz w:val="16"/>
                <w:szCs w:val="16"/>
                <w:color w:val="auto"/>
              </w:rPr>
              <w:t>0.75 - 1.75</w:t>
            </w:r>
          </w:p>
        </w:tc>
        <w:tc>
          <w:tcPr>
            <w:tcW w:w="0" w:type="dxa"/>
            <w:vAlign w:val="bottom"/>
          </w:tcPr>
          <w:p>
            <w:pPr>
              <w:spacing w:after="0"/>
              <w:rPr>
                <w:sz w:val="1"/>
                <w:szCs w:val="1"/>
                <w:color w:val="auto"/>
              </w:rPr>
            </w:pPr>
          </w:p>
        </w:tc>
      </w:tr>
      <w:tr>
        <w:trPr>
          <w:trHeight w:val="189"/>
        </w:trPr>
        <w:tc>
          <w:tcPr>
            <w:tcW w:w="9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Volatility</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103.91</w:t>
            </w:r>
          </w:p>
        </w:tc>
        <w:tc>
          <w:tcPr>
            <w:tcW w:w="120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- 106.32%</w:t>
            </w:r>
          </w:p>
        </w:tc>
        <w:tc>
          <w:tcPr>
            <w:tcW w:w="0" w:type="dxa"/>
            <w:vAlign w:val="bottom"/>
          </w:tcPr>
          <w:p>
            <w:pPr>
              <w:spacing w:after="0"/>
              <w:rPr>
                <w:sz w:val="1"/>
                <w:szCs w:val="1"/>
                <w:color w:val="auto"/>
              </w:rPr>
            </w:pPr>
          </w:p>
        </w:tc>
      </w:tr>
      <w:tr>
        <w:trPr>
          <w:trHeight w:val="189"/>
        </w:trPr>
        <w:tc>
          <w:tcPr>
            <w:tcW w:w="924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4.70</w:t>
            </w:r>
          </w:p>
        </w:tc>
        <w:tc>
          <w:tcPr>
            <w:tcW w:w="1200" w:type="dxa"/>
            <w:vAlign w:val="bottom"/>
          </w:tcPr>
          <w:p>
            <w:pPr>
              <w:ind w:left="40"/>
              <w:spacing w:after="0"/>
              <w:rPr>
                <w:sz w:val="20"/>
                <w:szCs w:val="20"/>
                <w:color w:val="auto"/>
              </w:rPr>
            </w:pPr>
            <w:r>
              <w:rPr>
                <w:rFonts w:ascii="Arial" w:cs="Arial" w:eastAsia="Arial" w:hAnsi="Arial"/>
                <w:sz w:val="16"/>
                <w:szCs w:val="16"/>
                <w:color w:val="auto"/>
              </w:rPr>
              <w:t>- 5.21%</w:t>
            </w:r>
          </w:p>
        </w:tc>
        <w:tc>
          <w:tcPr>
            <w:tcW w:w="0" w:type="dxa"/>
            <w:vAlign w:val="bottom"/>
          </w:tcPr>
          <w:p>
            <w:pPr>
              <w:spacing w:after="0"/>
              <w:rPr>
                <w:sz w:val="1"/>
                <w:szCs w:val="1"/>
                <w:color w:val="auto"/>
              </w:rPr>
            </w:pPr>
          </w:p>
        </w:tc>
      </w:tr>
      <w:tr>
        <w:trPr>
          <w:trHeight w:val="189"/>
        </w:trPr>
        <w:tc>
          <w:tcPr>
            <w:tcW w:w="9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800" w:type="dxa"/>
            <w:vAlign w:val="bottom"/>
            <w:shd w:val="clear" w:color="auto" w:fill="CFF0FC"/>
          </w:tcPr>
          <w:p>
            <w:pPr>
              <w:spacing w:after="0"/>
              <w:rPr>
                <w:sz w:val="16"/>
                <w:szCs w:val="16"/>
                <w:color w:val="auto"/>
              </w:rPr>
            </w:pPr>
          </w:p>
        </w:tc>
        <w:tc>
          <w:tcPr>
            <w:tcW w:w="1200" w:type="dxa"/>
            <w:vAlign w:val="bottom"/>
            <w:shd w:val="clear" w:color="auto" w:fill="CFF0FC"/>
          </w:tcPr>
          <w:p>
            <w:pPr>
              <w:jc w:val="center"/>
              <w:ind w:right="8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9240" w:type="dxa"/>
            <w:vAlign w:val="bottom"/>
            <w:gridSpan w:val="2"/>
          </w:tcPr>
          <w:p>
            <w:pPr>
              <w:spacing w:after="0"/>
              <w:rPr>
                <w:sz w:val="20"/>
                <w:szCs w:val="20"/>
                <w:color w:val="auto"/>
              </w:rPr>
            </w:pPr>
            <w:r>
              <w:rPr>
                <w:rFonts w:ascii="Arial" w:cs="Arial" w:eastAsia="Arial" w:hAnsi="Arial"/>
                <w:sz w:val="16"/>
                <w:szCs w:val="16"/>
                <w:color w:val="auto"/>
              </w:rPr>
              <w:t>Total fair value of Tempus Warrants (in thousands)</w:t>
            </w: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following table sets forth a summary of the changes in fair value of the Tempus Warrants, which are classified as Level 3 financial instruments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721"/>
              <w:spacing w:after="0"/>
              <w:rPr>
                <w:sz w:val="20"/>
                <w:szCs w:val="20"/>
                <w:color w:val="auto"/>
              </w:rPr>
            </w:pPr>
            <w:r>
              <w:rPr>
                <w:rFonts w:ascii="Arial" w:cs="Arial" w:eastAsia="Arial" w:hAnsi="Arial"/>
                <w:sz w:val="14"/>
                <w:szCs w:val="14"/>
                <w:b w:val="1"/>
                <w:bCs w:val="1"/>
                <w:color w:val="auto"/>
              </w:rPr>
              <w:t>Warrant</w:t>
            </w:r>
          </w:p>
        </w:tc>
      </w:tr>
      <w:tr>
        <w:trPr>
          <w:trHeight w:val="171"/>
        </w:trPr>
        <w:tc>
          <w:tcPr>
            <w:tcW w:w="7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Liabilities</w:t>
            </w:r>
          </w:p>
        </w:tc>
      </w:tr>
      <w:tr>
        <w:trPr>
          <w:trHeight w:val="18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Beginning balance — December 31, 2023</w:t>
            </w: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10,027</w:t>
            </w:r>
          </w:p>
        </w:tc>
      </w:tr>
      <w:tr>
        <w:trPr>
          <w:trHeight w:val="189"/>
        </w:trPr>
        <w:tc>
          <w:tcPr>
            <w:tcW w:w="7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Change in fair value—recognized as non-cash gain within Other income (expense), net</w:t>
            </w:r>
          </w:p>
        </w:tc>
        <w:tc>
          <w:tcPr>
            <w:tcW w:w="74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3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w:t>
            </w:r>
          </w:p>
        </w:tc>
      </w:tr>
      <w:tr>
        <w:trPr>
          <w:trHeight w:val="223"/>
        </w:trPr>
        <w:tc>
          <w:tcPr>
            <w:tcW w:w="70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Ending balance — March 31, 2024</w:t>
            </w: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5,262</w:t>
            </w:r>
          </w:p>
        </w:tc>
      </w:tr>
      <w:tr>
        <w:trPr>
          <w:trHeight w:val="40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6. Loans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6"/>
        </w:trPr>
        <w:tc>
          <w:tcPr>
            <w:tcW w:w="7000" w:type="dxa"/>
            <w:vAlign w:val="bottom"/>
          </w:tcPr>
          <w:p>
            <w:pPr>
              <w:ind w:left="760"/>
              <w:spacing w:after="0"/>
              <w:rPr>
                <w:sz w:val="20"/>
                <w:szCs w:val="20"/>
                <w:color w:val="auto"/>
              </w:rPr>
            </w:pPr>
            <w:r>
              <w:rPr>
                <w:rFonts w:ascii="Arial" w:cs="Arial" w:eastAsia="Arial" w:hAnsi="Arial"/>
                <w:sz w:val="16"/>
                <w:szCs w:val="16"/>
                <w:color w:val="auto"/>
              </w:rPr>
              <w:t>Amounts outstanding under loans are as follows (in thousands):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6"/>
        </w:trPr>
        <w:tc>
          <w:tcPr>
            <w:tcW w:w="7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Principal</w:t>
            </w:r>
          </w:p>
        </w:tc>
        <w:tc>
          <w:tcPr>
            <w:tcW w:w="9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3,860</w:t>
            </w: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1,772</w:t>
            </w:r>
          </w:p>
        </w:tc>
      </w:tr>
      <w:tr>
        <w:trPr>
          <w:trHeight w:val="189"/>
        </w:trPr>
        <w:tc>
          <w:tcPr>
            <w:tcW w:w="7000" w:type="dxa"/>
            <w:vAlign w:val="bottom"/>
          </w:tcPr>
          <w:p>
            <w:pPr>
              <w:ind w:left="140"/>
              <w:spacing w:after="0"/>
              <w:rPr>
                <w:sz w:val="20"/>
                <w:szCs w:val="20"/>
                <w:color w:val="auto"/>
              </w:rPr>
            </w:pPr>
            <w:r>
              <w:rPr>
                <w:rFonts w:ascii="Arial" w:cs="Arial" w:eastAsia="Arial" w:hAnsi="Arial"/>
                <w:sz w:val="16"/>
                <w:szCs w:val="16"/>
                <w:color w:val="auto"/>
              </w:rPr>
              <w:t>Less: unamortized discount</w:t>
            </w:r>
          </w:p>
        </w:tc>
        <w:tc>
          <w:tcPr>
            <w:tcW w:w="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18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carrying amount</w:t>
            </w: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3,642</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1,772</w:t>
            </w:r>
          </w:p>
        </w:tc>
      </w:tr>
      <w:tr>
        <w:trPr>
          <w:trHeight w:val="189"/>
        </w:trPr>
        <w:tc>
          <w:tcPr>
            <w:tcW w:w="7000" w:type="dxa"/>
            <w:vAlign w:val="bottom"/>
          </w:tcPr>
          <w:p>
            <w:pPr>
              <w:ind w:left="14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(2,834)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w:t>
            </w:r>
          </w:p>
        </w:tc>
      </w:tr>
      <w:tr>
        <w:trPr>
          <w:trHeight w:val="20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Long-term portion (included in other long-term liabilities)</w:t>
            </w: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808</w:t>
            </w: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103</w:t>
            </w: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Software Loans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July 2022, the Company entered into a secured payment agreement with a financing entity to finance the purchase of internal use software licenses and related ongoing support from a vendor. As of December 31, 2024, $0.4 million was outstanding, which was waived entirely in January 2025 as part of a settlement agreement with the vendor related to a service claim on the ongoing support component of the agreement. The $0.4 million settlement was recognized as a gain and presented as an offset to maintenance costs upon the settlement, included as part of selling, general and administrative in the consolidated statements of operations.</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January 2025, the Company entered into another secured payment agreement to finance the purchase of $2.8 million of internal use software licenses and related ongoing support (the "January 2025 Agreement"). The Company agreed to repay the financed amount in three payments of $0.7 million in February of 2025, $1.2 million in February 2026, and $0.9 million in February 2027. The financing entity and vendor are not related. The payment agreement is noninterest bearing and the Company concluded that the stated zero interest rate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8.9% and was used to establish the present value of the payment agreement.</w:t>
      </w:r>
    </w:p>
    <w:p>
      <w:pPr>
        <w:spacing w:after="0" w:line="34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total initial present value of the January 2025 Agreement was $2.6 million. The discount of $0.2 million is being recognized as interest expense in the consolidated statements of operations over the life of the payment agreement. The first repayment of $0.7 million was billed in March 2025 and paid in April 2025. Interest expense for the three months ended March 31, 2025 was immaterial.</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 Equipment Loan</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November 2023, the Company purchased lab equipment from one of its main vendors for $3.4 million. Extended payment terms were provided to the Company through a financial solutions partner of the vendor. Terms included a 30% down payment and 24 equal monthly payments for the remaining balance, with such monthly payments commencing in January 2024 and the last payment due in January 2026,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 Repayments during the three months ended March 31, 2025 and 2024 were $0.3 million and $0.3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9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in Fremont, California used for laboratory operations and its corporate headquarters. The lease term is 13.5 years and commenced in October 2022. The Company gained early access to the premises for the purpose of constructing and installing tenant improvements, for which the landlord contributed $15.1 million. Such contributions were accounted for as lease incentives and are recognized as reductions to lease expense over the lease term. The lease expires at the end of March 2036 and includes two options to extend the term for a period of five-years per option at market rates. The Company determined the extension options are not reasonably certain to be exercised. The lease includes escalating rent payments.</w:t>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a noncancelable operating lease expiring in November 2027 for 31,280 square feet in Menlo Park, California previously used for laboratory operations and its former corporate headquarters. The lease includes escalating rent payments. The Company moved all laboratory operations to the Fremont facility during the third quarter of 2023 and is actively marketing the vacated Menlo Park space for sublease.</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has noncancelable operating leases for data center space expiring between 2025 and 2026. The leases include renewal options that the Company determined are not reasonably certain to be exercised. Separately, the Company also has various other short-term leases.</w:t>
      </w:r>
    </w:p>
    <w:p>
      <w:pPr>
        <w:spacing w:after="0" w:line="12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As of March 31, 2025, operating leases had a weighted-average remaining lease term of 9.8 years and a weighted-average discount rate of 10.6%. Discount rates are based on estimates of the Company's incremental borrowing rate, as the discount rates implicit in the leases cannot be readily determined. Future lease payments under operating leases as of March 31, 2025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183"/>
        </w:trPr>
        <w:tc>
          <w:tcPr>
            <w:tcW w:w="9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2025 (remaining nine months)</w:t>
            </w:r>
          </w:p>
        </w:tc>
        <w:tc>
          <w:tcPr>
            <w:tcW w:w="38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5,982</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6"/>
                <w:szCs w:val="16"/>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7,230</w:t>
            </w: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7,189</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2028</w:t>
            </w:r>
          </w:p>
        </w:tc>
        <w:tc>
          <w:tcPr>
            <w:tcW w:w="380" w:type="dxa"/>
            <w:vAlign w:val="bottom"/>
          </w:tcPr>
          <w:p>
            <w:pPr>
              <w:spacing w:after="0"/>
              <w:rPr>
                <w:sz w:val="16"/>
                <w:szCs w:val="16"/>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5,215</w:t>
            </w: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5,371</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2030 and thereafter</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37,426</w:t>
            </w:r>
          </w:p>
        </w:tc>
      </w:tr>
      <w:tr>
        <w:trPr>
          <w:trHeight w:val="183"/>
        </w:trPr>
        <w:tc>
          <w:tcPr>
            <w:tcW w:w="9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38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68,413</w:t>
            </w: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(26,829)</w:t>
            </w:r>
          </w:p>
        </w:tc>
      </w:tr>
      <w:tr>
        <w:trPr>
          <w:trHeight w:val="183"/>
        </w:trPr>
        <w:tc>
          <w:tcPr>
            <w:tcW w:w="9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Present value of future minimum lease payments</w:t>
            </w:r>
          </w:p>
        </w:tc>
        <w:tc>
          <w:tcPr>
            <w:tcW w:w="38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41,584</w:t>
            </w: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Less: current portion of operating lease liability (included in accrued and other current liabilities)</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(7,472)</w:t>
            </w:r>
          </w:p>
        </w:tc>
      </w:tr>
      <w:tr>
        <w:trPr>
          <w:trHeight w:val="223"/>
        </w:trPr>
        <w:tc>
          <w:tcPr>
            <w:tcW w:w="9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Long-term operating lease liabilities</w:t>
            </w: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34,112</w:t>
            </w:r>
          </w:p>
        </w:tc>
      </w:tr>
    </w:tbl>
    <w:p>
      <w:pPr>
        <w:spacing w:after="0" w:line="16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three months ended March 31, 2025 and 2024, was $2.1 million and $2.0 million, respectively.</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Components of lease costs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r>
      <w:tr>
        <w:trPr>
          <w:trHeight w:val="155"/>
        </w:trPr>
        <w:tc>
          <w:tcPr>
            <w:tcW w:w="4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40" w:type="dxa"/>
            <w:vAlign w:val="bottom"/>
          </w:tcPr>
          <w:p>
            <w:pPr>
              <w:jc w:val="right"/>
              <w:ind w:right="25"/>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13"/>
                <w:szCs w:val="13"/>
                <w:color w:val="auto"/>
              </w:rPr>
            </w:pPr>
          </w:p>
        </w:tc>
        <w:tc>
          <w:tcPr>
            <w:tcW w:w="122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Pr>
          <w:p>
            <w:pPr>
              <w:spacing w:after="0"/>
              <w:rPr>
                <w:sz w:val="13"/>
                <w:szCs w:val="13"/>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Lease cost</w:t>
            </w:r>
          </w:p>
        </w:tc>
        <w:tc>
          <w:tcPr>
            <w:tcW w:w="30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r>
      <w:tr>
        <w:trPr>
          <w:trHeight w:val="189"/>
        </w:trPr>
        <w:tc>
          <w:tcPr>
            <w:tcW w:w="4720" w:type="dxa"/>
            <w:vAlign w:val="bottom"/>
          </w:tcPr>
          <w:p>
            <w:pPr>
              <w:ind w:left="140"/>
              <w:spacing w:after="0"/>
              <w:rPr>
                <w:sz w:val="20"/>
                <w:szCs w:val="20"/>
                <w:color w:val="auto"/>
              </w:rPr>
            </w:pPr>
            <w:r>
              <w:rPr>
                <w:rFonts w:ascii="Arial" w:cs="Arial" w:eastAsia="Arial" w:hAnsi="Arial"/>
                <w:sz w:val="16"/>
                <w:szCs w:val="16"/>
                <w:color w:val="auto"/>
              </w:rPr>
              <w:t>Operating lease cost</w:t>
            </w:r>
          </w:p>
        </w:tc>
        <w:tc>
          <w:tcPr>
            <w:tcW w:w="4060" w:type="dxa"/>
            <w:vAlign w:val="bottom"/>
            <w:gridSpan w:val="2"/>
          </w:tcPr>
          <w:p>
            <w:pPr>
              <w:jc w:val="right"/>
              <w:ind w:right="865"/>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1,479</w:t>
            </w:r>
          </w:p>
        </w:tc>
        <w:tc>
          <w:tcPr>
            <w:tcW w:w="122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1,521</w:t>
            </w:r>
          </w:p>
        </w:tc>
      </w:tr>
      <w:tr>
        <w:trPr>
          <w:trHeight w:val="189"/>
        </w:trPr>
        <w:tc>
          <w:tcPr>
            <w:tcW w:w="4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Short-term lease cost</w:t>
            </w:r>
          </w:p>
        </w:tc>
        <w:tc>
          <w:tcPr>
            <w:tcW w:w="30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r>
      <w:tr>
        <w:trPr>
          <w:trHeight w:val="189"/>
        </w:trPr>
        <w:tc>
          <w:tcPr>
            <w:tcW w:w="4720" w:type="dxa"/>
            <w:vAlign w:val="bottom"/>
          </w:tcPr>
          <w:p>
            <w:pPr>
              <w:ind w:left="140"/>
              <w:spacing w:after="0"/>
              <w:rPr>
                <w:sz w:val="20"/>
                <w:szCs w:val="20"/>
                <w:color w:val="auto"/>
              </w:rPr>
            </w:pPr>
            <w:r>
              <w:rPr>
                <w:rFonts w:ascii="Arial" w:cs="Arial" w:eastAsia="Arial" w:hAnsi="Arial"/>
                <w:sz w:val="16"/>
                <w:szCs w:val="16"/>
                <w:color w:val="auto"/>
              </w:rPr>
              <w:t>Variable lease cost</w:t>
            </w:r>
          </w:p>
        </w:tc>
        <w:tc>
          <w:tcPr>
            <w:tcW w:w="3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c>
          <w:tcPr>
            <w:tcW w:w="1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w:t>
            </w:r>
          </w:p>
        </w:tc>
      </w:tr>
      <w:tr>
        <w:trPr>
          <w:trHeight w:val="203"/>
        </w:trPr>
        <w:tc>
          <w:tcPr>
            <w:tcW w:w="4720" w:type="dxa"/>
            <w:vAlign w:val="bottom"/>
            <w:shd w:val="clear" w:color="auto" w:fill="CFF0FC"/>
          </w:tcPr>
          <w:p>
            <w:pPr>
              <w:ind w:left="280"/>
              <w:spacing w:after="0" w:line="169" w:lineRule="exact"/>
              <w:rPr>
                <w:sz w:val="20"/>
                <w:szCs w:val="20"/>
                <w:color w:val="auto"/>
              </w:rPr>
            </w:pPr>
            <w:r>
              <w:rPr>
                <w:rFonts w:ascii="Arial" w:cs="Arial" w:eastAsia="Arial" w:hAnsi="Arial"/>
                <w:sz w:val="16"/>
                <w:szCs w:val="16"/>
                <w:color w:val="auto"/>
              </w:rPr>
              <w:t>Total lease cost</w:t>
            </w:r>
          </w:p>
        </w:tc>
        <w:tc>
          <w:tcPr>
            <w:tcW w:w="30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65"/>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1,850</w:t>
            </w:r>
          </w:p>
        </w:tc>
        <w:tc>
          <w:tcPr>
            <w:tcW w:w="1220" w:type="dxa"/>
            <w:vAlign w:val="bottom"/>
            <w:gridSpan w:val="2"/>
            <w:shd w:val="clear" w:color="auto" w:fill="CFF0FC"/>
          </w:tcPr>
          <w:p>
            <w:pPr>
              <w:jc w:val="right"/>
              <w:ind w:right="960"/>
              <w:spacing w:after="0" w:line="169"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2,068</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Related Party Transactions</w:t>
      </w:r>
    </w:p>
    <w:p>
      <w:pPr>
        <w:spacing w:after="0" w:line="194"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6"/>
          <w:szCs w:val="16"/>
          <w:color w:val="auto"/>
        </w:rPr>
        <w:t>The Company determined that Tempus and Merck Sharp &amp; Dohme LLC ("Merck") are related parties because they own more than 10% of the Company's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Tempus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Tempus acquired its ownership stake in August 2024 by exercising the Tempus Warrants and purchasing additional shares under the Investment Agreement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 of Tempus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November 2023, the Company entered into a Commercialization and Reference Laboratory Agreement (the “Tempus Agreement”) with Tempus pursuant to which Tempus markets the Company's NeXT Personal Dx test in the United States. The Company performs tests ordered by patients through Tempus and the Company bills the patients or payors. The Company compensates Tempus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orders obtained and results delivered on a per-test basis. The term of the Tempus Agreement is five years, which may be extended for successive one-year terms. Either party may terminate the Tempus Agreement for convenience upon 30 months' prior written notice.</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Under the Tempus Agreement, the Company conducted development activities to analytically validate NeXT Personal Dx in three indications: breast cancer, lung cancer and immuno-oncology monitoring. In consideration of the Company performing such development activities, in addition to the activation and first milestone fees, Tempus agreed to pay the Company a second milestone fee of $6.0 million (the "Market Development Fee"), payable in six equal quarterly installments.</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Separately, the parties are performing co-promotion activities and the Company is compensating Tempus for promotional and commercialization services through the end of 2026.</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Tempus Agreement also granted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 to 20 percent. Such revenue share shall be payable during the term of the agreement and for 10 years thereafter.</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Additionally, as partial consideration of Tempus' obligations to the Company under the Tempus Agreement, the Company issued warrants to Tempus. See "Tempus Warrants" section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consideration of Tempus’ obligations to Personalis under the Tempus Agreement, on November 28, 2023, the Company issued to Tempus two warrants to purchase up to 9,218,800 shares of Personalis common stock at an average exercise price of $2.00 per share (the “Tempus Warrants”). In August 2024, concurrently with the execution of the Tempus Investment Agreement (described below), Tempus exercised in full the Tempus Warrants for $18.4 million in cash.</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Tempus Warrants included a provision under which the total number of shares issuable upon settlement were subject to adjustment, which caused the Tempus Warrants to be classified as liability instruments while outstanding and subject to remeasurement at each balance sheet date, with changes in fair value recognized as other income (expense), net in the consolidated statements of operations. Fair values of the warrants were estimated using the Black-Scholes option-pricing model. See Note 5, Fair Value Measurements for discussion of inputs used in the measurements of the Tempus Warrants and the resulting noncash losses recognized in the consolidated statements of operations. During the three months ended March 31, 2024, the Company recognized a gain of $4.8 million for the change in fair value of the Tempus Warrants.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Tempus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 August 2024, the Company entered into an investment agreement (the "Tempus Investment Agreement") with Tempus under which the Company issued and sold 3,500,000 shares of common stock at a price per share of $5.07 and received $17.7 million of cash from the sale of the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Tempus Agreement on the Financial Statements</w:t>
      </w:r>
    </w:p>
    <w:p>
      <w:pPr>
        <w:spacing w:after="0" w:line="179" w:lineRule="exact"/>
        <w:rPr>
          <w:sz w:val="20"/>
          <w:szCs w:val="20"/>
          <w:color w:val="auto"/>
        </w:rPr>
      </w:pPr>
    </w:p>
    <w:p>
      <w:pPr>
        <w:ind w:right="260" w:firstLine="749"/>
        <w:spacing w:after="0" w:line="286" w:lineRule="auto"/>
        <w:rPr>
          <w:sz w:val="20"/>
          <w:szCs w:val="20"/>
          <w:color w:val="auto"/>
        </w:rPr>
      </w:pPr>
      <w:r>
        <w:rPr>
          <w:rFonts w:ascii="Arial" w:cs="Arial" w:eastAsia="Arial" w:hAnsi="Arial"/>
          <w:sz w:val="16"/>
          <w:szCs w:val="16"/>
          <w:color w:val="auto"/>
        </w:rPr>
        <w:t>The Market Development Fee for the second milestone is recorded as a liability when received and offset against promotional fees as they are paid by the Company to Tempus. As of March 31, 2025, $4.0 million of such $6.0 million Market Development Fee has been received.</w:t>
      </w:r>
    </w:p>
    <w:p>
      <w:pPr>
        <w:spacing w:after="0" w:line="115" w:lineRule="exact"/>
        <w:rPr>
          <w:sz w:val="20"/>
          <w:szCs w:val="20"/>
          <w:color w:val="auto"/>
        </w:rPr>
      </w:pPr>
    </w:p>
    <w:p>
      <w:pPr>
        <w:ind w:right="340" w:firstLine="749"/>
        <w:spacing w:after="0" w:line="286" w:lineRule="auto"/>
        <w:rPr>
          <w:sz w:val="20"/>
          <w:szCs w:val="20"/>
          <w:color w:val="auto"/>
        </w:rPr>
      </w:pPr>
      <w:r>
        <w:rPr>
          <w:rFonts w:ascii="Arial" w:cs="Arial" w:eastAsia="Arial" w:hAnsi="Arial"/>
          <w:sz w:val="16"/>
          <w:szCs w:val="16"/>
          <w:color w:val="auto"/>
        </w:rPr>
        <w:t>Amounts of transactions with Tempus during each income statement period presented, along with amounts due from or to Tempus as of each balance sheet date, are as follows (in thousands):</w:t>
      </w:r>
    </w:p>
    <w:p>
      <w:pPr>
        <w:spacing w:after="0" w:line="133"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6350</wp:posOffset>
            </wp:positionV>
            <wp:extent cx="15862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tabs>
          <w:tab w:leader="none" w:pos="8720" w:val="left"/>
          <w:tab w:leader="none" w:pos="10820" w:val="left"/>
        </w:tabs>
        <w:rPr>
          <w:sz w:val="20"/>
          <w:szCs w:val="20"/>
          <w:color w:val="auto"/>
        </w:rPr>
      </w:pPr>
      <w:r>
        <w:rPr>
          <w:rFonts w:ascii="Arial" w:cs="Arial" w:eastAsia="Arial" w:hAnsi="Arial"/>
          <w:sz w:val="16"/>
          <w:szCs w:val="16"/>
          <w:color w:val="auto"/>
        </w:rPr>
        <w:t>Orders and results delivery fees and net promotional fees—Selling, general and administrative expenses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575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70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85"/>
        </w:trPr>
        <w:tc>
          <w:tcPr>
            <w:tcW w:w="1140" w:type="dxa"/>
            <w:vAlign w:val="bottom"/>
            <w:tcBorders>
              <w:top w:val="single" w:sz="8" w:color="0000FF"/>
            </w:tcBorders>
          </w:tcPr>
          <w:p>
            <w:pPr>
              <w:spacing w:after="0"/>
              <w:rPr>
                <w:sz w:val="24"/>
                <w:szCs w:val="24"/>
                <w:color w:val="auto"/>
              </w:rPr>
            </w:pPr>
          </w:p>
        </w:tc>
        <w:tc>
          <w:tcPr>
            <w:tcW w:w="59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Balance Sheet</w:t>
            </w:r>
          </w:p>
        </w:tc>
        <w:tc>
          <w:tcPr>
            <w:tcW w:w="1100" w:type="dxa"/>
            <w:vAlign w:val="bottom"/>
            <w:tcBorders>
              <w:bottom w:val="single" w:sz="8" w:color="auto"/>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2025</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December 31, 2024</w:t>
            </w:r>
          </w:p>
        </w:tc>
      </w:tr>
      <w:tr>
        <w:trPr>
          <w:trHeight w:val="209"/>
        </w:trPr>
        <w:tc>
          <w:tcPr>
            <w:tcW w:w="7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Accrued and other current liabilities:</w:t>
            </w: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89"/>
        </w:trPr>
        <w:tc>
          <w:tcPr>
            <w:tcW w:w="7060" w:type="dxa"/>
            <w:vAlign w:val="bottom"/>
            <w:gridSpan w:val="2"/>
          </w:tcPr>
          <w:p>
            <w:pPr>
              <w:ind w:left="140"/>
              <w:spacing w:after="0"/>
              <w:rPr>
                <w:sz w:val="20"/>
                <w:szCs w:val="20"/>
                <w:color w:val="auto"/>
              </w:rPr>
            </w:pPr>
            <w:r>
              <w:rPr>
                <w:rFonts w:ascii="Arial" w:cs="Arial" w:eastAsia="Arial" w:hAnsi="Arial"/>
                <w:sz w:val="16"/>
                <w:szCs w:val="16"/>
                <w:color w:val="auto"/>
              </w:rPr>
              <w:t>Unamortized Market Development Fees</w:t>
            </w:r>
          </w:p>
        </w:tc>
        <w:tc>
          <w:tcPr>
            <w:tcW w:w="1460" w:type="dxa"/>
            <w:vAlign w:val="bottom"/>
          </w:tcPr>
          <w:p>
            <w:pPr>
              <w:jc w:val="right"/>
              <w:ind w:right="130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w w:val="99"/>
              </w:rPr>
              <w:t>2,100</w:t>
            </w:r>
          </w:p>
        </w:tc>
        <w:tc>
          <w:tcPr>
            <w:tcW w:w="108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1,400</w:t>
            </w:r>
          </w:p>
        </w:tc>
      </w:tr>
      <w:tr>
        <w:trPr>
          <w:trHeight w:val="189"/>
        </w:trPr>
        <w:tc>
          <w:tcPr>
            <w:tcW w:w="70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6"/>
                <w:szCs w:val="16"/>
                <w:color w:val="auto"/>
              </w:rPr>
              <w:t>Accrued payable to Tempus</w:t>
            </w:r>
          </w:p>
        </w:tc>
        <w:tc>
          <w:tcPr>
            <w:tcW w:w="14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706</w:t>
            </w:r>
          </w:p>
        </w:tc>
        <w:tc>
          <w:tcPr>
            <w:tcW w:w="1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345</w:t>
            </w:r>
          </w:p>
        </w:tc>
      </w:tr>
      <w:tr>
        <w:trPr>
          <w:trHeight w:val="183"/>
        </w:trPr>
        <w:tc>
          <w:tcPr>
            <w:tcW w:w="7060" w:type="dxa"/>
            <w:vAlign w:val="bottom"/>
            <w:gridSpan w:val="2"/>
          </w:tcPr>
          <w:p>
            <w:pPr>
              <w:ind w:left="260"/>
              <w:spacing w:after="0" w:line="169" w:lineRule="exact"/>
              <w:rPr>
                <w:sz w:val="20"/>
                <w:szCs w:val="20"/>
                <w:color w:val="auto"/>
              </w:rPr>
            </w:pPr>
            <w:r>
              <w:rPr>
                <w:rFonts w:ascii="Arial" w:cs="Arial" w:eastAsia="Arial" w:hAnsi="Arial"/>
                <w:sz w:val="16"/>
                <w:szCs w:val="16"/>
                <w:color w:val="auto"/>
              </w:rPr>
              <w:t>Total accrued and other current liabilities</w:t>
            </w:r>
          </w:p>
        </w:tc>
        <w:tc>
          <w:tcPr>
            <w:tcW w:w="1460" w:type="dxa"/>
            <w:vAlign w:val="bottom"/>
          </w:tcPr>
          <w:p>
            <w:pPr>
              <w:jc w:val="right"/>
              <w:ind w:right="1305"/>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ind w:right="41"/>
              <w:spacing w:after="0" w:line="169" w:lineRule="exact"/>
              <w:rPr>
                <w:sz w:val="20"/>
                <w:szCs w:val="20"/>
                <w:color w:val="auto"/>
              </w:rPr>
            </w:pPr>
            <w:r>
              <w:rPr>
                <w:rFonts w:ascii="Arial" w:cs="Arial" w:eastAsia="Arial" w:hAnsi="Arial"/>
                <w:sz w:val="16"/>
                <w:szCs w:val="16"/>
                <w:color w:val="auto"/>
                <w:w w:val="99"/>
              </w:rPr>
              <w:t>2,806</w:t>
            </w:r>
          </w:p>
        </w:tc>
        <w:tc>
          <w:tcPr>
            <w:tcW w:w="1080" w:type="dxa"/>
            <w:vAlign w:val="bottom"/>
            <w:gridSpan w:val="2"/>
          </w:tcPr>
          <w:p>
            <w:pPr>
              <w:jc w:val="right"/>
              <w:ind w:right="768"/>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1,745</w:t>
            </w: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060" w:type="dxa"/>
            <w:vAlign w:val="bottom"/>
            <w:gridSpan w:val="2"/>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6"/>
                <w:szCs w:val="16"/>
                <w:color w:val="auto"/>
              </w:rPr>
              <w:t>Other long-term liabilities:</w:t>
            </w: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7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Unamortized Market Development Fees</w:t>
            </w:r>
          </w:p>
        </w:tc>
        <w:tc>
          <w:tcPr>
            <w:tcW w:w="1460" w:type="dxa"/>
            <w:vAlign w:val="bottom"/>
            <w:shd w:val="clear" w:color="auto" w:fill="CFF0FC"/>
          </w:tcPr>
          <w:p>
            <w:pPr>
              <w:jc w:val="right"/>
              <w:ind w:right="130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99"/>
              </w:rPr>
              <w:t>1,150</w:t>
            </w:r>
          </w:p>
        </w:tc>
        <w:tc>
          <w:tcPr>
            <w:tcW w:w="108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1,200</w:t>
            </w:r>
          </w:p>
        </w:tc>
      </w:tr>
      <w:tr>
        <w:trPr>
          <w:trHeight w:val="20"/>
        </w:trPr>
        <w:tc>
          <w:tcPr>
            <w:tcW w:w="1140" w:type="dxa"/>
            <w:vAlign w:val="bottom"/>
            <w:shd w:val="clear" w:color="auto" w:fill="CFF0FC"/>
          </w:tcPr>
          <w:p>
            <w:pPr>
              <w:spacing w:after="0" w:line="20" w:lineRule="exact"/>
              <w:rPr>
                <w:sz w:val="1"/>
                <w:szCs w:val="1"/>
                <w:color w:val="auto"/>
              </w:rPr>
            </w:pPr>
          </w:p>
        </w:tc>
        <w:tc>
          <w:tcPr>
            <w:tcW w:w="59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83"/>
        </w:trPr>
        <w:tc>
          <w:tcPr>
            <w:tcW w:w="7060" w:type="dxa"/>
            <w:vAlign w:val="bottom"/>
            <w:gridSpan w:val="2"/>
          </w:tcPr>
          <w:p>
            <w:pPr>
              <w:ind w:left="260"/>
              <w:spacing w:after="0" w:line="169" w:lineRule="exact"/>
              <w:rPr>
                <w:sz w:val="20"/>
                <w:szCs w:val="20"/>
                <w:color w:val="auto"/>
              </w:rPr>
            </w:pPr>
            <w:r>
              <w:rPr>
                <w:rFonts w:ascii="Arial" w:cs="Arial" w:eastAsia="Arial" w:hAnsi="Arial"/>
                <w:sz w:val="16"/>
                <w:szCs w:val="16"/>
                <w:color w:val="auto"/>
              </w:rPr>
              <w:t>Total other long-term liabilities</w:t>
            </w:r>
          </w:p>
        </w:tc>
        <w:tc>
          <w:tcPr>
            <w:tcW w:w="1460" w:type="dxa"/>
            <w:vAlign w:val="bottom"/>
          </w:tcPr>
          <w:p>
            <w:pPr>
              <w:jc w:val="right"/>
              <w:ind w:right="1305"/>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ind w:right="41"/>
              <w:spacing w:after="0" w:line="169" w:lineRule="exact"/>
              <w:rPr>
                <w:sz w:val="20"/>
                <w:szCs w:val="20"/>
                <w:color w:val="auto"/>
              </w:rPr>
            </w:pPr>
            <w:r>
              <w:rPr>
                <w:rFonts w:ascii="Arial" w:cs="Arial" w:eastAsia="Arial" w:hAnsi="Arial"/>
                <w:sz w:val="16"/>
                <w:szCs w:val="16"/>
                <w:color w:val="auto"/>
                <w:w w:val="99"/>
              </w:rPr>
              <w:t>1,150</w:t>
            </w:r>
          </w:p>
        </w:tc>
        <w:tc>
          <w:tcPr>
            <w:tcW w:w="1080" w:type="dxa"/>
            <w:vAlign w:val="bottom"/>
            <w:gridSpan w:val="2"/>
          </w:tcPr>
          <w:p>
            <w:pPr>
              <w:jc w:val="right"/>
              <w:ind w:right="768"/>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1,200</w:t>
            </w: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-702310</wp:posOffset>
            </wp:positionV>
            <wp:extent cx="102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Merck Sharp &amp; Dohme LLC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Merck</w:t>
      </w:r>
    </w:p>
    <w:p>
      <w:pPr>
        <w:spacing w:after="0" w:line="179" w:lineRule="exact"/>
        <w:rPr>
          <w:sz w:val="20"/>
          <w:szCs w:val="20"/>
          <w:color w:val="auto"/>
        </w:rPr>
      </w:pPr>
    </w:p>
    <w:p>
      <w:pPr>
        <w:jc w:val="both"/>
        <w:ind w:right="320" w:firstLine="749"/>
        <w:spacing w:after="0" w:line="253" w:lineRule="auto"/>
        <w:rPr>
          <w:sz w:val="20"/>
          <w:szCs w:val="20"/>
          <w:color w:val="auto"/>
        </w:rPr>
      </w:pPr>
      <w:r>
        <w:rPr>
          <w:rFonts w:ascii="Arial" w:cs="Arial" w:eastAsia="Arial" w:hAnsi="Arial"/>
          <w:sz w:val="16"/>
          <w:szCs w:val="16"/>
          <w:color w:val="auto"/>
        </w:rPr>
        <w:t>On December 19, 2024, the Company entered into an investment agreement (the "Merck Investment Agreement") with Merck under which the Company issued and sold 14,044,943 shares of common stock at a price per share of $3.56, representing the last reported closing price of the common stock. The Company received $50.0 million of cash from the sale of the shares and incurred $0.3 million of issuance costs directly related to the sale.</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Pursuant to the terms of the Merck Investment Agreement, the Company agreed to reserve $10.0 million of the proceeds to open an ISO-certified laboratory in a region outside of the United States, with such region mutually agreed upon by the Company and Merck. This cash was not legally restricted under the Merck Investment Agreement and therefore included in cash and cash equivalents as of December 31, 2024.</w:t>
      </w:r>
    </w:p>
    <w:p>
      <w:pPr>
        <w:spacing w:after="0" w:line="138" w:lineRule="exact"/>
        <w:rPr>
          <w:sz w:val="20"/>
          <w:szCs w:val="20"/>
          <w:color w:val="auto"/>
        </w:rPr>
      </w:pPr>
    </w:p>
    <w:p>
      <w:pPr>
        <w:ind w:right="40" w:firstLine="749"/>
        <w:spacing w:after="0" w:line="259" w:lineRule="auto"/>
        <w:rPr>
          <w:sz w:val="20"/>
          <w:szCs w:val="20"/>
          <w:color w:val="auto"/>
        </w:rPr>
      </w:pPr>
      <w:r>
        <w:rPr>
          <w:rFonts w:ascii="Arial" w:cs="Arial" w:eastAsia="Arial" w:hAnsi="Arial"/>
          <w:sz w:val="16"/>
          <w:szCs w:val="16"/>
          <w:color w:val="auto"/>
        </w:rPr>
        <w:t>Before Merck became a related party in December 2024, the Company entered into a Master Service Agreement (the “Master Agreement”), in June 2017, as amended from time to time, with Merck for the performance of DNA and RNA sequencing analysis and data interpretation services, as well as synthesis and/or analysis of chemical compounds, genetic material and related samples for preclinical research purposes. In February 2024, the Company entered into an amendment whereby Merck engaged the Company to provide clinical laboratory services in connection with Merck's clinical studies.</w:t>
      </w:r>
    </w:p>
    <w:p>
      <w:pPr>
        <w:spacing w:after="0" w:line="151" w:lineRule="exact"/>
        <w:rPr>
          <w:sz w:val="20"/>
          <w:szCs w:val="20"/>
          <w:color w:val="auto"/>
        </w:rPr>
      </w:pPr>
    </w:p>
    <w:p>
      <w:pPr>
        <w:ind w:right="120" w:firstLine="749"/>
        <w:spacing w:after="0" w:line="266" w:lineRule="auto"/>
        <w:rPr>
          <w:sz w:val="20"/>
          <w:szCs w:val="20"/>
          <w:color w:val="auto"/>
        </w:rPr>
      </w:pPr>
      <w:r>
        <w:rPr>
          <w:rFonts w:ascii="Arial" w:cs="Arial" w:eastAsia="Arial" w:hAnsi="Arial"/>
          <w:sz w:val="16"/>
          <w:szCs w:val="16"/>
          <w:color w:val="auto"/>
        </w:rPr>
        <w:t>During the three months ended March 31, 2025, the Company invoiced $0.5 million pursuant to the terms of the Master Agreement and recorded as revenue in its consolidated statement of operations. As of March 31, 2025 and December 31, 2024, $ 0.5 million and $2.5 million, respectively, was outstanding as a receivable from Merck and included in accounts receivable in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March 31, 2025</w:t>
            </w:r>
          </w:p>
        </w:tc>
      </w:tr>
      <w:tr>
        <w:trPr>
          <w:trHeight w:val="183"/>
        </w:trPr>
        <w:tc>
          <w:tcPr>
            <w:tcW w:w="9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stock awards</w:t>
            </w:r>
          </w:p>
        </w:tc>
        <w:tc>
          <w:tcPr>
            <w:tcW w:w="2140" w:type="dxa"/>
            <w:vAlign w:val="bottom"/>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rPr>
              <w:t>13,220,288</w:t>
            </w:r>
          </w:p>
        </w:tc>
      </w:tr>
      <w:tr>
        <w:trPr>
          <w:trHeight w:val="189"/>
        </w:trPr>
        <w:tc>
          <w:tcPr>
            <w:tcW w:w="9100" w:type="dxa"/>
            <w:vAlign w:val="bottom"/>
          </w:tcPr>
          <w:p>
            <w:pPr>
              <w:spacing w:after="0"/>
              <w:rPr>
                <w:sz w:val="20"/>
                <w:szCs w:val="20"/>
                <w:color w:val="auto"/>
              </w:rPr>
            </w:pPr>
            <w:r>
              <w:rPr>
                <w:rFonts w:ascii="Arial" w:cs="Arial" w:eastAsia="Arial" w:hAnsi="Arial"/>
                <w:sz w:val="16"/>
                <w:szCs w:val="16"/>
                <w:color w:val="auto"/>
              </w:rPr>
              <w:t>Reserved for future award grants</w:t>
            </w:r>
          </w:p>
        </w:tc>
        <w:tc>
          <w:tcPr>
            <w:tcW w:w="2140" w:type="dxa"/>
            <w:vAlign w:val="bottom"/>
          </w:tcPr>
          <w:p>
            <w:pPr>
              <w:jc w:val="right"/>
              <w:ind w:right="21"/>
              <w:spacing w:after="0"/>
              <w:rPr>
                <w:sz w:val="20"/>
                <w:szCs w:val="20"/>
                <w:color w:val="auto"/>
              </w:rPr>
            </w:pPr>
            <w:r>
              <w:rPr>
                <w:rFonts w:ascii="Arial" w:cs="Arial" w:eastAsia="Arial" w:hAnsi="Arial"/>
                <w:sz w:val="16"/>
                <w:szCs w:val="16"/>
                <w:color w:val="auto"/>
              </w:rPr>
              <w:t>5,094,744</w:t>
            </w:r>
          </w:p>
        </w:tc>
      </w:tr>
      <w:tr>
        <w:trPr>
          <w:trHeight w:val="189"/>
        </w:trPr>
        <w:tc>
          <w:tcPr>
            <w:tcW w:w="9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Reserved for future ESPP</w:t>
            </w:r>
          </w:p>
        </w:tc>
        <w:tc>
          <w:tcPr>
            <w:tcW w:w="21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500,061</w:t>
            </w:r>
          </w:p>
        </w:tc>
      </w:tr>
      <w:tr>
        <w:trPr>
          <w:trHeight w:val="183"/>
        </w:trPr>
        <w:tc>
          <w:tcPr>
            <w:tcW w:w="9100" w:type="dxa"/>
            <w:vAlign w:val="bottom"/>
          </w:tcPr>
          <w:p>
            <w:pPr>
              <w:ind w:left="180"/>
              <w:spacing w:after="0" w:line="169" w:lineRule="exact"/>
              <w:rPr>
                <w:sz w:val="20"/>
                <w:szCs w:val="20"/>
                <w:color w:val="auto"/>
              </w:rPr>
            </w:pPr>
            <w:r>
              <w:rPr>
                <w:rFonts w:ascii="Arial" w:cs="Arial" w:eastAsia="Arial" w:hAnsi="Arial"/>
                <w:sz w:val="16"/>
                <w:szCs w:val="16"/>
                <w:color w:val="auto"/>
              </w:rPr>
              <w:t>Total common stock reserved for stock awards</w:t>
            </w:r>
          </w:p>
        </w:tc>
        <w:tc>
          <w:tcPr>
            <w:tcW w:w="214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rPr>
              <w:t>18,815,093</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Service-Based Stock Option Activity</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 summary of the Company’s service-based stock option activity (excluding performance-based stock option activity, which is presented separately below) for the three months ended March 31, 2025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Outstanding Service-Based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8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300" w:type="dxa"/>
            <w:vAlign w:val="bottom"/>
          </w:tcPr>
          <w:p>
            <w:pPr>
              <w:jc w:val="right"/>
              <w:ind w:right="26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7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Value</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3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8,607,718</w:t>
            </w:r>
          </w:p>
        </w:tc>
        <w:tc>
          <w:tcPr>
            <w:tcW w:w="28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5.07</w:t>
            </w:r>
          </w:p>
        </w:tc>
        <w:tc>
          <w:tcPr>
            <w:tcW w:w="1400" w:type="dxa"/>
            <w:vAlign w:val="bottom"/>
            <w:gridSpan w:val="2"/>
            <w:shd w:val="clear" w:color="auto" w:fill="CFF0FC"/>
          </w:tcPr>
          <w:p>
            <w:pPr>
              <w:jc w:val="right"/>
              <w:ind w:right="48"/>
              <w:spacing w:after="0" w:line="183" w:lineRule="exact"/>
              <w:rPr>
                <w:sz w:val="20"/>
                <w:szCs w:val="20"/>
                <w:color w:val="auto"/>
              </w:rPr>
            </w:pPr>
            <w:r>
              <w:rPr>
                <w:rFonts w:ascii="Arial" w:cs="Arial" w:eastAsia="Arial" w:hAnsi="Arial"/>
                <w:sz w:val="16"/>
                <w:szCs w:val="16"/>
                <w:color w:val="auto"/>
              </w:rPr>
              <w:t>7.64</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21,949</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Options granted</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3,467,500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exercised</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(62,022)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Options forfeited or 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3"/>
        </w:trPr>
        <w:tc>
          <w:tcPr>
            <w:tcW w:w="57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Balance—March 31, 2025</w:t>
            </w:r>
          </w:p>
        </w:tc>
        <w:tc>
          <w:tcPr>
            <w:tcW w:w="1300" w:type="dxa"/>
            <w:vAlign w:val="bottom"/>
            <w:tcBorders>
              <w:bottom w:val="single" w:sz="8" w:color="auto"/>
            </w:tcBorders>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11,964,416</w:t>
            </w:r>
          </w:p>
        </w:tc>
        <w:tc>
          <w:tcPr>
            <w:tcW w:w="280" w:type="dxa"/>
            <w:vAlign w:val="bottom"/>
            <w:tcBorders>
              <w:bottom w:val="single" w:sz="8" w:color="CFF0FC"/>
            </w:tcBorders>
            <w:gridSpan w:val="2"/>
            <w:shd w:val="clear" w:color="auto" w:fill="CFF0FC"/>
          </w:tcPr>
          <w:p>
            <w:pPr>
              <w:ind w:left="140"/>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4.66</w:t>
            </w:r>
          </w:p>
        </w:tc>
        <w:tc>
          <w:tcPr>
            <w:tcW w:w="1400" w:type="dxa"/>
            <w:vAlign w:val="bottom"/>
            <w:tcBorders>
              <w:bottom w:val="single" w:sz="8" w:color="CFF0FC"/>
            </w:tcBorders>
            <w:gridSpan w:val="2"/>
            <w:shd w:val="clear" w:color="auto" w:fill="CFF0FC"/>
          </w:tcPr>
          <w:p>
            <w:pPr>
              <w:jc w:val="right"/>
              <w:ind w:right="48"/>
              <w:spacing w:after="0" w:line="169" w:lineRule="exact"/>
              <w:rPr>
                <w:sz w:val="20"/>
                <w:szCs w:val="20"/>
                <w:color w:val="auto"/>
              </w:rPr>
            </w:pPr>
            <w:r>
              <w:rPr>
                <w:rFonts w:ascii="Arial" w:cs="Arial" w:eastAsia="Arial" w:hAnsi="Arial"/>
                <w:sz w:val="16"/>
                <w:szCs w:val="16"/>
                <w:color w:val="auto"/>
              </w:rPr>
              <w:t>8.17</w:t>
            </w:r>
          </w:p>
        </w:tc>
        <w:tc>
          <w:tcPr>
            <w:tcW w:w="30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7,914</w:t>
            </w:r>
          </w:p>
        </w:tc>
      </w:tr>
      <w:tr>
        <w:trPr>
          <w:trHeight w:val="169"/>
        </w:trPr>
        <w:tc>
          <w:tcPr>
            <w:tcW w:w="5780" w:type="dxa"/>
            <w:vAlign w:val="bottom"/>
          </w:tcPr>
          <w:p>
            <w:pPr>
              <w:spacing w:after="0" w:line="169" w:lineRule="exact"/>
              <w:rPr>
                <w:sz w:val="20"/>
                <w:szCs w:val="20"/>
                <w:color w:val="auto"/>
              </w:rPr>
            </w:pPr>
            <w:r>
              <w:rPr>
                <w:rFonts w:ascii="Arial" w:cs="Arial" w:eastAsia="Arial" w:hAnsi="Arial"/>
                <w:sz w:val="16"/>
                <w:szCs w:val="16"/>
                <w:color w:val="auto"/>
              </w:rPr>
              <w:t>Options vested and exercisable as of March 31, 2025</w:t>
            </w:r>
          </w:p>
        </w:tc>
        <w:tc>
          <w:tcPr>
            <w:tcW w:w="130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4,945,104</w:t>
            </w:r>
          </w:p>
        </w:tc>
        <w:tc>
          <w:tcPr>
            <w:tcW w:w="280" w:type="dxa"/>
            <w:vAlign w:val="bottom"/>
            <w:gridSpan w:val="2"/>
          </w:tcPr>
          <w:p>
            <w:pPr>
              <w:ind w:left="14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line="169" w:lineRule="exact"/>
              <w:rPr>
                <w:sz w:val="20"/>
                <w:szCs w:val="20"/>
                <w:color w:val="auto"/>
              </w:rPr>
            </w:pPr>
            <w:r>
              <w:rPr>
                <w:rFonts w:ascii="Arial" w:cs="Arial" w:eastAsia="Arial" w:hAnsi="Arial"/>
                <w:sz w:val="16"/>
                <w:szCs w:val="16"/>
                <w:color w:val="auto"/>
              </w:rPr>
              <w:t>6.88</w:t>
            </w:r>
          </w:p>
        </w:tc>
        <w:tc>
          <w:tcPr>
            <w:tcW w:w="1400" w:type="dxa"/>
            <w:vAlign w:val="bottom"/>
            <w:gridSpan w:val="2"/>
          </w:tcPr>
          <w:p>
            <w:pPr>
              <w:jc w:val="right"/>
              <w:ind w:right="48"/>
              <w:spacing w:after="0" w:line="169" w:lineRule="exact"/>
              <w:rPr>
                <w:sz w:val="20"/>
                <w:szCs w:val="20"/>
                <w:color w:val="auto"/>
              </w:rPr>
            </w:pPr>
            <w:r>
              <w:rPr>
                <w:rFonts w:ascii="Arial" w:cs="Arial" w:eastAsia="Arial" w:hAnsi="Arial"/>
                <w:sz w:val="16"/>
                <w:szCs w:val="16"/>
                <w:color w:val="auto"/>
              </w:rPr>
              <w:t>6.49</w:t>
            </w:r>
          </w:p>
        </w:tc>
        <w:tc>
          <w:tcPr>
            <w:tcW w:w="30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line="169" w:lineRule="exact"/>
              <w:rPr>
                <w:sz w:val="20"/>
                <w:szCs w:val="20"/>
                <w:color w:val="auto"/>
              </w:rPr>
            </w:pPr>
            <w:r>
              <w:rPr>
                <w:rFonts w:ascii="Arial" w:cs="Arial" w:eastAsia="Arial" w:hAnsi="Arial"/>
                <w:sz w:val="16"/>
                <w:szCs w:val="16"/>
                <w:color w:val="auto"/>
              </w:rPr>
              <w:t>3,119</w:t>
            </w:r>
          </w:p>
        </w:tc>
      </w:tr>
      <w:tr>
        <w:trPr>
          <w:trHeight w:val="20"/>
        </w:trPr>
        <w:tc>
          <w:tcPr>
            <w:tcW w:w="5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-170815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-153670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weighted-average grant date fair value of options granted was $2.65 and $1.61 per share for the three months ended March 31, 2025 and 2024, respectively. As of March 31, 2025, the unrecognized stock-based compensation cost of unvested options was $14.3 million, which is expected to be recognized over a weighted-average period of 2.3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Service-Based Stock Options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estimated the fair value of service-based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320" w:type="dxa"/>
            <w:vAlign w:val="bottom"/>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3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Expected term (in years)</w:t>
            </w:r>
          </w:p>
        </w:tc>
        <w:tc>
          <w:tcPr>
            <w:tcW w:w="188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5.77 - 6.08</w:t>
            </w:r>
          </w:p>
        </w:tc>
        <w:tc>
          <w:tcPr>
            <w:tcW w:w="2040" w:type="dxa"/>
            <w:vAlign w:val="bottom"/>
            <w:gridSpan w:val="3"/>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rPr>
              <w:t>5.50 - 6.08</w:t>
            </w:r>
          </w:p>
        </w:tc>
      </w:tr>
      <w:tr>
        <w:trPr>
          <w:trHeight w:val="189"/>
        </w:trPr>
        <w:tc>
          <w:tcPr>
            <w:tcW w:w="7320" w:type="dxa"/>
            <w:vAlign w:val="bottom"/>
          </w:tcPr>
          <w:p>
            <w:pPr>
              <w:spacing w:after="0"/>
              <w:rPr>
                <w:sz w:val="20"/>
                <w:szCs w:val="20"/>
                <w:color w:val="auto"/>
              </w:rPr>
            </w:pPr>
            <w:r>
              <w:rPr>
                <w:rFonts w:ascii="Arial" w:cs="Arial" w:eastAsia="Arial" w:hAnsi="Arial"/>
                <w:sz w:val="16"/>
                <w:szCs w:val="16"/>
                <w:color w:val="auto"/>
              </w:rPr>
              <w:t>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83.72</w:t>
            </w:r>
          </w:p>
        </w:tc>
        <w:tc>
          <w:tcPr>
            <w:tcW w:w="1080" w:type="dxa"/>
            <w:vAlign w:val="bottom"/>
          </w:tcPr>
          <w:p>
            <w:pPr>
              <w:ind w:left="40"/>
              <w:spacing w:after="0"/>
              <w:rPr>
                <w:sz w:val="20"/>
                <w:szCs w:val="20"/>
                <w:color w:val="auto"/>
              </w:rPr>
            </w:pPr>
            <w:r>
              <w:rPr>
                <w:rFonts w:ascii="Arial" w:cs="Arial" w:eastAsia="Arial" w:hAnsi="Arial"/>
                <w:sz w:val="16"/>
                <w:szCs w:val="16"/>
                <w:color w:val="auto"/>
              </w:rPr>
              <w:t>- 84.08%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72.63</w:t>
            </w:r>
          </w:p>
        </w:tc>
        <w:tc>
          <w:tcPr>
            <w:tcW w:w="1080" w:type="dxa"/>
            <w:vAlign w:val="bottom"/>
          </w:tcPr>
          <w:p>
            <w:pPr>
              <w:ind w:left="40"/>
              <w:spacing w:after="0"/>
              <w:rPr>
                <w:sz w:val="20"/>
                <w:szCs w:val="20"/>
                <w:color w:val="auto"/>
              </w:rPr>
            </w:pPr>
            <w:r>
              <w:rPr>
                <w:rFonts w:ascii="Arial" w:cs="Arial" w:eastAsia="Arial" w:hAnsi="Arial"/>
                <w:sz w:val="16"/>
                <w:szCs w:val="16"/>
                <w:color w:val="auto"/>
              </w:rPr>
              <w:t>- 80.28%</w:t>
            </w:r>
          </w:p>
        </w:tc>
      </w:tr>
      <w:tr>
        <w:trPr>
          <w:trHeight w:val="18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- 4.50%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- 4.33%</w:t>
            </w:r>
          </w:p>
        </w:tc>
      </w:tr>
      <w:tr>
        <w:trPr>
          <w:trHeight w:val="215"/>
        </w:trPr>
        <w:tc>
          <w:tcPr>
            <w:tcW w:w="7320" w:type="dxa"/>
            <w:vAlign w:val="bottom"/>
          </w:tcPr>
          <w:p>
            <w:pPr>
              <w:spacing w:after="0"/>
              <w:rPr>
                <w:sz w:val="20"/>
                <w:szCs w:val="20"/>
                <w:color w:val="auto"/>
              </w:rPr>
            </w:pPr>
            <w:r>
              <w:rPr>
                <w:rFonts w:ascii="Arial" w:cs="Arial" w:eastAsia="Arial" w:hAnsi="Arial"/>
                <w:sz w:val="16"/>
                <w:szCs w:val="16"/>
                <w:color w:val="auto"/>
              </w:rPr>
              <w:t>Dividend yield</w:t>
            </w:r>
          </w:p>
        </w:tc>
        <w:tc>
          <w:tcPr>
            <w:tcW w:w="800" w:type="dxa"/>
            <w:vAlign w:val="bottom"/>
          </w:tcPr>
          <w:p>
            <w:pPr>
              <w:spacing w:after="0"/>
              <w:rPr>
                <w:sz w:val="18"/>
                <w:szCs w:val="18"/>
                <w:color w:val="auto"/>
              </w:rPr>
            </w:pP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w w:val="94"/>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center"/>
              <w:ind w:right="719"/>
              <w:spacing w:after="0"/>
              <w:rPr>
                <w:sz w:val="20"/>
                <w:szCs w:val="20"/>
                <w:color w:val="auto"/>
              </w:rPr>
            </w:pPr>
            <w:r>
              <w:rPr>
                <w:rFonts w:ascii="Arial" w:cs="Arial" w:eastAsia="Arial" w:hAnsi="Arial"/>
                <w:sz w:val="16"/>
                <w:szCs w:val="16"/>
                <w:color w:val="auto"/>
              </w:rPr>
              <w:t>–%</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During 2024, the Company granted performance-based stock options ("PSOs") to the executive leadership team. Vesting of the PSOs is based upon attainment of certain Medicare reimbursement coverages by the end of 2025 and subject to continuous service by the executives. Fair value was estimated using the Black-Scholes option-pricing model. Total grant-date fair value of the PSOs was $0.3 million. As of March 31, 2025, the unrecognized stock-based compensation cost of unvested PSOs was $0.1 million, which is expected to be recognized by the end of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performance-based stock option activity for the three months ended March 31, 2025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3"/>
          </w:tcPr>
          <w:p>
            <w:pPr>
              <w:jc w:val="right"/>
              <w:ind w:right="220"/>
              <w:spacing w:after="0"/>
              <w:rPr>
                <w:sz w:val="20"/>
                <w:szCs w:val="20"/>
                <w:color w:val="auto"/>
              </w:rPr>
            </w:pPr>
            <w:r>
              <w:rPr>
                <w:rFonts w:ascii="Arial" w:cs="Arial" w:eastAsia="Arial" w:hAnsi="Arial"/>
                <w:sz w:val="14"/>
                <w:szCs w:val="14"/>
                <w:b w:val="1"/>
                <w:bCs w:val="1"/>
                <w:color w:val="auto"/>
              </w:rPr>
              <w:t>Outstanding Performance-Based Options</w:t>
            </w:r>
          </w:p>
        </w:tc>
        <w:tc>
          <w:tcPr>
            <w:tcW w:w="1160" w:type="dxa"/>
            <w:vAlign w:val="bottom"/>
            <w:tcBorders>
              <w:bottom w:val="single" w:sz="8" w:color="auto"/>
            </w:tcBorders>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22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Term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23"/>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7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22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r>
      <w:tr>
        <w:trPr>
          <w:trHeight w:val="183"/>
        </w:trPr>
        <w:tc>
          <w:tcPr>
            <w:tcW w:w="57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22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271,500</w:t>
            </w:r>
          </w:p>
        </w:tc>
        <w:tc>
          <w:tcPr>
            <w:tcW w:w="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center"/>
              <w:ind w:right="468"/>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FF0FC"/>
            </w:tcBorders>
            <w:gridSpan w:val="3"/>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1.61</w:t>
            </w:r>
          </w:p>
        </w:tc>
        <w:tc>
          <w:tcPr>
            <w:tcW w:w="1340" w:type="dxa"/>
            <w:vAlign w:val="bottom"/>
            <w:tcBorders>
              <w:bottom w:val="single" w:sz="8" w:color="CFF0FC"/>
            </w:tcBorders>
            <w:gridSpan w:val="3"/>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9.20</w:t>
            </w:r>
          </w:p>
        </w:tc>
        <w:tc>
          <w:tcPr>
            <w:tcW w:w="300" w:type="dxa"/>
            <w:vAlign w:val="bottom"/>
            <w:tcBorders>
              <w:bottom w:val="single" w:sz="8" w:color="CFF0FC"/>
            </w:tcBorders>
            <w:gridSpan w:val="4"/>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CFF0FC"/>
            </w:tcBorders>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1,133</w:t>
            </w: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color w:val="auto"/>
              </w:rPr>
              <w:t>Balance—March 31, 2025</w:t>
            </w:r>
          </w:p>
        </w:tc>
        <w:tc>
          <w:tcPr>
            <w:tcW w:w="12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271,500</w:t>
            </w:r>
          </w:p>
        </w:tc>
        <w:tc>
          <w:tcPr>
            <w:tcW w:w="980" w:type="dxa"/>
            <w:vAlign w:val="bottom"/>
            <w:gridSpan w:val="3"/>
          </w:tcPr>
          <w:p>
            <w:pPr>
              <w:jc w:val="center"/>
              <w:ind w:right="388"/>
              <w:spacing w:after="0" w:line="169" w:lineRule="exact"/>
              <w:rPr>
                <w:sz w:val="20"/>
                <w:szCs w:val="20"/>
                <w:color w:val="auto"/>
              </w:rPr>
            </w:pPr>
            <w:r>
              <w:rPr>
                <w:rFonts w:ascii="Arial" w:cs="Arial" w:eastAsia="Arial" w:hAnsi="Arial"/>
                <w:sz w:val="16"/>
                <w:szCs w:val="16"/>
                <w:color w:val="auto"/>
                <w:w w:val="89"/>
              </w:rPr>
              <w:t>$</w:t>
            </w:r>
          </w:p>
        </w:tc>
        <w:tc>
          <w:tcPr>
            <w:tcW w:w="460" w:type="dxa"/>
            <w:vAlign w:val="bottom"/>
            <w:gridSpan w:val="3"/>
          </w:tcPr>
          <w:p>
            <w:pPr>
              <w:jc w:val="right"/>
              <w:ind w:right="120"/>
              <w:spacing w:after="0" w:line="169" w:lineRule="exact"/>
              <w:rPr>
                <w:sz w:val="20"/>
                <w:szCs w:val="20"/>
                <w:color w:val="auto"/>
              </w:rPr>
            </w:pPr>
            <w:r>
              <w:rPr>
                <w:rFonts w:ascii="Arial" w:cs="Arial" w:eastAsia="Arial" w:hAnsi="Arial"/>
                <w:sz w:val="16"/>
                <w:szCs w:val="16"/>
                <w:color w:val="auto"/>
              </w:rPr>
              <w:t>1.61</w:t>
            </w:r>
          </w:p>
        </w:tc>
        <w:tc>
          <w:tcPr>
            <w:tcW w:w="134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8.96</w:t>
            </w:r>
          </w:p>
        </w:tc>
        <w:tc>
          <w:tcPr>
            <w:tcW w:w="30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line="169" w:lineRule="exact"/>
              <w:rPr>
                <w:sz w:val="20"/>
                <w:szCs w:val="20"/>
                <w:color w:val="auto"/>
              </w:rPr>
            </w:pPr>
            <w:r>
              <w:rPr>
                <w:rFonts w:ascii="Arial" w:cs="Arial" w:eastAsia="Arial" w:hAnsi="Arial"/>
                <w:sz w:val="16"/>
                <w:szCs w:val="16"/>
                <w:color w:val="auto"/>
              </w:rPr>
              <w:t>517</w:t>
            </w:r>
          </w:p>
        </w:tc>
      </w:tr>
      <w:tr>
        <w:trPr>
          <w:trHeight w:val="20"/>
        </w:trPr>
        <w:tc>
          <w:tcPr>
            <w:tcW w:w="5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57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Options vested and exercisable as of March 31, 2025</w:t>
            </w: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jc w:val="center"/>
              <w:ind w:right="388"/>
              <w:spacing w:after="0" w:line="169" w:lineRule="exact"/>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300" w:type="dxa"/>
            <w:vAlign w:val="bottom"/>
            <w:gridSpan w:val="4"/>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line="169" w:lineRule="exact"/>
              <w:rPr>
                <w:sz w:val="20"/>
                <w:szCs w:val="20"/>
                <w:color w:val="auto"/>
              </w:rPr>
            </w:pPr>
            <w:r>
              <w:rPr>
                <w:rFonts w:ascii="Arial" w:cs="Arial" w:eastAsia="Arial" w:hAnsi="Arial"/>
                <w:sz w:val="16"/>
                <w:szCs w:val="16"/>
                <w:color w:val="auto"/>
              </w:rPr>
              <w:t>—</w:t>
            </w:r>
          </w:p>
        </w:tc>
      </w:tr>
      <w:tr>
        <w:trPr>
          <w:trHeight w:val="356"/>
        </w:trPr>
        <w:tc>
          <w:tcPr>
            <w:tcW w:w="5780" w:type="dxa"/>
            <w:vAlign w:val="bottom"/>
            <w:tcBorders>
              <w:top w:val="single" w:sz="8" w:color="CFF0FC"/>
            </w:tcBorders>
          </w:tcPr>
          <w:p>
            <w:pPr>
              <w:spacing w:after="0"/>
              <w:rPr>
                <w:sz w:val="20"/>
                <w:szCs w:val="20"/>
                <w:color w:val="auto"/>
              </w:rPr>
            </w:pPr>
            <w:r>
              <w:rPr>
                <w:rFonts w:ascii="Arial" w:cs="Arial" w:eastAsia="Arial" w:hAnsi="Arial"/>
                <w:sz w:val="16"/>
                <w:szCs w:val="16"/>
                <w:i w:val="1"/>
                <w:iCs w:val="1"/>
                <w:color w:val="auto"/>
              </w:rPr>
              <w:t>Restricted Stock Units ("RSU") Activity and Valuation</w:t>
            </w:r>
          </w:p>
        </w:tc>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r>
      <w:tr>
        <w:trPr>
          <w:trHeight w:val="365"/>
        </w:trPr>
        <w:tc>
          <w:tcPr>
            <w:tcW w:w="7980" w:type="dxa"/>
            <w:vAlign w:val="bottom"/>
            <w:gridSpan w:val="6"/>
          </w:tcPr>
          <w:p>
            <w:pPr>
              <w:ind w:left="760"/>
              <w:spacing w:after="0"/>
              <w:rPr>
                <w:sz w:val="20"/>
                <w:szCs w:val="20"/>
                <w:color w:val="auto"/>
              </w:rPr>
            </w:pPr>
            <w:r>
              <w:rPr>
                <w:rFonts w:ascii="Arial" w:cs="Arial" w:eastAsia="Arial" w:hAnsi="Arial"/>
                <w:sz w:val="16"/>
                <w:szCs w:val="16"/>
                <w:color w:val="auto"/>
              </w:rPr>
              <w:t>A summary of the Company’s RSU activity for the three months ended March 31, 2025 is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5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2"/>
          </w:tcPr>
          <w:p>
            <w:pPr>
              <w:jc w:val="right"/>
              <w:ind w:right="683"/>
              <w:spacing w:after="0"/>
              <w:rPr>
                <w:sz w:val="20"/>
                <w:szCs w:val="20"/>
                <w:color w:val="auto"/>
              </w:rPr>
            </w:pPr>
            <w:r>
              <w:rPr>
                <w:rFonts w:ascii="Arial" w:cs="Arial" w:eastAsia="Arial" w:hAnsi="Arial"/>
                <w:sz w:val="14"/>
                <w:szCs w:val="14"/>
                <w:b w:val="1"/>
                <w:bCs w:val="1"/>
                <w:color w:val="auto"/>
              </w:rPr>
              <w:t>Unvested Service-Based Restricted Stock Units</w:t>
            </w:r>
          </w:p>
        </w:tc>
      </w:tr>
      <w:tr>
        <w:trPr>
          <w:trHeight w:val="146"/>
        </w:trPr>
        <w:tc>
          <w:tcPr>
            <w:tcW w:w="5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Grant Date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57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8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433,484</w:t>
            </w:r>
          </w:p>
        </w:tc>
        <w:tc>
          <w:tcPr>
            <w:tcW w:w="460" w:type="dxa"/>
            <w:vAlign w:val="bottom"/>
            <w:gridSpan w:val="3"/>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47"/>
              <w:spacing w:after="0" w:line="183" w:lineRule="exact"/>
              <w:rPr>
                <w:sz w:val="20"/>
                <w:szCs w:val="20"/>
                <w:color w:val="auto"/>
              </w:rPr>
            </w:pPr>
            <w:r>
              <w:rPr>
                <w:rFonts w:ascii="Arial" w:cs="Arial" w:eastAsia="Arial" w:hAnsi="Arial"/>
                <w:sz w:val="16"/>
                <w:szCs w:val="16"/>
                <w:color w:val="auto"/>
              </w:rPr>
              <w:t>6.34</w:t>
            </w:r>
          </w:p>
        </w:tc>
        <w:tc>
          <w:tcPr>
            <w:tcW w:w="100" w:type="dxa"/>
            <w:vAlign w:val="bottom"/>
            <w:shd w:val="clear" w:color="auto" w:fill="CFF0FC"/>
          </w:tcPr>
          <w:p>
            <w:pPr>
              <w:spacing w:after="0"/>
              <w:rPr>
                <w:sz w:val="15"/>
                <w:szCs w:val="15"/>
                <w:color w:val="auto"/>
              </w:rPr>
            </w:pPr>
          </w:p>
        </w:tc>
        <w:tc>
          <w:tcPr>
            <w:tcW w:w="200" w:type="dxa"/>
            <w:vAlign w:val="bottom"/>
            <w:gridSpan w:val="3"/>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2,506</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RSUs vested</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auto"/>
              </w:rPr>
              <w:t>(21,970)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47"/>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118</w:t>
            </w:r>
          </w:p>
        </w:tc>
      </w:tr>
      <w:tr>
        <w:trPr>
          <w:trHeight w:val="18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RSUs forfeited</w:t>
            </w:r>
          </w:p>
        </w:tc>
        <w:tc>
          <w:tcPr>
            <w:tcW w:w="8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rPr>
              <w:t>(2,142)</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color w:val="auto"/>
              </w:rPr>
              <w:t>Balance—March 31, 2025</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409,372</w:t>
            </w:r>
          </w:p>
        </w:tc>
        <w:tc>
          <w:tcPr>
            <w:tcW w:w="460" w:type="dxa"/>
            <w:vAlign w:val="bottom"/>
            <w:gridSpan w:val="3"/>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7"/>
              <w:spacing w:after="0" w:line="169" w:lineRule="exact"/>
              <w:rPr>
                <w:sz w:val="20"/>
                <w:szCs w:val="20"/>
                <w:color w:val="auto"/>
              </w:rPr>
            </w:pPr>
            <w:r>
              <w:rPr>
                <w:rFonts w:ascii="Arial" w:cs="Arial" w:eastAsia="Arial" w:hAnsi="Arial"/>
                <w:sz w:val="16"/>
                <w:szCs w:val="16"/>
                <w:color w:val="auto"/>
              </w:rPr>
              <w:t>5.75</w:t>
            </w:r>
          </w:p>
        </w:tc>
        <w:tc>
          <w:tcPr>
            <w:tcW w:w="100" w:type="dxa"/>
            <w:vAlign w:val="bottom"/>
          </w:tcPr>
          <w:p>
            <w:pPr>
              <w:spacing w:after="0"/>
              <w:rPr>
                <w:sz w:val="15"/>
                <w:szCs w:val="15"/>
                <w:color w:val="auto"/>
              </w:rPr>
            </w:pPr>
          </w:p>
        </w:tc>
        <w:tc>
          <w:tcPr>
            <w:tcW w:w="20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ind w:right="43"/>
              <w:spacing w:after="0" w:line="169" w:lineRule="exact"/>
              <w:rPr>
                <w:sz w:val="20"/>
                <w:szCs w:val="20"/>
                <w:color w:val="auto"/>
              </w:rPr>
            </w:pPr>
            <w:r>
              <w:rPr>
                <w:rFonts w:ascii="Arial" w:cs="Arial" w:eastAsia="Arial" w:hAnsi="Arial"/>
                <w:sz w:val="16"/>
                <w:szCs w:val="16"/>
                <w:color w:val="auto"/>
              </w:rPr>
              <w:t>1,437</w:t>
            </w:r>
          </w:p>
        </w:tc>
      </w:tr>
      <w:tr>
        <w:trPr>
          <w:trHeight w:val="20"/>
        </w:trPr>
        <w:tc>
          <w:tcPr>
            <w:tcW w:w="5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-1928495</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-1653540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-1636395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-153670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of March 31, 2025, the unrecognized stock-based compensation cost of unvested RSUs was $1.2 million, which is expected to be recognized over a weighted-average period of 1.1 years.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RSU Activity</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March 2025, the Company granted performance-based RSUs ("PSUs") to the executive leadership team. A percentage of the number of RSUs will vest based upon achieving the Company's operational target as of the end of 2026, and subject to continuous service by the executives throughout March 2028. Fifty percent of the aggregate number of achieved RSUs (if any) will vest upon certification in March 2027, with the remaining fifty-percent vesting in March 2028. The total grant-date fair value of the PSUs was $2.1 million.</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PSUs activity for the three months ended March 31, 2025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660" w:type="dxa"/>
            <w:vAlign w:val="bottom"/>
            <w:tcBorders>
              <w:bottom w:val="single" w:sz="8" w:color="auto"/>
            </w:tcBorders>
            <w:gridSpan w:val="7"/>
          </w:tcPr>
          <w:p>
            <w:pPr>
              <w:jc w:val="right"/>
              <w:ind w:right="503"/>
              <w:spacing w:after="0"/>
              <w:rPr>
                <w:sz w:val="20"/>
                <w:szCs w:val="20"/>
                <w:color w:val="auto"/>
              </w:rPr>
            </w:pPr>
            <w:r>
              <w:rPr>
                <w:rFonts w:ascii="Arial" w:cs="Arial" w:eastAsia="Arial" w:hAnsi="Arial"/>
                <w:sz w:val="14"/>
                <w:szCs w:val="14"/>
                <w:b w:val="1"/>
                <w:bCs w:val="1"/>
                <w:color w:val="auto"/>
              </w:rPr>
              <w:t>Unvested Performance-Based Restricted Stock Units</w:t>
            </w:r>
          </w:p>
        </w:tc>
      </w:tr>
      <w:tr>
        <w:trPr>
          <w:trHeight w:val="146"/>
        </w:trPr>
        <w:tc>
          <w:tcPr>
            <w:tcW w:w="6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23"/>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2"/>
        </w:trPr>
        <w:tc>
          <w:tcPr>
            <w:tcW w:w="6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43"/>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63"/>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363"/>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658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5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Balance—December 31, 2024</w:t>
            </w:r>
          </w:p>
        </w:tc>
        <w:tc>
          <w:tcPr>
            <w:tcW w:w="152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line="183" w:lineRule="exact"/>
              <w:rPr>
                <w:sz w:val="20"/>
                <w:szCs w:val="20"/>
                <w:color w:val="auto"/>
              </w:rPr>
            </w:pPr>
            <w:r>
              <w:rPr>
                <w:rFonts w:ascii="Arial" w:cs="Arial" w:eastAsia="Arial" w:hAnsi="Arial"/>
                <w:sz w:val="16"/>
                <w:szCs w:val="16"/>
                <w:color w:val="auto"/>
              </w:rPr>
              <w:t>—</w:t>
            </w:r>
          </w:p>
        </w:tc>
      </w:tr>
      <w:tr>
        <w:trPr>
          <w:trHeight w:val="189"/>
        </w:trPr>
        <w:tc>
          <w:tcPr>
            <w:tcW w:w="6580" w:type="dxa"/>
            <w:vAlign w:val="bottom"/>
          </w:tcPr>
          <w:p>
            <w:pPr>
              <w:ind w:left="120"/>
              <w:spacing w:after="0"/>
              <w:rPr>
                <w:sz w:val="20"/>
                <w:szCs w:val="20"/>
                <w:color w:val="auto"/>
              </w:rPr>
            </w:pPr>
            <w:r>
              <w:rPr>
                <w:rFonts w:ascii="Arial" w:cs="Arial" w:eastAsia="Arial" w:hAnsi="Arial"/>
                <w:sz w:val="16"/>
                <w:szCs w:val="16"/>
                <w:color w:val="auto"/>
              </w:rPr>
              <w:t>RSUs granted</w:t>
            </w:r>
          </w:p>
        </w:tc>
        <w:tc>
          <w:tcPr>
            <w:tcW w:w="1520" w:type="dxa"/>
            <w:vAlign w:val="bottom"/>
          </w:tcPr>
          <w:p>
            <w:pPr>
              <w:jc w:val="right"/>
              <w:ind w:right="62"/>
              <w:spacing w:after="0"/>
              <w:rPr>
                <w:sz w:val="20"/>
                <w:szCs w:val="20"/>
                <w:color w:val="auto"/>
              </w:rPr>
            </w:pPr>
            <w:r>
              <w:rPr>
                <w:rFonts w:ascii="Arial" w:cs="Arial" w:eastAsia="Arial" w:hAnsi="Arial"/>
                <w:sz w:val="16"/>
                <w:szCs w:val="16"/>
                <w:color w:val="auto"/>
              </w:rPr>
              <w:t>575,000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3.63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6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RSUs vested</w:t>
            </w:r>
          </w:p>
        </w:tc>
        <w:tc>
          <w:tcPr>
            <w:tcW w:w="15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189"/>
        </w:trPr>
        <w:tc>
          <w:tcPr>
            <w:tcW w:w="6580" w:type="dxa"/>
            <w:vAlign w:val="bottom"/>
          </w:tcPr>
          <w:p>
            <w:pPr>
              <w:ind w:left="120"/>
              <w:spacing w:after="0"/>
              <w:rPr>
                <w:sz w:val="20"/>
                <w:szCs w:val="20"/>
                <w:color w:val="auto"/>
              </w:rPr>
            </w:pPr>
            <w:r>
              <w:rPr>
                <w:rFonts w:ascii="Arial" w:cs="Arial" w:eastAsia="Arial" w:hAnsi="Arial"/>
                <w:sz w:val="16"/>
                <w:szCs w:val="16"/>
                <w:color w:val="auto"/>
              </w:rPr>
              <w:t>RSUs forfeited</w:t>
            </w:r>
          </w:p>
        </w:tc>
        <w:tc>
          <w:tcPr>
            <w:tcW w:w="15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65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Balance—March 31, 2025</w:t>
            </w:r>
          </w:p>
        </w:tc>
        <w:tc>
          <w:tcPr>
            <w:tcW w:w="1520" w:type="dxa"/>
            <w:vAlign w:val="bottom"/>
            <w:tcBorders>
              <w:bottom w:val="single" w:sz="8" w:color="auto"/>
            </w:tcBorders>
            <w:shd w:val="clear" w:color="auto" w:fill="CFF0FC"/>
          </w:tcPr>
          <w:p>
            <w:pPr>
              <w:jc w:val="right"/>
              <w:ind w:right="62"/>
              <w:spacing w:after="0" w:line="169" w:lineRule="exact"/>
              <w:rPr>
                <w:sz w:val="20"/>
                <w:szCs w:val="20"/>
                <w:color w:val="auto"/>
              </w:rPr>
            </w:pPr>
            <w:r>
              <w:rPr>
                <w:rFonts w:ascii="Arial" w:cs="Arial" w:eastAsia="Arial" w:hAnsi="Arial"/>
                <w:sz w:val="16"/>
                <w:szCs w:val="16"/>
                <w:color w:val="auto"/>
              </w:rPr>
              <w:t>575,000</w:t>
            </w:r>
          </w:p>
        </w:tc>
        <w:tc>
          <w:tcPr>
            <w:tcW w:w="34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line="169" w:lineRule="exact"/>
              <w:rPr>
                <w:sz w:val="20"/>
                <w:szCs w:val="20"/>
                <w:color w:val="auto"/>
              </w:rPr>
            </w:pPr>
            <w:r>
              <w:rPr>
                <w:rFonts w:ascii="Arial" w:cs="Arial" w:eastAsia="Arial" w:hAnsi="Arial"/>
                <w:sz w:val="16"/>
                <w:szCs w:val="16"/>
                <w:color w:val="auto"/>
              </w:rPr>
              <w:t>3.63</w:t>
            </w:r>
          </w:p>
        </w:tc>
        <w:tc>
          <w:tcPr>
            <w:tcW w:w="32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line="169" w:lineRule="exact"/>
              <w:rPr>
                <w:sz w:val="20"/>
                <w:szCs w:val="20"/>
                <w:color w:val="auto"/>
              </w:rPr>
            </w:pPr>
            <w:r>
              <w:rPr>
                <w:rFonts w:ascii="Arial" w:cs="Arial" w:eastAsia="Arial" w:hAnsi="Arial"/>
                <w:sz w:val="16"/>
                <w:szCs w:val="16"/>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As of March 31, 2025, the unrecognized stock-based compensation cost of unvested PSUs was $2.0 million, which is expected to be recognized over a weighted-average of 2.4 years.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During the three months ended March 31, 2025 and 2024, no shares of common stock were purchased under the Employee Stock Purchase Plan ("ESPP"). Additionally, no stock purchase rights were granted during either period.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ind w:left="600"/>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Service-based stock options</w:t>
            </w:r>
          </w:p>
        </w:tc>
        <w:tc>
          <w:tcPr>
            <w:tcW w:w="104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1,221</w:t>
            </w:r>
          </w:p>
        </w:tc>
        <w:tc>
          <w:tcPr>
            <w:tcW w:w="1220" w:type="dxa"/>
            <w:vAlign w:val="bottom"/>
            <w:gridSpan w:val="2"/>
            <w:shd w:val="clear" w:color="auto" w:fill="CFF0FC"/>
          </w:tcPr>
          <w:p>
            <w:pPr>
              <w:jc w:val="right"/>
              <w:ind w:right="888"/>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Performance-based stock options</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Service-based RSUs</w:t>
            </w:r>
          </w:p>
        </w:tc>
        <w:tc>
          <w:tcPr>
            <w:tcW w:w="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745</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Performance-based RSUs</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ESPP</w:t>
            </w:r>
          </w:p>
        </w:tc>
        <w:tc>
          <w:tcPr>
            <w:tcW w:w="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3"/>
        </w:trPr>
        <w:tc>
          <w:tcPr>
            <w:tcW w:w="7740" w:type="dxa"/>
            <w:vAlign w:val="bottom"/>
          </w:tcPr>
          <w:p>
            <w:pPr>
              <w:ind w:left="140"/>
              <w:spacing w:after="0" w:line="169" w:lineRule="exact"/>
              <w:rPr>
                <w:sz w:val="20"/>
                <w:szCs w:val="20"/>
                <w:color w:val="auto"/>
              </w:rPr>
            </w:pPr>
            <w:r>
              <w:rPr>
                <w:rFonts w:ascii="Arial" w:cs="Arial" w:eastAsia="Arial" w:hAnsi="Arial"/>
                <w:sz w:val="16"/>
                <w:szCs w:val="16"/>
                <w:color w:val="auto"/>
              </w:rPr>
              <w:t>Total stock-based compensation expense</w:t>
            </w:r>
          </w:p>
        </w:tc>
        <w:tc>
          <w:tcPr>
            <w:tcW w:w="1040" w:type="dxa"/>
            <w:vAlign w:val="bottom"/>
            <w:gridSpan w:val="2"/>
          </w:tcPr>
          <w:p>
            <w:pPr>
              <w:jc w:val="right"/>
              <w:ind w:right="868"/>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2,219</w:t>
            </w:r>
          </w:p>
        </w:tc>
        <w:tc>
          <w:tcPr>
            <w:tcW w:w="1220" w:type="dxa"/>
            <w:vAlign w:val="bottom"/>
            <w:gridSpan w:val="2"/>
          </w:tcPr>
          <w:p>
            <w:pPr>
              <w:jc w:val="right"/>
              <w:ind w:right="888"/>
              <w:spacing w:after="0" w:line="169"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ind w:left="600"/>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Cost of revenue</w:t>
            </w:r>
          </w:p>
        </w:tc>
        <w:tc>
          <w:tcPr>
            <w:tcW w:w="104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197</w:t>
            </w:r>
          </w:p>
        </w:tc>
        <w:tc>
          <w:tcPr>
            <w:tcW w:w="1220" w:type="dxa"/>
            <w:vAlign w:val="bottom"/>
            <w:gridSpan w:val="2"/>
            <w:shd w:val="clear" w:color="auto" w:fill="CFF0FC"/>
          </w:tcPr>
          <w:p>
            <w:pPr>
              <w:jc w:val="right"/>
              <w:ind w:right="888"/>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1,166</w:t>
            </w:r>
          </w:p>
        </w:tc>
        <w:tc>
          <w:tcPr>
            <w:tcW w:w="1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183"/>
        </w:trPr>
        <w:tc>
          <w:tcPr>
            <w:tcW w:w="7740" w:type="dxa"/>
            <w:vAlign w:val="bottom"/>
          </w:tcPr>
          <w:p>
            <w:pPr>
              <w:ind w:left="140"/>
              <w:spacing w:after="0" w:line="169" w:lineRule="exact"/>
              <w:rPr>
                <w:sz w:val="20"/>
                <w:szCs w:val="20"/>
                <w:color w:val="auto"/>
              </w:rPr>
            </w:pPr>
            <w:r>
              <w:rPr>
                <w:rFonts w:ascii="Arial" w:cs="Arial" w:eastAsia="Arial" w:hAnsi="Arial"/>
                <w:sz w:val="16"/>
                <w:szCs w:val="16"/>
                <w:color w:val="auto"/>
              </w:rPr>
              <w:t>Total stock-based compensation expense</w:t>
            </w:r>
          </w:p>
        </w:tc>
        <w:tc>
          <w:tcPr>
            <w:tcW w:w="1040" w:type="dxa"/>
            <w:vAlign w:val="bottom"/>
            <w:gridSpan w:val="2"/>
          </w:tcPr>
          <w:p>
            <w:pPr>
              <w:jc w:val="right"/>
              <w:ind w:right="868"/>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2,219</w:t>
            </w:r>
          </w:p>
        </w:tc>
        <w:tc>
          <w:tcPr>
            <w:tcW w:w="1220" w:type="dxa"/>
            <w:vAlign w:val="bottom"/>
            <w:gridSpan w:val="2"/>
          </w:tcPr>
          <w:p>
            <w:pPr>
              <w:jc w:val="right"/>
              <w:ind w:right="888"/>
              <w:spacing w:after="0" w:line="169"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-1242695</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Segment and Geographic Information</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operates in one reportable segment, which is providing advanced cancer genomic tests and services for precision oncology applications, personalized testing, and other tests. The Company develops, markets, and sells these tests to pharmaceutical companies, biopharmaceutical companies, diagnostic companies, universities, non-profits, and government entities. It derives revenue primarily in the United States from the sale of genomic testing services and manages its business activities on a consolidated basis. The Company does not have intra-entity sales or transfers. The Company’s CODM is its CEO, who reviews consolidated operating results, accompanied by disaggregated information about net revenues by customer types, as presented below, to make decisions about allocating resources and assessing performance for the entire Company.</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Consolidated net loss is used to monitor actual performance compared to plans and forecasts. The CODM assesses performance based on revenue growth which is reported on the consolidated statements of operations. The accounting policies of the segment are the same as those described in the summary of significant accounting policies. The measure of segment assets is reported on the consolidated balance sheet as total assets. Substantially all of the Company’s long-lived assets are located in the United States.</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attributes revenues to geographic region based on the billing addresses of customers. The following table presents net revenues by geographic region: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5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740" w:type="dxa"/>
            <w:vAlign w:val="bottom"/>
          </w:tcPr>
          <w:p>
            <w:pPr>
              <w:spacing w:after="0"/>
              <w:rPr>
                <w:sz w:val="13"/>
                <w:szCs w:val="13"/>
                <w:color w:val="auto"/>
              </w:rPr>
            </w:pPr>
          </w:p>
        </w:tc>
        <w:tc>
          <w:tcPr>
            <w:tcW w:w="16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United States</w:t>
            </w:r>
          </w:p>
        </w:tc>
        <w:tc>
          <w:tcPr>
            <w:tcW w:w="1660" w:type="dxa"/>
            <w:vAlign w:val="bottom"/>
            <w:shd w:val="clear" w:color="auto" w:fill="CFF0FC"/>
          </w:tcPr>
          <w:p>
            <w:pPr>
              <w:ind w:left="660"/>
              <w:spacing w:after="0" w:line="183" w:lineRule="exact"/>
              <w:rPr>
                <w:sz w:val="20"/>
                <w:szCs w:val="20"/>
                <w:color w:val="auto"/>
              </w:rPr>
            </w:pPr>
            <w:r>
              <w:rPr>
                <w:rFonts w:ascii="Arial" w:cs="Arial" w:eastAsia="Arial" w:hAnsi="Arial"/>
                <w:sz w:val="16"/>
                <w:szCs w:val="16"/>
                <w:color w:val="auto"/>
              </w:rPr>
              <w:t>88%</w:t>
            </w:r>
          </w:p>
        </w:tc>
        <w:tc>
          <w:tcPr>
            <w:tcW w:w="1840" w:type="dxa"/>
            <w:vAlign w:val="bottom"/>
            <w:gridSpan w:val="2"/>
            <w:shd w:val="clear" w:color="auto" w:fill="CFF0FC"/>
          </w:tcPr>
          <w:p>
            <w:pPr>
              <w:jc w:val="center"/>
              <w:ind w:left="79"/>
              <w:spacing w:after="0" w:line="183" w:lineRule="exact"/>
              <w:rPr>
                <w:sz w:val="20"/>
                <w:szCs w:val="20"/>
                <w:color w:val="auto"/>
              </w:rPr>
            </w:pPr>
            <w:r>
              <w:rPr>
                <w:rFonts w:ascii="Arial" w:cs="Arial" w:eastAsia="Arial" w:hAnsi="Arial"/>
                <w:sz w:val="16"/>
                <w:szCs w:val="16"/>
                <w:color w:val="auto"/>
                <w:w w:val="99"/>
              </w:rPr>
              <w:t>96%</w:t>
            </w:r>
          </w:p>
        </w:tc>
      </w:tr>
      <w:tr>
        <w:trPr>
          <w:trHeight w:val="215"/>
        </w:trPr>
        <w:tc>
          <w:tcPr>
            <w:tcW w:w="7740" w:type="dxa"/>
            <w:vAlign w:val="bottom"/>
          </w:tcPr>
          <w:p>
            <w:pPr>
              <w:spacing w:after="0"/>
              <w:rPr>
                <w:sz w:val="20"/>
                <w:szCs w:val="20"/>
                <w:color w:val="auto"/>
              </w:rPr>
            </w:pPr>
            <w:r>
              <w:rPr>
                <w:rFonts w:ascii="Arial" w:cs="Arial" w:eastAsia="Arial" w:hAnsi="Arial"/>
                <w:sz w:val="16"/>
                <w:szCs w:val="16"/>
                <w:color w:val="auto"/>
              </w:rPr>
              <w:t>Others</w:t>
            </w:r>
          </w:p>
        </w:tc>
        <w:tc>
          <w:tcPr>
            <w:tcW w:w="1660" w:type="dxa"/>
            <w:vAlign w:val="bottom"/>
          </w:tcPr>
          <w:p>
            <w:pPr>
              <w:ind w:left="660"/>
              <w:spacing w:after="0"/>
              <w:rPr>
                <w:sz w:val="20"/>
                <w:szCs w:val="20"/>
                <w:color w:val="auto"/>
              </w:rPr>
            </w:pPr>
            <w:r>
              <w:rPr>
                <w:rFonts w:ascii="Arial" w:cs="Arial" w:eastAsia="Arial" w:hAnsi="Arial"/>
                <w:sz w:val="16"/>
                <w:szCs w:val="16"/>
                <w:color w:val="auto"/>
              </w:rPr>
              <w:t>12%</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auto"/>
              </w:rPr>
              <w:t>4%</w:t>
            </w:r>
          </w:p>
        </w:tc>
      </w:tr>
    </w:tbl>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information about reported segment revenue, segment loss, and significant segment expenses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4640" w:type="dxa"/>
            <w:vAlign w:val="bottom"/>
            <w:gridSpan w:val="2"/>
            <w:shd w:val="clear" w:color="auto" w:fill="CFF0FC"/>
          </w:tcPr>
          <w:p>
            <w:pPr>
              <w:jc w:val="right"/>
              <w:ind w:right="788"/>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20,605</w:t>
            </w:r>
          </w:p>
        </w:tc>
        <w:tc>
          <w:tcPr>
            <w:tcW w:w="1140" w:type="dxa"/>
            <w:vAlign w:val="bottom"/>
            <w:gridSpan w:val="2"/>
            <w:shd w:val="clear" w:color="auto" w:fill="CFF0FC"/>
          </w:tcPr>
          <w:p>
            <w:pPr>
              <w:jc w:val="right"/>
              <w:ind w:right="808"/>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19,525</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Arial" w:cs="Arial" w:eastAsia="Arial" w:hAnsi="Arial"/>
                <w:sz w:val="16"/>
                <w:szCs w:val="16"/>
                <w:color w:val="auto"/>
              </w:rPr>
              <w:t>Less:</w:t>
            </w: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Payroll and related costs</w:t>
            </w:r>
          </w:p>
        </w:tc>
        <w:tc>
          <w:tcPr>
            <w:tcW w:w="36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18,003</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16,954</w:t>
            </w:r>
          </w:p>
        </w:tc>
        <w:tc>
          <w:tcPr>
            <w:tcW w:w="0" w:type="dxa"/>
            <w:vAlign w:val="bottom"/>
          </w:tcPr>
          <w:p>
            <w:pPr>
              <w:spacing w:after="0"/>
              <w:rPr>
                <w:sz w:val="1"/>
                <w:szCs w:val="1"/>
                <w:color w:val="auto"/>
              </w:rPr>
            </w:pPr>
          </w:p>
        </w:tc>
      </w:tr>
      <w:tr>
        <w:trPr>
          <w:trHeight w:val="189"/>
        </w:trPr>
        <w:tc>
          <w:tcPr>
            <w:tcW w:w="4060" w:type="dxa"/>
            <w:vAlign w:val="bottom"/>
            <w:gridSpan w:val="2"/>
          </w:tcPr>
          <w:p>
            <w:pPr>
              <w:ind w:left="140"/>
              <w:spacing w:after="0"/>
              <w:rPr>
                <w:sz w:val="20"/>
                <w:szCs w:val="20"/>
                <w:color w:val="auto"/>
              </w:rPr>
            </w:pPr>
            <w:r>
              <w:rPr>
                <w:rFonts w:ascii="Arial" w:cs="Arial" w:eastAsia="Arial" w:hAnsi="Arial"/>
                <w:sz w:val="16"/>
                <w:szCs w:val="16"/>
                <w:color w:val="auto"/>
              </w:rPr>
              <w:t>Lab supplies and outside services</w:t>
            </w: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2,841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3,430</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Facility costs</w:t>
            </w:r>
          </w:p>
        </w:tc>
        <w:tc>
          <w:tcPr>
            <w:tcW w:w="36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2,270</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189"/>
        </w:trPr>
        <w:tc>
          <w:tcPr>
            <w:tcW w:w="4060" w:type="dxa"/>
            <w:vAlign w:val="bottom"/>
            <w:gridSpan w:val="2"/>
          </w:tcPr>
          <w:p>
            <w:pPr>
              <w:ind w:left="140"/>
              <w:spacing w:after="0"/>
              <w:rPr>
                <w:sz w:val="20"/>
                <w:szCs w:val="20"/>
                <w:color w:val="auto"/>
              </w:rPr>
            </w:pPr>
            <w:r>
              <w:rPr>
                <w:rFonts w:ascii="Arial" w:cs="Arial" w:eastAsia="Arial" w:hAnsi="Arial"/>
                <w:sz w:val="16"/>
                <w:szCs w:val="16"/>
                <w:color w:val="auto"/>
              </w:rPr>
              <w:t>Professional services</w:t>
            </w: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2,774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2,888</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Repairs and maintenance</w:t>
            </w:r>
          </w:p>
        </w:tc>
        <w:tc>
          <w:tcPr>
            <w:tcW w:w="36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1,893</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189"/>
        </w:trPr>
        <w:tc>
          <w:tcPr>
            <w:tcW w:w="406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2,587</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(a)</w:t>
            </w:r>
          </w:p>
        </w:tc>
        <w:tc>
          <w:tcPr>
            <w:tcW w:w="36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8,014</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3,254</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3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23"/>
        </w:trPr>
        <w:tc>
          <w:tcPr>
            <w:tcW w:w="406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Segment and consolidated net loss</w:t>
            </w:r>
          </w:p>
        </w:tc>
        <w:tc>
          <w:tcPr>
            <w:tcW w:w="4640" w:type="dxa"/>
            <w:vAlign w:val="bottom"/>
            <w:gridSpan w:val="2"/>
            <w:shd w:val="clear" w:color="auto" w:fill="CFF0FC"/>
          </w:tcPr>
          <w:p>
            <w:pPr>
              <w:jc w:val="right"/>
              <w:ind w:right="788"/>
              <w:spacing w:after="0" w:line="169"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(15,750)</w:t>
            </w:r>
          </w:p>
        </w:tc>
        <w:tc>
          <w:tcPr>
            <w:tcW w:w="1140" w:type="dxa"/>
            <w:vAlign w:val="bottom"/>
            <w:gridSpan w:val="2"/>
            <w:shd w:val="clear" w:color="auto" w:fill="CFF0FC"/>
          </w:tcPr>
          <w:p>
            <w:pPr>
              <w:jc w:val="right"/>
              <w:ind w:right="808"/>
              <w:spacing w:after="0" w:line="169"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210"/>
        </w:trPr>
        <w:tc>
          <w:tcPr>
            <w:tcW w:w="1500" w:type="dxa"/>
            <w:vAlign w:val="bottom"/>
            <w:tcBorders>
              <w:top w:val="single" w:sz="8" w:color="CFF0FC"/>
              <w:bottom w:val="single" w:sz="8" w:color="auto"/>
            </w:tcBorders>
          </w:tcPr>
          <w:p>
            <w:pPr>
              <w:spacing w:after="0"/>
              <w:rPr>
                <w:sz w:val="18"/>
                <w:szCs w:val="18"/>
                <w:color w:val="auto"/>
              </w:rPr>
            </w:pPr>
          </w:p>
        </w:tc>
        <w:tc>
          <w:tcPr>
            <w:tcW w:w="2560" w:type="dxa"/>
            <w:vAlign w:val="bottom"/>
            <w:tcBorders>
              <w:top w:val="single" w:sz="8" w:color="CFF0FC"/>
            </w:tcBorders>
          </w:tcPr>
          <w:p>
            <w:pPr>
              <w:spacing w:after="0"/>
              <w:rPr>
                <w:sz w:val="18"/>
                <w:szCs w:val="18"/>
                <w:color w:val="auto"/>
              </w:rPr>
            </w:pPr>
          </w:p>
        </w:tc>
        <w:tc>
          <w:tcPr>
            <w:tcW w:w="3680" w:type="dxa"/>
            <w:vAlign w:val="bottom"/>
            <w:tcBorders>
              <w:top w:val="single" w:sz="8" w:color="CFF0FC"/>
              <w:bottom w:val="single" w:sz="8" w:color="CFF0FC"/>
            </w:tcBorders>
            <w:vMerge w:val="restart"/>
          </w:tcPr>
          <w:p>
            <w:pPr>
              <w:jc w:val="right"/>
              <w:ind w:right="1939"/>
              <w:spacing w:after="0"/>
              <w:rPr>
                <w:sz w:val="20"/>
                <w:szCs w:val="20"/>
                <w:color w:val="auto"/>
              </w:rPr>
            </w:pPr>
            <w:r>
              <w:rPr>
                <w:rFonts w:ascii="Arial" w:cs="Arial" w:eastAsia="Arial" w:hAnsi="Arial"/>
                <w:sz w:val="16"/>
                <w:szCs w:val="16"/>
                <w:color w:val="auto"/>
              </w:rPr>
              <w:t>23</w:t>
            </w: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11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11" w:lineRule="exact"/>
        <w:rPr>
          <w:sz w:val="20"/>
          <w:szCs w:val="20"/>
          <w:color w:val="auto"/>
        </w:rPr>
      </w:pPr>
    </w:p>
    <w:p>
      <w:pPr>
        <w:ind w:firstLine="8"/>
        <w:spacing w:after="0" w:line="285" w:lineRule="auto"/>
        <w:tabs>
          <w:tab w:leader="none" w:pos="2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segment items included in segment net loss include materials cost related to cost of revenue, marketing expenses, office expenses, foreign currency exchange gain and losses, and other overhead expenses.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March 31, 2025, the Company was not involved in any material legal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7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Company's bylaws and/or pursuant to indemnification agreements entered into with directors, officers and certain employees, the Company has indemnification obligations to its directors, officers and employees for claims brought against these persons arising out of certain events or occurrences while they are serving in such a capacity. The Company maintains a director and officer liability insurance coverage to reduce its exposure to such obligations, and payments made under these agreements. To date, there have been no indemnification claims by these directors, officers and employees.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Basic and Diluted Net Loss Per Common Share</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the assumed release of outstanding RSUs, the assumed issuance of common stock under the ESPP, and the assumed exercise of Tempus Warrants for the quarter ended March 31, 2024. The Company incurred net losses in the periods presented, and as a result, potential common shares from stock options, RSUs, ESPP issuances, and the Tempus Warrants (for the quarter ended March 31, 2024) were not included in the diluted shares used to calculate net loss per share, as their inclusion would have been anti-dilutive.</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43"/>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176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(15,750)</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(12,968)</w:t>
            </w:r>
          </w:p>
        </w:tc>
      </w:tr>
      <w:tr>
        <w:trPr>
          <w:trHeight w:val="189"/>
        </w:trPr>
        <w:tc>
          <w:tcPr>
            <w:tcW w:w="63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outstanding—basic and diluted</w:t>
            </w: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87,463,885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50,678,586</w:t>
            </w:r>
          </w:p>
        </w:tc>
      </w:tr>
      <w:tr>
        <w:trPr>
          <w:trHeight w:val="209"/>
        </w:trPr>
        <w:tc>
          <w:tcPr>
            <w:tcW w:w="63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loss per common share—basic and diluted</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(0.18)</w:t>
            </w:r>
          </w:p>
        </w:tc>
        <w:tc>
          <w:tcPr>
            <w:tcW w:w="5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(0.26)</w:t>
            </w: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56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0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20" w:type="dxa"/>
            <w:vAlign w:val="bottom"/>
            <w:tcBorders>
              <w:bottom w:val="single" w:sz="8" w:color="auto"/>
            </w:tcBorders>
          </w:tcPr>
          <w:p>
            <w:pPr>
              <w:jc w:val="right"/>
              <w:ind w:right="684"/>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720" w:type="dxa"/>
            <w:vAlign w:val="bottom"/>
            <w:tcBorders>
              <w:bottom w:val="single" w:sz="8" w:color="auto"/>
            </w:tcBorders>
          </w:tcPr>
          <w:p>
            <w:pPr>
              <w:jc w:val="right"/>
              <w:ind w:right="684"/>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Tempus Warrants</w:t>
            </w:r>
          </w:p>
        </w:tc>
        <w:tc>
          <w:tcPr>
            <w:tcW w:w="36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w:t>
            </w:r>
          </w:p>
        </w:tc>
        <w:tc>
          <w:tcPr>
            <w:tcW w:w="1840" w:type="dxa"/>
            <w:vAlign w:val="bottom"/>
            <w:gridSpan w:val="2"/>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9,218,800</w:t>
            </w: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5360" w:type="dxa"/>
            <w:vAlign w:val="bottom"/>
            <w:gridSpan w:val="2"/>
          </w:tcPr>
          <w:p>
            <w:pPr>
              <w:jc w:val="right"/>
              <w:ind w:right="44"/>
              <w:spacing w:after="0"/>
              <w:rPr>
                <w:sz w:val="20"/>
                <w:szCs w:val="20"/>
                <w:color w:val="auto"/>
              </w:rPr>
            </w:pPr>
            <w:r>
              <w:rPr>
                <w:rFonts w:ascii="Arial" w:cs="Arial" w:eastAsia="Arial" w:hAnsi="Arial"/>
                <w:sz w:val="16"/>
                <w:szCs w:val="16"/>
                <w:color w:val="auto"/>
              </w:rPr>
              <w:t>12,235,916</w:t>
            </w:r>
          </w:p>
        </w:tc>
        <w:tc>
          <w:tcPr>
            <w:tcW w:w="1840" w:type="dxa"/>
            <w:vAlign w:val="bottom"/>
            <w:gridSpan w:val="2"/>
          </w:tcPr>
          <w:p>
            <w:pPr>
              <w:jc w:val="right"/>
              <w:ind w:right="44"/>
              <w:spacing w:after="0"/>
              <w:rPr>
                <w:sz w:val="20"/>
                <w:szCs w:val="20"/>
                <w:color w:val="auto"/>
              </w:rPr>
            </w:pPr>
            <w:r>
              <w:rPr>
                <w:rFonts w:ascii="Arial" w:cs="Arial" w:eastAsia="Arial" w:hAnsi="Arial"/>
                <w:sz w:val="16"/>
                <w:szCs w:val="16"/>
                <w:color w:val="auto"/>
              </w:rPr>
              <w:t>8,213,682</w:t>
            </w: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Unvested RSUs</w:t>
            </w:r>
          </w:p>
        </w:tc>
        <w:tc>
          <w:tcPr>
            <w:tcW w:w="53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984,372</w:t>
            </w:r>
          </w:p>
        </w:tc>
        <w:tc>
          <w:tcPr>
            <w:tcW w:w="18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1,047,511</w:t>
            </w: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ESPP</w:t>
            </w:r>
          </w:p>
        </w:tc>
        <w:tc>
          <w:tcPr>
            <w:tcW w:w="3640" w:type="dxa"/>
            <w:vAlign w:val="bottom"/>
          </w:tcPr>
          <w:p>
            <w:pPr>
              <w:spacing w:after="0"/>
              <w:rPr>
                <w:sz w:val="16"/>
                <w:szCs w:val="16"/>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167,398</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408,543</w:t>
            </w:r>
          </w:p>
        </w:tc>
      </w:tr>
      <w:tr>
        <w:trPr>
          <w:trHeight w:val="223"/>
        </w:trPr>
        <w:tc>
          <w:tcPr>
            <w:tcW w:w="4040" w:type="dxa"/>
            <w:vAlign w:val="bottom"/>
            <w:shd w:val="clear" w:color="auto" w:fill="CFF0FC"/>
          </w:tcPr>
          <w:p>
            <w:pPr>
              <w:ind w:left="140"/>
              <w:spacing w:after="0" w:line="169" w:lineRule="exact"/>
              <w:rPr>
                <w:sz w:val="20"/>
                <w:szCs w:val="20"/>
                <w:color w:val="auto"/>
              </w:rPr>
            </w:pPr>
            <w:r>
              <w:rPr>
                <w:rFonts w:ascii="Arial" w:cs="Arial" w:eastAsia="Arial" w:hAnsi="Arial"/>
                <w:sz w:val="16"/>
                <w:szCs w:val="16"/>
                <w:color w:val="auto"/>
              </w:rPr>
              <w:t>Total</w:t>
            </w:r>
          </w:p>
        </w:tc>
        <w:tc>
          <w:tcPr>
            <w:tcW w:w="5360" w:type="dxa"/>
            <w:vAlign w:val="bottom"/>
            <w:gridSpan w:val="2"/>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13,387,686</w:t>
            </w:r>
          </w:p>
        </w:tc>
        <w:tc>
          <w:tcPr>
            <w:tcW w:w="1840" w:type="dxa"/>
            <w:vAlign w:val="bottom"/>
            <w:gridSpan w:val="2"/>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18,888,536</w:t>
            </w:r>
          </w:p>
        </w:tc>
      </w:tr>
      <w:tr>
        <w:trPr>
          <w:trHeight w:val="613"/>
        </w:trPr>
        <w:tc>
          <w:tcPr>
            <w:tcW w:w="4040" w:type="dxa"/>
            <w:vAlign w:val="bottom"/>
            <w:tcBorders>
              <w:top w:val="single" w:sz="8" w:color="CFF0FC"/>
            </w:tcBorders>
          </w:tcPr>
          <w:p>
            <w:pPr>
              <w:spacing w:after="0"/>
              <w:rPr>
                <w:sz w:val="24"/>
                <w:szCs w:val="24"/>
                <w:color w:val="auto"/>
              </w:rPr>
            </w:pPr>
          </w:p>
        </w:tc>
        <w:tc>
          <w:tcPr>
            <w:tcW w:w="3640" w:type="dxa"/>
            <w:vAlign w:val="bottom"/>
            <w:tcBorders>
              <w:top w:val="single" w:sz="8" w:color="CFF0FC"/>
            </w:tcBorders>
          </w:tcPr>
          <w:p>
            <w:pPr>
              <w:jc w:val="right"/>
              <w:ind w:right="1879"/>
              <w:spacing w:after="0"/>
              <w:rPr>
                <w:sz w:val="20"/>
                <w:szCs w:val="20"/>
                <w:color w:val="auto"/>
              </w:rPr>
            </w:pPr>
            <w:r>
              <w:rPr>
                <w:rFonts w:ascii="Arial" w:cs="Arial" w:eastAsia="Arial" w:hAnsi="Arial"/>
                <w:sz w:val="16"/>
                <w:szCs w:val="16"/>
                <w:color w:val="auto"/>
              </w:rPr>
              <w:t>24</w:t>
            </w: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751"/>
        </w:trPr>
        <w:tc>
          <w:tcPr>
            <w:tcW w:w="40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-899795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the related notes and other financial information included elsewhere in this Quarterly Report on Form 10-Q and our Annual Report on Form 10-K for the fiscal year ended December 31, 2024 filed with the Securities and Exchange Commission (the “SEC”) on February 27, 2025 (our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develop, market, and sell advanced cancer genomic tests and services. Our services are used by pharmaceutical companies for translational research, biomarker discovery, the development of personalized cancer therapies, and for clinical trials. Our tests are used by physicians to detect residual or recurrent cancer in patients, monitor cancer response to therapy, and uncover insights for therapy selection. We also provide whole exome and whole genome sequencing services for other diagnostic companies and population sequencing initiatives.</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neoantigen therapies for cancer and other next-generation cancer immunotherapies. For example, we are providing genomic testing to Moderna, Inc. ("Moderna") in its ongoing clinical trials evaluating a personalized cancer therapy.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to commercialize our NeXT Personal Dx test.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15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primarily focusing on three indications: breast cancer, lung cancer, and immunotherapy (IO) monitoring. We have collaborations with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that will focus on building the evidence-base for our technology and these indications.</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approximately 500,000 human samples, of which approximately 200,000 were whole human genomes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2025 Highlights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Total revenue increased $1.1 million, or 6%, during the first quarter of 2025 compared to the first quarter of 2024, driven by higher revenue from pharma tests and services and population sequencing from VA MVP. Revenue from pharma tests and services increased $3.8 million, or 39%, during the first quarter of 2025 compared to the first quarter of 2024. Revenue from population sequencing increased $2.7 million, or 181%, during the first quarter of 2025 compared to the first quarter of 2024. As expected, these increases were partially offset by lower revenue from Natera enterprise sales, which declined $5.5 million, or 69%.</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Key business accomplishments and financial updates in the first quarter of 2025 include:</w:t>
      </w:r>
    </w:p>
    <w:p>
      <w:pPr>
        <w:spacing w:after="0" w:line="181" w:lineRule="exact"/>
        <w:rPr>
          <w:sz w:val="20"/>
          <w:szCs w:val="20"/>
          <w:color w:val="auto"/>
        </w:rPr>
      </w:pPr>
    </w:p>
    <w:p>
      <w:pPr>
        <w:ind w:left="1140" w:right="2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Raised $17.8 million in net proceeds from selling common stock under our At-The-Market (ATM) program at a weighted-average price of $5.89 per share.</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Delivered 2,184 total molecular tests in the first quarter of 2025, a 52% increase compared with 1,441 tests delivered in the fourth quarter of 2024.</w:t>
      </w:r>
    </w:p>
    <w:p>
      <w:pPr>
        <w:spacing w:after="0" w:line="115"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Highlighted compelling performance of NeXT Personal for resectable Stage I-IV colorectal cancer (CRC) in a study of 71 patients with British Columbia (BC) Cancer and an oral presentation at the American Association for Cancer Research (AACR) in Chicago in April.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1500" w:hanging="369"/>
        <w:spacing w:after="0"/>
        <w:tabs>
          <w:tab w:leader="none" w:pos="1500"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100% of patients that eventually recurred were detected as ctDNA positive by NeXT Personal, prior to detection on imaging.</w:t>
      </w:r>
    </w:p>
    <w:p>
      <w:pPr>
        <w:spacing w:after="0" w:line="125" w:lineRule="exact"/>
        <w:rPr>
          <w:rFonts w:ascii="Times New Roman" w:cs="Times New Roman" w:eastAsia="Times New Roman" w:hAnsi="Times New Roman"/>
          <w:sz w:val="16"/>
          <w:szCs w:val="16"/>
          <w:color w:val="auto"/>
        </w:rPr>
      </w:pPr>
    </w:p>
    <w:p>
      <w:pPr>
        <w:ind w:left="1500" w:right="40" w:hanging="369"/>
        <w:spacing w:after="0" w:line="285" w:lineRule="auto"/>
        <w:tabs>
          <w:tab w:leader="none" w:pos="1500"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87% of eventual clinical recurrences were detectable within the early landmark window, 2 to 8 weeks after surgery, with 85% detectable by 4 weeks.</w:t>
      </w:r>
    </w:p>
    <w:p>
      <w:pPr>
        <w:spacing w:after="0" w:line="48"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64% of the positive detections in the landmark window were in the ultrasensitive range, below 100 parts per million (PPM).</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100% of challenging distant metastatic recurrences prior to imaging were detected, including lung metastasis.</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Published pivotal breast cancer study (Royal Marsden) using NeXT Personal in the Annals of Oncology and dossier submission was made to Medicare for reimbursement in early-stage breast cancer.</w:t>
      </w:r>
    </w:p>
    <w:p>
      <w:pPr>
        <w:spacing w:after="0" w:line="129"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Published results from TRACERx study in Nature Medicine, showing ctDNA levels linked to lung cancer recurrence and highlighting NeXT Personal's detection in early-stage patients.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primarily from sales of genomic tests and services to the following five customer types:</w:t>
      </w:r>
    </w:p>
    <w:p>
      <w:pPr>
        <w:spacing w:after="0" w:line="181" w:lineRule="exact"/>
        <w:rPr>
          <w:sz w:val="20"/>
          <w:szCs w:val="20"/>
          <w:color w:val="auto"/>
        </w:rPr>
      </w:pPr>
    </w:p>
    <w:p>
      <w:pPr>
        <w:ind w:left="1140" w:hanging="383"/>
        <w:spacing w:after="0" w:line="285"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w:t>
      </w:r>
    </w:p>
    <w:p>
      <w:pPr>
        <w:spacing w:after="0" w:line="115"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 currently makes up substantially all of the revenue in this category.</w:t>
      </w:r>
    </w:p>
    <w:p>
      <w:pPr>
        <w:spacing w:after="0" w:line="14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All of the revenue in this category is from our partnership with the VA MVP.</w:t>
      </w:r>
    </w:p>
    <w:p>
      <w:pPr>
        <w:spacing w:after="0" w:line="115"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diagnostic </w:t>
      </w:r>
      <w:r>
        <w:rPr>
          <w:rFonts w:ascii="Arial" w:cs="Arial" w:eastAsia="Arial" w:hAnsi="Arial"/>
          <w:sz w:val="16"/>
          <w:szCs w:val="16"/>
          <w:color w:val="auto"/>
        </w:rPr>
        <w:t>includes sales of comprehensive tumor profiling test that is used to help select therapy for a cancer patient and identify</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clinical trials for a patient, and sales of ultra-sensitive, tumor-informed diagnostic tests, ordered by healthcare providers for cancer patients. Revenue in this category is derived from Medicare and private insurance reimbursements. As of March 31, 2025, we have not received Medicare coverage reimbursement for NeXT Personal Dx.</w:t>
      </w:r>
    </w:p>
    <w:p>
      <w:pPr>
        <w:spacing w:after="0" w:line="13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Other includes sales of genomic tests and analytics to universities and non-profits.</w:t>
      </w:r>
    </w:p>
    <w:p>
      <w:pPr>
        <w:spacing w:after="0" w:line="20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building and publishing the clinical evidence-base to support our products and services in our key indications, pursuing reimbursement coverage from Medicare and other payors; and seeking additional partnerships. We market to biopharma customers and doctors through a small direct sales force. In late 2023, we entered into an agreement with Tempus to commercialize NeXT Personal Dx in the clinical diagnostics market and will be leveraging Tempus' significantly larger sales force as a key vector to grow our clinical diagnostic business. In late 2024, we expanded our collaboration partnership with Tempus to enable Tempus to market and sell NeXT Personal to Tempus' pharmaceutical and biotech customers who wish to bundle MRD testing with other Tempus offerings in a given study.</w:t>
      </w:r>
    </w:p>
    <w:p>
      <w:pPr>
        <w:spacing w:after="0" w:line="14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one reportable segment which is providing advanced cancer genomic tests and services for precision oncology applications, personalized testing, and other tests. Most of our revenue to date has been derived from sales in the United States.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Fremont facility. Over the long-term, we anticipate higher gross margins as growing revenue leads to economies of scale.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9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3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expense our research and development costs in the period in which they are incurred. We expect research and development expenses to increase over time to support the growth of our clinical diagnostic offerings.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39" w:lineRule="exact"/>
        <w:rPr>
          <w:sz w:val="20"/>
          <w:szCs w:val="20"/>
          <w:color w:val="auto"/>
        </w:rPr>
      </w:pPr>
    </w:p>
    <w:p>
      <w:pPr>
        <w:ind w:left="760" w:right="900"/>
        <w:spacing w:after="0" w:line="484" w:lineRule="auto"/>
        <w:rPr>
          <w:sz w:val="20"/>
          <w:szCs w:val="20"/>
          <w:color w:val="auto"/>
        </w:rPr>
      </w:pPr>
      <w:r>
        <w:rPr>
          <w:rFonts w:ascii="Arial" w:cs="Arial" w:eastAsia="Arial" w:hAnsi="Arial"/>
          <w:sz w:val="16"/>
          <w:szCs w:val="16"/>
          <w:color w:val="auto"/>
        </w:rPr>
        <w:t xml:space="preserve">We expect selling, general and administrative expenses to increase over time to support the growth of our clinical diagnostic offerings. </w:t>
      </w:r>
      <w:r>
        <w:rPr>
          <w:rFonts w:ascii="Arial" w:cs="Arial" w:eastAsia="Arial" w:hAnsi="Arial"/>
          <w:sz w:val="16"/>
          <w:szCs w:val="16"/>
          <w:i w:val="1"/>
          <w:iCs w:val="1"/>
          <w:color w:val="auto"/>
        </w:rPr>
        <w:t>Interest Income and Interest Expense</w:t>
      </w:r>
    </w:p>
    <w:p>
      <w:pPr>
        <w:jc w:val="both"/>
        <w:ind w:right="20" w:firstLine="749"/>
        <w:spacing w:after="0" w:line="286" w:lineRule="auto"/>
        <w:rPr>
          <w:sz w:val="20"/>
          <w:szCs w:val="20"/>
          <w:color w:val="auto"/>
        </w:rPr>
      </w:pPr>
      <w:r>
        <w:rPr>
          <w:rFonts w:ascii="Arial" w:cs="Arial" w:eastAsia="Arial" w:hAnsi="Arial"/>
          <w:sz w:val="16"/>
          <w:szCs w:val="16"/>
          <w:color w:val="auto"/>
        </w:rPr>
        <w:t>Interest income consists primarily of interest earned on our cash, cash equivalents, and short-term investments.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Other income (expense), net includes foreign currency exchange gains and losses. Other income (expense), net during the first quarter of 2024 consists primarily of a noncash gain related to the remeasurement of the warrants issued in connection with our November 2023 agreement with Tempus.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sets forth, for the periods presented, our unaudited consolidated statements of operations and selected financial data (in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36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Statements of Operations:</w:t>
            </w: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60"/>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40"/>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73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20,605</w:t>
            </w:r>
          </w:p>
        </w:tc>
        <w:tc>
          <w:tcPr>
            <w:tcW w:w="58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19,525</w:t>
            </w:r>
          </w:p>
        </w:tc>
        <w:tc>
          <w:tcPr>
            <w:tcW w:w="0" w:type="dxa"/>
            <w:vAlign w:val="bottom"/>
          </w:tcPr>
          <w:p>
            <w:pPr>
              <w:spacing w:after="0"/>
              <w:rPr>
                <w:sz w:val="1"/>
                <w:szCs w:val="1"/>
                <w:color w:val="auto"/>
              </w:rPr>
            </w:pP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Costs and expenses</w:t>
            </w: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 of revenue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13,398</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14,032</w:t>
            </w: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16"/>
                <w:szCs w:val="16"/>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12,640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12,771</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12,263</w:t>
            </w:r>
          </w:p>
        </w:tc>
        <w:tc>
          <w:tcPr>
            <w:tcW w:w="18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11,602</w:t>
            </w:r>
          </w:p>
        </w:tc>
        <w:tc>
          <w:tcPr>
            <w:tcW w:w="0" w:type="dxa"/>
            <w:vAlign w:val="bottom"/>
          </w:tcPr>
          <w:p>
            <w:pPr>
              <w:spacing w:after="0"/>
              <w:rPr>
                <w:sz w:val="1"/>
                <w:szCs w:val="1"/>
                <w:color w:val="auto"/>
              </w:rPr>
            </w:pPr>
          </w:p>
        </w:tc>
      </w:tr>
      <w:tr>
        <w:trPr>
          <w:trHeight w:val="183"/>
        </w:trPr>
        <w:tc>
          <w:tcPr>
            <w:tcW w:w="7360" w:type="dxa"/>
            <w:vAlign w:val="bottom"/>
          </w:tcPr>
          <w:p>
            <w:pPr>
              <w:ind w:left="280"/>
              <w:spacing w:after="0" w:line="183" w:lineRule="exact"/>
              <w:rPr>
                <w:sz w:val="20"/>
                <w:szCs w:val="20"/>
                <w:color w:val="auto"/>
              </w:rPr>
            </w:pPr>
            <w:r>
              <w:rPr>
                <w:rFonts w:ascii="Arial" w:cs="Arial" w:eastAsia="Arial" w:hAnsi="Arial"/>
                <w:sz w:val="16"/>
                <w:szCs w:val="16"/>
                <w:color w:val="auto"/>
              </w:rPr>
              <w:t>Total costs and expenses</w:t>
            </w: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38,301</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38,405</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4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(17,696)</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(18,880)</w:t>
            </w:r>
          </w:p>
        </w:tc>
        <w:tc>
          <w:tcPr>
            <w:tcW w:w="0" w:type="dxa"/>
            <w:vAlign w:val="bottom"/>
          </w:tcPr>
          <w:p>
            <w:pPr>
              <w:spacing w:after="0"/>
              <w:rPr>
                <w:sz w:val="1"/>
                <w:szCs w:val="1"/>
                <w:color w:val="auto"/>
              </w:rPr>
            </w:pP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6"/>
                <w:szCs w:val="16"/>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taxes</w:t>
            </w:r>
          </w:p>
        </w:tc>
        <w:tc>
          <w:tcPr>
            <w:tcW w:w="4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(15,743)</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(12,961)</w:t>
            </w:r>
          </w:p>
        </w:tc>
        <w:tc>
          <w:tcPr>
            <w:tcW w:w="0" w:type="dxa"/>
            <w:vAlign w:val="bottom"/>
          </w:tcPr>
          <w:p>
            <w:pPr>
              <w:spacing w:after="0"/>
              <w:rPr>
                <w:sz w:val="1"/>
                <w:szCs w:val="1"/>
                <w:color w:val="auto"/>
              </w:rPr>
            </w:pP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ind w:left="400"/>
              <w:spacing w:after="0" w:line="169" w:lineRule="exact"/>
              <w:rPr>
                <w:sz w:val="20"/>
                <w:szCs w:val="20"/>
                <w:color w:val="auto"/>
              </w:rPr>
            </w:pPr>
            <w:r>
              <w:rPr>
                <w:rFonts w:ascii="Arial" w:cs="Arial" w:eastAsia="Arial" w:hAnsi="Arial"/>
                <w:sz w:val="16"/>
                <w:szCs w:val="16"/>
                <w:color w:val="auto"/>
              </w:rPr>
              <w:t>Net loss</w:t>
            </w:r>
          </w:p>
        </w:tc>
        <w:tc>
          <w:tcPr>
            <w:tcW w:w="400" w:type="dxa"/>
            <w:vAlign w:val="bottom"/>
            <w:tcBorders>
              <w:bottom w:val="single" w:sz="8" w:color="auto"/>
            </w:tcBorders>
            <w:shd w:val="clear" w:color="auto" w:fill="CFF0FC"/>
          </w:tcPr>
          <w:p>
            <w:pPr>
              <w:jc w:val="right"/>
              <w:ind w:right="244"/>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(15,750)</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line="169"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170"/>
        </w:trPr>
        <w:tc>
          <w:tcPr>
            <w:tcW w:w="7360" w:type="dxa"/>
            <w:vAlign w:val="bottom"/>
          </w:tcPr>
          <w:p>
            <w:pPr>
              <w:spacing w:after="0" w:line="170" w:lineRule="exact"/>
              <w:rPr>
                <w:sz w:val="20"/>
                <w:szCs w:val="20"/>
                <w:color w:val="auto"/>
              </w:rPr>
            </w:pPr>
            <w:r>
              <w:rPr>
                <w:rFonts w:ascii="Arial" w:cs="Arial" w:eastAsia="Arial" w:hAnsi="Arial"/>
                <w:sz w:val="16"/>
                <w:szCs w:val="16"/>
                <w:color w:val="auto"/>
              </w:rPr>
              <w:t>Net loss per share, basic and diluted</w:t>
            </w:r>
          </w:p>
        </w:tc>
        <w:tc>
          <w:tcPr>
            <w:tcW w:w="400" w:type="dxa"/>
            <w:vAlign w:val="bottom"/>
          </w:tcPr>
          <w:p>
            <w:pPr>
              <w:jc w:val="right"/>
              <w:ind w:right="244"/>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170" w:lineRule="exact"/>
              <w:rPr>
                <w:sz w:val="20"/>
                <w:szCs w:val="20"/>
                <w:color w:val="auto"/>
              </w:rPr>
            </w:pPr>
            <w:r>
              <w:rPr>
                <w:rFonts w:ascii="Arial" w:cs="Arial" w:eastAsia="Arial" w:hAnsi="Arial"/>
                <w:sz w:val="16"/>
                <w:szCs w:val="16"/>
                <w:color w:val="auto"/>
              </w:rPr>
              <w:t>(0.18)</w:t>
            </w:r>
          </w:p>
        </w:tc>
        <w:tc>
          <w:tcPr>
            <w:tcW w:w="580" w:type="dxa"/>
            <w:vAlign w:val="bottom"/>
            <w:gridSpan w:val="2"/>
          </w:tcPr>
          <w:p>
            <w:pPr>
              <w:jc w:val="right"/>
              <w:ind w:right="219"/>
              <w:spacing w:after="0" w:line="170"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0" w:lineRule="exact"/>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Weighted-average shares outstanding, basic and diluted</w:t>
            </w: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87,463,885</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50,678,586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-1306195</wp:posOffset>
            </wp:positionV>
            <wp:extent cx="145415"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5415" cy="1625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-299720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200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related party revenue of $0.5 million for the three months ended March 31, 2025.</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related party sales and marketing expenses of $0.6 million for the three months ended March 31,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44"/>
        </w:trPr>
        <w:tc>
          <w:tcPr>
            <w:tcW w:w="1140" w:type="dxa"/>
            <w:vAlign w:val="bottom"/>
            <w:tcBorders>
              <w:top w:val="single" w:sz="8" w:color="0000FF"/>
            </w:tcBorders>
          </w:tcPr>
          <w:p>
            <w:pPr>
              <w:spacing w:after="0"/>
              <w:rPr>
                <w:sz w:val="24"/>
                <w:szCs w:val="24"/>
                <w:color w:val="auto"/>
              </w:rPr>
            </w:pPr>
          </w:p>
        </w:tc>
        <w:tc>
          <w:tcPr>
            <w:tcW w:w="4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58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short-term investments</w:t>
            </w:r>
          </w:p>
        </w:tc>
        <w:tc>
          <w:tcPr>
            <w:tcW w:w="20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185,688</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185,009</w:t>
            </w:r>
          </w:p>
        </w:tc>
      </w:tr>
      <w:tr>
        <w:trPr>
          <w:trHeight w:val="189"/>
        </w:trPr>
        <w:tc>
          <w:tcPr>
            <w:tcW w:w="5840" w:type="dxa"/>
            <w:vAlign w:val="bottom"/>
            <w:gridSpan w:val="2"/>
          </w:tcPr>
          <w:p>
            <w:pPr>
              <w:spacing w:after="0"/>
              <w:rPr>
                <w:sz w:val="20"/>
                <w:szCs w:val="20"/>
                <w:color w:val="auto"/>
              </w:rPr>
            </w:pPr>
            <w:r>
              <w:rPr>
                <w:rFonts w:ascii="Arial" w:cs="Arial" w:eastAsia="Arial" w:hAnsi="Arial"/>
                <w:sz w:val="16"/>
                <w:szCs w:val="16"/>
                <w:color w:val="auto"/>
              </w:rPr>
              <w:t>Working capital</w:t>
            </w: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176,530</w:t>
            </w:r>
          </w:p>
        </w:tc>
        <w:tc>
          <w:tcPr>
            <w:tcW w:w="240" w:type="dxa"/>
            <w:vAlign w:val="bottom"/>
          </w:tcPr>
          <w:p>
            <w:pPr>
              <w:spacing w:after="0"/>
              <w:rPr>
                <w:sz w:val="16"/>
                <w:szCs w:val="16"/>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171,889</w:t>
            </w:r>
          </w:p>
        </w:tc>
      </w:tr>
      <w:tr>
        <w:trPr>
          <w:trHeight w:val="189"/>
        </w:trPr>
        <w:tc>
          <w:tcPr>
            <w:tcW w:w="584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1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273,308</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270,268</w:t>
            </w:r>
          </w:p>
        </w:tc>
      </w:tr>
      <w:tr>
        <w:trPr>
          <w:trHeight w:val="189"/>
        </w:trPr>
        <w:tc>
          <w:tcPr>
            <w:tcW w:w="584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3,642</w:t>
            </w:r>
          </w:p>
        </w:tc>
        <w:tc>
          <w:tcPr>
            <w:tcW w:w="240" w:type="dxa"/>
            <w:vAlign w:val="bottom"/>
          </w:tcPr>
          <w:p>
            <w:pPr>
              <w:spacing w:after="0"/>
              <w:rPr>
                <w:sz w:val="16"/>
                <w:szCs w:val="16"/>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1,772</w:t>
            </w:r>
          </w:p>
        </w:tc>
      </w:tr>
      <w:tr>
        <w:trPr>
          <w:trHeight w:val="189"/>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1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36,071</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36,185</w:t>
            </w:r>
          </w:p>
        </w:tc>
      </w:tr>
      <w:tr>
        <w:trPr>
          <w:trHeight w:val="189"/>
        </w:trPr>
        <w:tc>
          <w:tcPr>
            <w:tcW w:w="584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(2)</w:t>
            </w: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65,963</w:t>
            </w:r>
          </w:p>
        </w:tc>
        <w:tc>
          <w:tcPr>
            <w:tcW w:w="240" w:type="dxa"/>
            <w:vAlign w:val="bottom"/>
          </w:tcPr>
          <w:p>
            <w:pPr>
              <w:spacing w:after="0"/>
              <w:rPr>
                <w:sz w:val="16"/>
                <w:szCs w:val="16"/>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67,311</w:t>
            </w:r>
          </w:p>
        </w:tc>
      </w:tr>
      <w:tr>
        <w:trPr>
          <w:trHeight w:val="189"/>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207,345</w:t>
            </w: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202,957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9"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related party accounts receivable of $0.5 million and $2.5 million as of March 31, 2025 and December 31, 2024, respectively.</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related party liabilities of $4.0 million and $2.9 million as of March 31, 2025 and December 31,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0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3"/>
                <w:szCs w:val="13"/>
                <w:color w:val="auto"/>
              </w:rPr>
            </w:pPr>
          </w:p>
        </w:tc>
      </w:tr>
      <w:tr>
        <w:trPr>
          <w:trHeight w:val="183"/>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Pharma tests and services </w:t>
            </w:r>
            <w:r>
              <w:rPr>
                <w:rFonts w:ascii="Arial" w:cs="Arial" w:eastAsia="Arial" w:hAnsi="Arial"/>
                <w:sz w:val="21"/>
                <w:szCs w:val="21"/>
                <w:color w:val="auto"/>
                <w:vertAlign w:val="superscript"/>
              </w:rPr>
              <w:t>(1)</w:t>
            </w:r>
          </w:p>
        </w:tc>
        <w:tc>
          <w:tcPr>
            <w:tcW w:w="920" w:type="dxa"/>
            <w:vAlign w:val="bottom"/>
            <w:gridSpan w:val="2"/>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13,594</w:t>
            </w:r>
          </w:p>
        </w:tc>
        <w:tc>
          <w:tcPr>
            <w:tcW w:w="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9,812</w:t>
            </w:r>
          </w:p>
        </w:tc>
        <w:tc>
          <w:tcPr>
            <w:tcW w:w="940" w:type="dxa"/>
            <w:vAlign w:val="bottom"/>
            <w:gridSpan w:val="2"/>
            <w:shd w:val="clear" w:color="auto" w:fill="CFF0FC"/>
          </w:tcPr>
          <w:p>
            <w:pPr>
              <w:jc w:val="right"/>
              <w:ind w:right="68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3,782</w:t>
            </w:r>
          </w:p>
        </w:tc>
        <w:tc>
          <w:tcPr>
            <w:tcW w:w="980" w:type="dxa"/>
            <w:vAlign w:val="bottom"/>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39%</w:t>
            </w: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Enterprise sales</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2,465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7,972</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(5,507)</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rPr>
              <w:t>(69%)</w:t>
            </w:r>
          </w:p>
        </w:tc>
      </w:tr>
      <w:tr>
        <w:trPr>
          <w:trHeight w:val="18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Population sequencing</w:t>
            </w:r>
          </w:p>
        </w:tc>
        <w:tc>
          <w:tcPr>
            <w:tcW w:w="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4,213</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2,713</w:t>
            </w:r>
          </w:p>
        </w:tc>
        <w:tc>
          <w:tcPr>
            <w:tcW w:w="98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w w:val="97"/>
              </w:rPr>
              <w:t>181%</w:t>
            </w: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Clinical diagnostic</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w w:val="99"/>
              </w:rPr>
              <w:t>58%</w:t>
            </w:r>
          </w:p>
        </w:tc>
      </w:tr>
      <w:tr>
        <w:trPr>
          <w:trHeight w:val="18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980" w:type="dxa"/>
            <w:vAlign w:val="bottom"/>
            <w:tcBorders>
              <w:bottom w:val="single" w:sz="8" w:color="CFF0FC"/>
            </w:tcBorders>
            <w:shd w:val="clear" w:color="auto" w:fill="CFF0FC"/>
          </w:tcPr>
          <w:p>
            <w:pPr>
              <w:jc w:val="center"/>
              <w:ind w:left="59"/>
              <w:spacing w:after="0"/>
              <w:rPr>
                <w:sz w:val="20"/>
                <w:szCs w:val="20"/>
                <w:color w:val="auto"/>
              </w:rPr>
            </w:pPr>
            <w:r>
              <w:rPr>
                <w:rFonts w:ascii="Arial" w:cs="Arial" w:eastAsia="Arial" w:hAnsi="Arial"/>
                <w:sz w:val="16"/>
                <w:szCs w:val="16"/>
                <w:color w:val="auto"/>
              </w:rPr>
              <w:t>(46%)</w:t>
            </w:r>
          </w:p>
        </w:tc>
      </w:tr>
      <w:tr>
        <w:trPr>
          <w:trHeight w:val="183"/>
        </w:trPr>
        <w:tc>
          <w:tcPr>
            <w:tcW w:w="5240" w:type="dxa"/>
            <w:vAlign w:val="bottom"/>
          </w:tcPr>
          <w:p>
            <w:pPr>
              <w:spacing w:after="0" w:line="169" w:lineRule="exact"/>
              <w:rPr>
                <w:sz w:val="20"/>
                <w:szCs w:val="20"/>
                <w:color w:val="auto"/>
              </w:rPr>
            </w:pPr>
            <w:r>
              <w:rPr>
                <w:rFonts w:ascii="Arial" w:cs="Arial" w:eastAsia="Arial" w:hAnsi="Arial"/>
                <w:sz w:val="16"/>
                <w:szCs w:val="16"/>
                <w:color w:val="auto"/>
              </w:rPr>
              <w:t>Total revenue</w:t>
            </w:r>
          </w:p>
        </w:tc>
        <w:tc>
          <w:tcPr>
            <w:tcW w:w="920" w:type="dxa"/>
            <w:vAlign w:val="bottom"/>
            <w:gridSpan w:val="2"/>
          </w:tcPr>
          <w:p>
            <w:pPr>
              <w:jc w:val="right"/>
              <w:ind w:right="768"/>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20,605</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41"/>
              <w:spacing w:after="0" w:line="169" w:lineRule="exact"/>
              <w:rPr>
                <w:sz w:val="20"/>
                <w:szCs w:val="20"/>
                <w:color w:val="auto"/>
              </w:rPr>
            </w:pPr>
            <w:r>
              <w:rPr>
                <w:rFonts w:ascii="Arial" w:cs="Arial" w:eastAsia="Arial" w:hAnsi="Arial"/>
                <w:sz w:val="16"/>
                <w:szCs w:val="16"/>
                <w:color w:val="auto"/>
              </w:rPr>
              <w:t>19,525</w:t>
            </w:r>
          </w:p>
        </w:tc>
        <w:tc>
          <w:tcPr>
            <w:tcW w:w="940" w:type="dxa"/>
            <w:vAlign w:val="bottom"/>
            <w:gridSpan w:val="2"/>
          </w:tcPr>
          <w:p>
            <w:pPr>
              <w:jc w:val="right"/>
              <w:ind w:right="68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69" w:lineRule="exact"/>
              <w:rPr>
                <w:sz w:val="20"/>
                <w:szCs w:val="20"/>
                <w:color w:val="auto"/>
              </w:rPr>
            </w:pPr>
            <w:r>
              <w:rPr>
                <w:rFonts w:ascii="Arial" w:cs="Arial" w:eastAsia="Arial" w:hAnsi="Arial"/>
                <w:sz w:val="16"/>
                <w:szCs w:val="16"/>
                <w:color w:val="auto"/>
              </w:rPr>
              <w:t>1,080</w:t>
            </w:r>
          </w:p>
        </w:tc>
        <w:tc>
          <w:tcPr>
            <w:tcW w:w="980" w:type="dxa"/>
            <w:vAlign w:val="bottom"/>
          </w:tcPr>
          <w:p>
            <w:pPr>
              <w:jc w:val="center"/>
              <w:ind w:left="59"/>
              <w:spacing w:after="0" w:line="169" w:lineRule="exact"/>
              <w:rPr>
                <w:sz w:val="20"/>
                <w:szCs w:val="20"/>
                <w:color w:val="auto"/>
              </w:rPr>
            </w:pPr>
            <w:r>
              <w:rPr>
                <w:rFonts w:ascii="Arial" w:cs="Arial" w:eastAsia="Arial" w:hAnsi="Arial"/>
                <w:sz w:val="16"/>
                <w:szCs w:val="16"/>
                <w:color w:val="auto"/>
              </w:rPr>
              <w:t>6%</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-153670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-153670</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(1) Includes related party revenue of $0.5 million for the three months ended March 31, 2025.</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each period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5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740" w:type="dxa"/>
            <w:vAlign w:val="bottom"/>
          </w:tcPr>
          <w:p>
            <w:pPr>
              <w:spacing w:after="0"/>
              <w:rPr>
                <w:sz w:val="13"/>
                <w:szCs w:val="13"/>
                <w:color w:val="auto"/>
              </w:rPr>
            </w:pPr>
          </w:p>
        </w:tc>
        <w:tc>
          <w:tcPr>
            <w:tcW w:w="16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Moderna, Inc.</w:t>
            </w:r>
          </w:p>
        </w:tc>
        <w:tc>
          <w:tcPr>
            <w:tcW w:w="1660" w:type="dxa"/>
            <w:vAlign w:val="bottom"/>
            <w:shd w:val="clear" w:color="auto" w:fill="CFF0FC"/>
          </w:tcPr>
          <w:p>
            <w:pPr>
              <w:ind w:left="660"/>
              <w:spacing w:after="0" w:line="183" w:lineRule="exact"/>
              <w:rPr>
                <w:sz w:val="20"/>
                <w:szCs w:val="20"/>
                <w:color w:val="auto"/>
              </w:rPr>
            </w:pPr>
            <w:r>
              <w:rPr>
                <w:rFonts w:ascii="Arial" w:cs="Arial" w:eastAsia="Arial" w:hAnsi="Arial"/>
                <w:sz w:val="16"/>
                <w:szCs w:val="16"/>
                <w:color w:val="auto"/>
              </w:rPr>
              <w:t>27%</w:t>
            </w:r>
          </w:p>
        </w:tc>
        <w:tc>
          <w:tcPr>
            <w:tcW w:w="1840" w:type="dxa"/>
            <w:vAlign w:val="bottom"/>
            <w:gridSpan w:val="2"/>
            <w:shd w:val="clear" w:color="auto" w:fill="CFF0FC"/>
          </w:tcPr>
          <w:p>
            <w:pPr>
              <w:jc w:val="center"/>
              <w:ind w:left="79"/>
              <w:spacing w:after="0" w:line="183" w:lineRule="exact"/>
              <w:rPr>
                <w:sz w:val="20"/>
                <w:szCs w:val="20"/>
                <w:color w:val="auto"/>
              </w:rPr>
            </w:pPr>
            <w:r>
              <w:rPr>
                <w:rFonts w:ascii="Arial" w:cs="Arial" w:eastAsia="Arial" w:hAnsi="Arial"/>
                <w:sz w:val="16"/>
                <w:szCs w:val="16"/>
                <w:color w:val="auto"/>
                <w:w w:val="99"/>
              </w:rPr>
              <w:t>24%</w:t>
            </w: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VA MVP</w:t>
            </w:r>
          </w:p>
        </w:tc>
        <w:tc>
          <w:tcPr>
            <w:tcW w:w="1660" w:type="dxa"/>
            <w:vAlign w:val="bottom"/>
          </w:tcPr>
          <w:p>
            <w:pPr>
              <w:ind w:left="660"/>
              <w:spacing w:after="0"/>
              <w:rPr>
                <w:sz w:val="20"/>
                <w:szCs w:val="20"/>
                <w:color w:val="auto"/>
              </w:rPr>
            </w:pPr>
            <w:r>
              <w:rPr>
                <w:rFonts w:ascii="Arial" w:cs="Arial" w:eastAsia="Arial" w:hAnsi="Arial"/>
                <w:sz w:val="16"/>
                <w:szCs w:val="16"/>
                <w:color w:val="auto"/>
              </w:rPr>
              <w:t>20%</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color w:val="auto"/>
                <w:w w:val="95"/>
              </w:rPr>
              <w:t>*</w:t>
            </w: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Natera, Inc.</w:t>
            </w:r>
          </w:p>
        </w:tc>
        <w:tc>
          <w:tcPr>
            <w:tcW w:w="1660" w:type="dxa"/>
            <w:vAlign w:val="bottom"/>
            <w:shd w:val="clear" w:color="auto" w:fill="CFF0FC"/>
          </w:tcPr>
          <w:p>
            <w:pPr>
              <w:ind w:left="660"/>
              <w:spacing w:after="0"/>
              <w:rPr>
                <w:sz w:val="20"/>
                <w:szCs w:val="20"/>
                <w:color w:val="auto"/>
              </w:rPr>
            </w:pPr>
            <w:r>
              <w:rPr>
                <w:rFonts w:ascii="Arial" w:cs="Arial" w:eastAsia="Arial" w:hAnsi="Arial"/>
                <w:sz w:val="16"/>
                <w:szCs w:val="16"/>
                <w:color w:val="auto"/>
              </w:rPr>
              <w:t>12%</w:t>
            </w:r>
          </w:p>
        </w:tc>
        <w:tc>
          <w:tcPr>
            <w:tcW w:w="184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w w:val="99"/>
              </w:rPr>
              <w:t>41%</w:t>
            </w:r>
          </w:p>
        </w:tc>
      </w:tr>
      <w:tr>
        <w:trPr>
          <w:trHeight w:val="215"/>
        </w:trPr>
        <w:tc>
          <w:tcPr>
            <w:tcW w:w="7740" w:type="dxa"/>
            <w:vAlign w:val="bottom"/>
          </w:tcPr>
          <w:p>
            <w:pPr>
              <w:spacing w:after="0"/>
              <w:rPr>
                <w:sz w:val="20"/>
                <w:szCs w:val="20"/>
                <w:color w:val="auto"/>
              </w:rPr>
            </w:pPr>
            <w:r>
              <w:rPr>
                <w:rFonts w:ascii="Arial" w:cs="Arial" w:eastAsia="Arial" w:hAnsi="Arial"/>
                <w:sz w:val="16"/>
                <w:szCs w:val="16"/>
                <w:color w:val="auto"/>
              </w:rPr>
              <w:t>* Less than 10% of revenue</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7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increase in pharma tests and services revenue in the first quarter of 2025 was due to higher clinical trial samples processed for Moderna. We may see some variability in revenue for this customer over the next few quarters depending on timing of their ongoing trial enrollments. We expect continued growth in revenue from pharma tests and services as demand increases for our Next Personal MRD tests.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Revenue from enterprise sales decreased in the first quarter of 2025 due to a decrease of approximately 65% in the number of samples we processed for Natera compared to the same quarter in 2024</w:t>
      </w:r>
      <w:r>
        <w:rPr>
          <w:rFonts w:ascii="Arial" w:cs="Arial" w:eastAsia="Arial" w:hAnsi="Arial"/>
          <w:sz w:val="16"/>
          <w:szCs w:val="16"/>
          <w:color w:val="FF0000"/>
        </w:rPr>
        <w:t>.</w:t>
      </w:r>
    </w:p>
    <w:p>
      <w:pPr>
        <w:spacing w:after="0" w:line="115"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Our total revenue from Natera in 2025 is expected to be lower from comparable periods in 2024 due to a forecasted decrease in the number of samples processed. Our agreement with Natera includes minimum volume commitments through the second quarter of 2025 and we do not expect a long-term commercial relationship with Natera beyond this year.</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Revenue recognized each period from population sequencing is impacted by timing of our fulfillment of samples under each annual task order.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revenue in the first quarter of 2025 compared to the same quarter in 2024 was due to an increase in the number of samples we processed.</w:t>
      </w:r>
    </w:p>
    <w:p>
      <w:pPr>
        <w:spacing w:after="0" w:line="16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Our annual task orders received from the VA MVP in 2024 and 2023 were $7.5 million each year. Our contract with the VA MVP does not include specific testing turnaround times. Therefore, we may modulate the volume of samples processed from the VA MVP to accommodate sample volumes from other customers, which can vary from period to period. We anticipate fulfilling the task order received in September 2024 during the first two quarters of 2025.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Clinical diagnostic</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Clinical diagnostic revenue is generated from Medicare and private insurance payors. In January 2024, we received a Medicare coverage determination for NeXT Dx, our ultra-comprehensive tumor genomic profiling assay. The revenue of $0.3 million in the first three months of 2025 was mainly attributable to an increase in NeXT Dx test volume and NeXT Personal Dx reimbursements received from some private payors.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3"/>
                <w:szCs w:val="13"/>
                <w:color w:val="auto"/>
              </w:rPr>
            </w:pPr>
          </w:p>
        </w:tc>
      </w:tr>
      <w:tr>
        <w:trPr>
          <w:trHeight w:val="183"/>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Cost of revenue</w:t>
            </w:r>
          </w:p>
        </w:tc>
        <w:tc>
          <w:tcPr>
            <w:tcW w:w="920" w:type="dxa"/>
            <w:vAlign w:val="bottom"/>
            <w:gridSpan w:val="2"/>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13,398</w:t>
            </w:r>
          </w:p>
        </w:tc>
        <w:tc>
          <w:tcPr>
            <w:tcW w:w="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14,032</w:t>
            </w:r>
          </w:p>
        </w:tc>
        <w:tc>
          <w:tcPr>
            <w:tcW w:w="960" w:type="dxa"/>
            <w:vAlign w:val="bottom"/>
            <w:gridSpan w:val="2"/>
            <w:shd w:val="clear" w:color="auto" w:fill="CFF0FC"/>
          </w:tcPr>
          <w:p>
            <w:pPr>
              <w:jc w:val="right"/>
              <w:ind w:right="70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(634)</w:t>
            </w:r>
          </w:p>
        </w:tc>
        <w:tc>
          <w:tcPr>
            <w:tcW w:w="98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(5%)</w:t>
            </w: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12,640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12,771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(1%)</w:t>
            </w:r>
          </w:p>
        </w:tc>
      </w:tr>
      <w:tr>
        <w:trPr>
          <w:trHeight w:val="18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12,263</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11,602</w:t>
            </w: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661</w:t>
            </w:r>
          </w:p>
        </w:tc>
        <w:tc>
          <w:tcPr>
            <w:tcW w:w="98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rPr>
              <w:t>6%</w:t>
            </w:r>
          </w:p>
        </w:tc>
      </w:tr>
      <w:tr>
        <w:trPr>
          <w:trHeight w:val="183"/>
        </w:trPr>
        <w:tc>
          <w:tcPr>
            <w:tcW w:w="5240" w:type="dxa"/>
            <w:vAlign w:val="bottom"/>
          </w:tcPr>
          <w:p>
            <w:pPr>
              <w:ind w:left="100"/>
              <w:spacing w:after="0" w:line="169" w:lineRule="exact"/>
              <w:rPr>
                <w:sz w:val="20"/>
                <w:szCs w:val="20"/>
                <w:color w:val="auto"/>
              </w:rPr>
            </w:pPr>
            <w:r>
              <w:rPr>
                <w:rFonts w:ascii="Arial" w:cs="Arial" w:eastAsia="Arial" w:hAnsi="Arial"/>
                <w:sz w:val="16"/>
                <w:szCs w:val="16"/>
                <w:color w:val="auto"/>
              </w:rPr>
              <w:t>Total costs and expenses</w:t>
            </w:r>
          </w:p>
        </w:tc>
        <w:tc>
          <w:tcPr>
            <w:tcW w:w="920" w:type="dxa"/>
            <w:vAlign w:val="bottom"/>
            <w:gridSpan w:val="2"/>
          </w:tcPr>
          <w:p>
            <w:pPr>
              <w:jc w:val="right"/>
              <w:ind w:right="768"/>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38,301</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line="169" w:lineRule="exact"/>
              <w:rPr>
                <w:sz w:val="20"/>
                <w:szCs w:val="20"/>
                <w:color w:val="auto"/>
              </w:rPr>
            </w:pPr>
            <w:r>
              <w:rPr>
                <w:rFonts w:ascii="Arial" w:cs="Arial" w:eastAsia="Arial" w:hAnsi="Arial"/>
                <w:sz w:val="16"/>
                <w:szCs w:val="16"/>
                <w:color w:val="auto"/>
              </w:rPr>
              <w:t>38,405</w:t>
            </w:r>
          </w:p>
        </w:tc>
        <w:tc>
          <w:tcPr>
            <w:tcW w:w="960" w:type="dxa"/>
            <w:vAlign w:val="bottom"/>
            <w:gridSpan w:val="2"/>
          </w:tcPr>
          <w:p>
            <w:pPr>
              <w:jc w:val="right"/>
              <w:ind w:right="70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98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(0%)</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-153670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-153670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Cost of revenue decreased in the first quarter of 2025 compared to the same quarter in 2024, notwithstanding a slight increase in revenue, primarily due to a favorable revenue mix from the increase in pharma tests and services combined with decreased enterprise sales.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222222"/>
        </w:rPr>
        <w:t>Research and development remained consistent from quarter to quarter, as we continue to selectively invest in areas to enhance our services and product offering, in particular NeXT Personal Dx</w:t>
      </w:r>
      <w:r>
        <w:rPr>
          <w:rFonts w:ascii="Arial" w:cs="Arial" w:eastAsia="Arial" w:hAnsi="Arial"/>
          <w:sz w:val="16"/>
          <w:szCs w:val="16"/>
          <w:color w:val="000000"/>
        </w:rPr>
        <w: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Selling, general and administrative expenses increased due to our marketing efforts related to NeXT Personal Dx in the first quarter of 2025 compared to the same quarter in 2024.</w:t>
      </w:r>
    </w:p>
    <w:p>
      <w:pPr>
        <w:spacing w:after="0" w:line="12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Specific components of the increase in the first quarter of 2025 were a $0.8 million increase in marketing and marketing-related expenses and a $0.8 million increase in personnel costs, partially offset by a $0.5 million decrease in professional outside services and a $0.4 million decrease in allocated facilities costs.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3"/>
                <w:szCs w:val="13"/>
                <w:color w:val="auto"/>
              </w:rPr>
            </w:pPr>
          </w:p>
        </w:tc>
      </w:tr>
      <w:tr>
        <w:trPr>
          <w:trHeight w:val="183"/>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income</w:t>
            </w:r>
          </w:p>
        </w:tc>
        <w:tc>
          <w:tcPr>
            <w:tcW w:w="960" w:type="dxa"/>
            <w:vAlign w:val="bottom"/>
            <w:gridSpan w:val="2"/>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2,027</w:t>
            </w:r>
          </w:p>
        </w:tc>
        <w:tc>
          <w:tcPr>
            <w:tcW w:w="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1,359</w:t>
            </w:r>
          </w:p>
        </w:tc>
        <w:tc>
          <w:tcPr>
            <w:tcW w:w="940" w:type="dxa"/>
            <w:vAlign w:val="bottom"/>
            <w:gridSpan w:val="2"/>
            <w:shd w:val="clear" w:color="auto" w:fill="CFF0FC"/>
          </w:tcPr>
          <w:p>
            <w:pPr>
              <w:jc w:val="right"/>
              <w:ind w:right="68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668</w:t>
            </w:r>
          </w:p>
        </w:tc>
        <w:tc>
          <w:tcPr>
            <w:tcW w:w="980" w:type="dxa"/>
            <w:vAlign w:val="bottom"/>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49%</w:t>
            </w: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Interest expense</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w w:val="97"/>
              </w:rPr>
              <w:t>211%</w:t>
            </w:r>
          </w:p>
        </w:tc>
      </w:tr>
      <w:tr>
        <w:trPr>
          <w:trHeight w:val="18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4,569</w:t>
            </w: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(4,615)</w:t>
            </w:r>
          </w:p>
        </w:tc>
        <w:tc>
          <w:tcPr>
            <w:tcW w:w="9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NM</w:t>
            </w:r>
          </w:p>
        </w:tc>
      </w:tr>
      <w:tr>
        <w:trPr>
          <w:trHeight w:val="182"/>
        </w:trPr>
        <w:tc>
          <w:tcPr>
            <w:tcW w:w="5240" w:type="dxa"/>
            <w:vAlign w:val="bottom"/>
          </w:tcPr>
          <w:p>
            <w:pPr>
              <w:ind w:left="100"/>
              <w:spacing w:after="0" w:line="169" w:lineRule="exact"/>
              <w:rPr>
                <w:sz w:val="20"/>
                <w:szCs w:val="20"/>
                <w:color w:val="auto"/>
              </w:rPr>
            </w:pPr>
            <w:r>
              <w:rPr>
                <w:rFonts w:ascii="Arial" w:cs="Arial" w:eastAsia="Arial" w:hAnsi="Arial"/>
                <w:sz w:val="16"/>
                <w:szCs w:val="16"/>
                <w:color w:val="auto"/>
              </w:rPr>
              <w:t>Total</w:t>
            </w:r>
          </w:p>
        </w:tc>
        <w:tc>
          <w:tcPr>
            <w:tcW w:w="960" w:type="dxa"/>
            <w:vAlign w:val="bottom"/>
            <w:gridSpan w:val="2"/>
          </w:tcPr>
          <w:p>
            <w:pPr>
              <w:jc w:val="right"/>
              <w:ind w:right="808"/>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1,953</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line="169" w:lineRule="exact"/>
              <w:rPr>
                <w:sz w:val="20"/>
                <w:szCs w:val="20"/>
                <w:color w:val="auto"/>
              </w:rPr>
            </w:pPr>
            <w:r>
              <w:rPr>
                <w:rFonts w:ascii="Arial" w:cs="Arial" w:eastAsia="Arial" w:hAnsi="Arial"/>
                <w:sz w:val="16"/>
                <w:szCs w:val="16"/>
                <w:color w:val="auto"/>
              </w:rPr>
              <w:t>5,919</w:t>
            </w:r>
          </w:p>
        </w:tc>
        <w:tc>
          <w:tcPr>
            <w:tcW w:w="940" w:type="dxa"/>
            <w:vAlign w:val="bottom"/>
            <w:gridSpan w:val="2"/>
          </w:tcPr>
          <w:p>
            <w:pPr>
              <w:jc w:val="right"/>
              <w:ind w:right="68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(3,966)</w:t>
            </w:r>
          </w:p>
        </w:tc>
        <w:tc>
          <w:tcPr>
            <w:tcW w:w="980" w:type="dxa"/>
            <w:vAlign w:val="bottom"/>
          </w:tcPr>
          <w:p>
            <w:pPr>
              <w:jc w:val="center"/>
              <w:ind w:left="59"/>
              <w:spacing w:after="0" w:line="169" w:lineRule="exact"/>
              <w:rPr>
                <w:sz w:val="20"/>
                <w:szCs w:val="20"/>
                <w:color w:val="auto"/>
              </w:rPr>
            </w:pPr>
            <w:r>
              <w:rPr>
                <w:rFonts w:ascii="Arial" w:cs="Arial" w:eastAsia="Arial" w:hAnsi="Arial"/>
                <w:sz w:val="16"/>
                <w:szCs w:val="16"/>
                <w:color w:val="auto"/>
              </w:rPr>
              <w:t>(67%)</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-153670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-153670</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increase in interest income in the first quarter of 2025 compared to the same quarter in 2024 was driven by higher average investment balances, partially offset by decreased yields.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Other income (expense), net, in the first quarter of 2025, consisted mainly of foreign currency remeasurements. Other income (expense), net, in the first quarter of 2024, consisted mainly of a $4.8 million noncash gain as a result of remeasurement of the Tempus Warrants (classified as liability instruments), partially offset by a $0.2 million reclassification of accumulated foreign currency translation loss to other income (expense), net, upon dissolution of our China entity (Personalis (Shanghai) Ltd.)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selected financial information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short-term investments</w:t>
            </w:r>
          </w:p>
        </w:tc>
        <w:tc>
          <w:tcPr>
            <w:tcW w:w="20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185,688</w:t>
            </w:r>
          </w:p>
        </w:tc>
        <w:tc>
          <w:tcPr>
            <w:tcW w:w="2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185,009</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47,986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48,274</w:t>
            </w:r>
          </w:p>
        </w:tc>
      </w:tr>
      <w:tr>
        <w:trPr>
          <w:trHeight w:val="18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1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1,964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3,100</w:t>
            </w:r>
          </w:p>
        </w:tc>
      </w:tr>
      <w:tr>
        <w:trPr>
          <w:trHeight w:val="215"/>
        </w:trPr>
        <w:tc>
          <w:tcPr>
            <w:tcW w:w="5880" w:type="dxa"/>
            <w:vAlign w:val="bottom"/>
          </w:tcPr>
          <w:p>
            <w:pPr>
              <w:spacing w:after="0"/>
              <w:rPr>
                <w:sz w:val="20"/>
                <w:szCs w:val="20"/>
                <w:color w:val="auto"/>
              </w:rPr>
            </w:pPr>
            <w:r>
              <w:rPr>
                <w:rFonts w:ascii="Arial" w:cs="Arial" w:eastAsia="Arial" w:hAnsi="Arial"/>
                <w:sz w:val="16"/>
                <w:szCs w:val="16"/>
                <w:color w:val="auto"/>
              </w:rPr>
              <w:t>Working capital</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176,530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171,889</w:t>
            </w:r>
          </w:p>
        </w:tc>
      </w:tr>
    </w:tbl>
    <w:p>
      <w:pPr>
        <w:spacing w:after="0" w:line="13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From our inception through March 31, 2025, we have funded our operations primarily from net proceeds from issuance of redeemable convertible preferred stock, issuance of common stock through our initial public offering ("IPO"), follow-on equity offerings and ATM facility (see Note 2, Summary of Significant Accounting Policies, in Part 1, Item 1 of this Form 10-Q in our Consolidated Financial Statements for additional information). Additionally, we have funded our operations from Tempus exercising warrants and purchasing additional shares of our common stock under an investment agreement, and Merck purchasing shares of our common stock under an investment agreement (see Note 8, Related Party Transactions, in Part 1, Item 1 of this Form 10-Q in our Consolidated Financial Statements for additional information), as well as debt financings. As of March 31, 2025, we had cash and cash equivalents of $71.0 million and short-term investments of $114.7 million.</w:t>
      </w:r>
    </w:p>
    <w:p>
      <w:pPr>
        <w:spacing w:after="0" w:line="15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1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supplement in December 2024, pursuant to which we may offer and sell up to $50.0 million of shares of our common stock through our ATM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 Our ability to raise additional capital may be adversely impacted by potential worsening global economic conditions and the recent disruptions to, and volatility in, the credit and financial markets in the United States and worldwide resulting from tariffs, other restrictive trade policies, the current administration’s focus on reducing government research spending and federal cost-cutting initiatives, actual or perceived changes in interest rates and inflation, and other macroeconomic factors. If we are unable to raise additional capital when needed or on favorable terms, our business, results of operations and financial condition would be adversely affected.</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681"/>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r>
      <w:tr>
        <w:trPr>
          <w:trHeight w:val="155"/>
        </w:trPr>
        <w:tc>
          <w:tcPr>
            <w:tcW w:w="6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3"/>
                <w:szCs w:val="13"/>
                <w:color w:val="auto"/>
              </w:rPr>
            </w:pPr>
          </w:p>
        </w:tc>
      </w:tr>
      <w:tr>
        <w:trPr>
          <w:trHeight w:val="183"/>
        </w:trPr>
        <w:tc>
          <w:tcPr>
            <w:tcW w:w="6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(17,961)</w:t>
            </w:r>
          </w:p>
        </w:tc>
        <w:tc>
          <w:tcPr>
            <w:tcW w:w="400" w:type="dxa"/>
            <w:vAlign w:val="bottom"/>
            <w:gridSpan w:val="2"/>
            <w:shd w:val="clear" w:color="auto" w:fill="CFF0FC"/>
          </w:tcPr>
          <w:p>
            <w:pPr>
              <w:jc w:val="right"/>
              <w:ind w:right="108"/>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(20,413)</w:t>
            </w:r>
          </w:p>
        </w:tc>
        <w:tc>
          <w:tcPr>
            <w:tcW w:w="50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81"/>
              <w:spacing w:after="0" w:line="183" w:lineRule="exact"/>
              <w:rPr>
                <w:sz w:val="20"/>
                <w:szCs w:val="20"/>
                <w:color w:val="auto"/>
              </w:rPr>
            </w:pPr>
            <w:r>
              <w:rPr>
                <w:rFonts w:ascii="Arial" w:cs="Arial" w:eastAsia="Arial" w:hAnsi="Arial"/>
                <w:sz w:val="16"/>
                <w:szCs w:val="16"/>
                <w:color w:val="auto"/>
              </w:rPr>
              <w:t>2,452</w:t>
            </w:r>
          </w:p>
        </w:tc>
        <w:tc>
          <w:tcPr>
            <w:tcW w:w="7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6,301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(28,843)</w:t>
            </w:r>
          </w:p>
        </w:tc>
        <w:tc>
          <w:tcPr>
            <w:tcW w:w="720" w:type="dxa"/>
            <w:vAlign w:val="bottom"/>
          </w:tcPr>
          <w:p>
            <w:pPr>
              <w:ind w:left="220"/>
              <w:spacing w:after="0"/>
              <w:rPr>
                <w:sz w:val="20"/>
                <w:szCs w:val="20"/>
                <w:color w:val="auto"/>
              </w:rPr>
            </w:pPr>
            <w:r>
              <w:rPr>
                <w:rFonts w:ascii="Arial" w:cs="Arial" w:eastAsia="Arial" w:hAnsi="Arial"/>
                <w:sz w:val="16"/>
                <w:szCs w:val="16"/>
                <w:color w:val="auto"/>
              </w:rPr>
              <w:t>NM</w:t>
            </w:r>
          </w:p>
        </w:tc>
      </w:tr>
      <w:tr>
        <w:trPr>
          <w:trHeight w:val="18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20,087</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rPr>
              <w:t>18,958</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1679%</w:t>
            </w:r>
          </w:p>
        </w:tc>
      </w:tr>
    </w:tbl>
    <w:p>
      <w:pPr>
        <w:spacing w:after="0" w:line="16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 in cash used in operating activities in the first quarter of 2025 compared to the same quarter in 2024 was due to higher gross margin (due to a combination of higher revenue levels and higher gross margin percentage) and reduced working capital needs.</w:t>
      </w:r>
    </w:p>
    <w:p>
      <w:pPr>
        <w:spacing w:after="0" w:line="11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increase in cash used by investing activities in the first quarter of 2025 compared to the same quarter in 2024 was due to investment of our cash into short-term investments and $2.4 million increase in capital expenditures.</w:t>
      </w:r>
    </w:p>
    <w:p>
      <w:pPr>
        <w:spacing w:after="0" w:line="12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increase in cash provided by financing activities in the first quarter of 2025 compared to the same quarter in 2024 was due to $16.3 million higher net proceeds from sales of common stock under our ATM facility and $2.6 million in proceeds from loans, partially offset by $0.3 million repayments of loans.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spend. We plan to fund our material cash requirements with our existing cash and cash equivalents and short-term investments, which amounted to $185.7 million as of March 31, 2025,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3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2025 in order to support the planned increase in clinical test volumes ahead of expected reimbursement.</w:t>
      </w:r>
    </w:p>
    <w:p>
      <w:pPr>
        <w:spacing w:after="0" w:line="33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employee compensation, spend on professional services, spend related to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projects, and other costs to support our research and development and selling, general and administrative functions. We currently expect our spending in all of these areas to increase slightly above the levels in 2024. On a long-term basis, we manage future cash requirements relative to our long-term business plans.</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increase from 2024 levels as we expect to expand NeXT Personal Dx capacity. Going</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our capital expenditures are expected to consist primarily of laboratory equipment and computer equipment. We currently expect capital expenditures to be approximately $8.0 million in 2025 and between $7 million to $10 million in each of the years 2026 and 2027.</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$68.4 million as of March 31, 2025. The timing of these future payments,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year, can be found in Note 7, Leases, in Part I, Item 1 of this Form 10-Q in the Consolidated Financial Statements.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As of March 31, 2025, we have an outstanding noninterest bearing loan that was used to finance the purchase of lab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licenses. We owe a total of $3.9 million, of which the majority is payable in the next twelve months. Further discussion of the loan can be found in Note 6, Loans, in Part I, Item 1 of this Form 10-Q in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financial statements are prepared in accordance with U.S. GAAP. The preparation of our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financial statements. Therefore, we consider these to be our critical accounting policies and estimates.</w:t>
      </w:r>
    </w:p>
    <w:p>
      <w:pPr>
        <w:spacing w:after="0" w:line="15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2024 under the caption “Critical Accounting Policies and Estimates” in Management’s Discussion and Analysis of Financial Condition and Results of Operations, set forth in Part II, Item 7.</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See the section titled “Recent Accounting Pronouncements” in Note 2, Summary of Significant Accounting Policies, in Part I, Item 1 of this Form 10-Q in the Consolidated Financial Statements for additional information.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March 31, 2025,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From time to time, we may be a party or subject to various legal proceedings and claims which arise in the ordinary course of business. The outcome of any legal proceeding or claim is inherently uncertain and subject to unascertainable damages or other remedies.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Note 11, Commitments and Contingencies, in Part I, Item 1 of this Form 10-Q in the Consolidated Financial Statements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2024 (Annual Report), which was filed with the SEC on February 27, 2025; provided, however, no asterisk is included if the only changes are to reflect our most recently reported financial information and/or one or more insignificant changes.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incurred net losses since our inception. For the year ended December 31, 2024, we had a net loss of $81 million. For the three months ended March 31, 2025, we had a net loss of $16 million. As of March 31, 2025, we had an accumulated deficit of $566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58"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generation of sufficient reimbursement or coverage by insurance or governmental payors for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73"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recruitment, hiring, and retention of our commercial team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educate our customers and potential customers of the utility of the comprehensiveness of our services and of testing patients at multiple time points;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continue to fund sales and marketing activities;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services are considered superior to those of our competitors;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enforcing and defending intellectual property rights and claims.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that employ various approaches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0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Some of our present or potential competitors, including Adela, Inc., BostonGene Corporation, Caris Life Sciences, Inc., DELFI Diagnostics, Inc., Exact Sciences Corporation, Foresight Diagnostics Inc. (“Foresight”), Foundation Medicine, Inc., Freenome, Inc., Fulgent Genetics, Inc., Geneseeq Technology Inc., GRAIL, Inc., Guardant Health, Inc., Haystack Oncology, Inc., which was acquired by Quest Diagnostics Incorporated in June 2023, Laboratory Corporation of America Holdings, MedGenome Inc., Myriad Genetics, Inc., Natera, NeoGenomics, Inc., Novogene Corporation, Predicine, Inc., Roche Molecular Systems, Inc., SAGA Diagnostics AB, Tempus,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year ended December 31, 2024, revenue under our agreement accounted for 30% of our total revenue. See “—We currently derive a substantial portion of our revenue from DNA sequencing and data analysis services that we provide to Natera. We do not expect to have a long-term commercial relationship with Natera beyond 2025 and, if we are unable to grow our customer base and diversify our revenue concentration,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We may also have disputes with our present or potential competitors.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1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0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48"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other large customers.</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Natera, which accounted for 30% and 43% of our revenue for the years ended December 31, 2024 and 2023, respectively. We also derive a significant portion of our revenue from Moderna, which accounted for 28% and 5% of our revenue for the years ended December 31, 2024 and 2023, respectively. We previously derived a significant portion of our revenue from the VA MVP, which more recently accounted for 9% and 13% of our revenue for the years ended December 31, 2024 and 2023, respectively. Our top five customers, including Natera, Moderna, and the VA MVP, accounted for 81% and 74% of our revenue for the years ended December 31, 2024 and 2023, respectively. There are inherent risks whenever a large percentage of revenue is concentrated with a limited number of customers. While we have attempted to grow our customer base and diversify our revenue concentration beyond Natera, Moderna, and the VA MVP,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See “—We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Moderna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5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We do not expect to have a long-term commercial relationship with Natera beyond 2025 and, if we are unable to grow our customer base and diversify our revenue concentration, our business, financial condition, revenue and other operating results, and cash flows may be materially harmed.*</w:t>
      </w:r>
    </w:p>
    <w:p>
      <w:pPr>
        <w:spacing w:after="0" w:line="14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test Signatera™ for treatment monitoring and MRD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2024, revenue under our agreement accounted for 30% of our total revenue. In December 2024, we amended our agreement to extend minimum volume commitments through the second quarter of 2025. We do not expect to have a long-term commercial relationship with Natera beyond 2025, as we are aware that Natera plans to bring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Our agreement with Natera requires us to achieve certain quality and turnaround time metrics for Natera samples. Recently, the volumes of samples sent to us by Natera have fluctuated significantly and may continue to do so for the remainder of the term of the agreement, which could cause us to experience difficulty in achieving such metrics from time to time, or to meet our other obligations under our agreement.</w:t>
      </w:r>
    </w:p>
    <w:p>
      <w:pPr>
        <w:spacing w:after="0" w:line="3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Natera or other customers may allege that any failures to achieve the required metrics are a breach of our agreement and seek to terminate our agreement prior to its expiration and/or pursue any remedies available to it under the agreement, at law or in equity. Relatedly, we have incurred expenses in connection with our scale-up activities under our agreement with Natera, and we may incur additional expenses in the future to increase our laboratory’s capacity to process increased sample volumes from our other customers. Our activities under our agreement with Natera have had, and activities with our other customers may in the future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or not renewed after expiration, and we are unable to grow our customer base and diversify our revenue concentration timely, our business, financial condition, revenue and other operating results, and cash flows may be materially harmed.</w:t>
      </w:r>
    </w:p>
    <w:p>
      <w:pPr>
        <w:spacing w:after="0" w:line="149"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2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September 2024, we received a third task order with a value of up to $7.5 million. There is no guarantee that the VA MVP will exercise any subsequent renewal option.</w:t>
      </w:r>
    </w:p>
    <w:p>
      <w:pPr>
        <w:spacing w:after="0" w:line="15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annual orders received in subsequent years had values of $10.0 million, or less, which represents a substantial decline. We have no certainty that funding will be made available for our services, or that the VA MVP will honor its payment obligations under the current contract and task order, or award any future contracts, contract renewals or contracted orders to us. The priorities of the VA, the VA MVP, or the U.S. government may change, including in response to a health epidemic pandemic or federal cost-cutting initiatives such as those recently announced and enacted by the current administration. Future task orders from the VA MVP for our DNA sequencing and data analysis services may be reduced or eliminated as a result of reductions in government research spending and federal cost-cutting initiatives.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3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contracted orders received in 2021 and later years compared to the September 2020 contract order, as the VA MVP delayed new enrollment and also may have needed to divert resources to respond to the pandemic. A health epidemic or pandemic may negatively impact the value of any potential new VA MVP contract or order.</w:t>
      </w:r>
    </w:p>
    <w:p>
      <w:pPr>
        <w:spacing w:after="0" w:line="158"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including Moderna.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4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5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3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Building our clinical laboratory business is subject to a number of reimbursement challenges and we may not be able to establish the medical necessity of our tests for coverage or reimbursement rates that cover our costs.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not medically necessary, or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are pursuing a partner-centric strategy and have key relationships with Tempus, Myriad, Moderna and Merck, among others. These and any other partnering and/or collaboration arrangements that we have entered into or may enter into in the future may not be successful, or may terminate, which could adversely impact our business or affect our ability to develop and commercialize our services and products.</w:t>
      </w:r>
    </w:p>
    <w:p>
      <w:pPr>
        <w:spacing w:after="0" w:line="14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strategic alliances with Moderna and Merck; and our collaborations with Tempus; Myriad; ClearNote Health, Inc.;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spacing w:after="0" w:line="73" w:lineRule="exact"/>
        <w:rPr>
          <w:sz w:val="20"/>
          <w:szCs w:val="20"/>
          <w:color w:val="auto"/>
        </w:rPr>
      </w:pPr>
    </w:p>
    <w:p>
      <w:pPr>
        <w:jc w:val="both"/>
        <w:ind w:left="1140" w:right="20" w:hanging="383"/>
        <w:spacing w:after="0" w:line="26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6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25"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6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48"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 and</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or our collaborators may request or require us to expand our facilities and/or establish new facilities domestically and/or internationally, which may significantly increase our expenses and divert resources and management’s attention. See “</w:t>
      </w:r>
      <w:r>
        <w:rPr>
          <w:rFonts w:ascii="Arial" w:cs="Arial" w:eastAsia="Arial" w:hAnsi="Arial"/>
          <w:sz w:val="16"/>
          <w:szCs w:val="16"/>
          <w:b w:val="1"/>
          <w:bCs w:val="1"/>
          <w:i w:val="1"/>
          <w:iCs w:val="1"/>
          <w:color w:val="auto"/>
        </w:rPr>
        <w:t>—</w:t>
      </w:r>
      <w:r>
        <w:rPr>
          <w:rFonts w:ascii="Arial" w:cs="Arial" w:eastAsia="Arial" w:hAnsi="Arial"/>
          <w:sz w:val="16"/>
          <w:szCs w:val="16"/>
          <w:color w:val="auto"/>
        </w:rPr>
        <w:t>We may need to continue to invest in our infrastructure in advance of increased demand for our services; our failure to accurately forecast demand would have a negative impact on our business and our ability to achieve and sustain profitability.” and “</w:t>
      </w:r>
      <w:r>
        <w:rPr>
          <w:rFonts w:ascii="Arial" w:cs="Arial" w:eastAsia="Arial" w:hAnsi="Arial"/>
          <w:sz w:val="16"/>
          <w:szCs w:val="16"/>
          <w:b w:val="1"/>
          <w:bCs w:val="1"/>
          <w:i w:val="1"/>
          <w:iCs w:val="1"/>
          <w:color w:val="auto"/>
        </w:rPr>
        <w:t>—</w:t>
      </w:r>
      <w:r>
        <w:rPr>
          <w:rFonts w:ascii="Arial" w:cs="Arial" w:eastAsia="Arial" w:hAnsi="Arial"/>
          <w:sz w:val="16"/>
          <w:szCs w:val="16"/>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4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1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4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International trade policies, including tariffs, sanctions and trade barriers may adversely affect our business, financial condition, results of operations and prospects.*</w:t>
      </w:r>
    </w:p>
    <w:p>
      <w:pPr>
        <w:spacing w:after="0" w:line="114" w:lineRule="exact"/>
        <w:rPr>
          <w:sz w:val="20"/>
          <w:szCs w:val="20"/>
          <w:color w:val="auto"/>
        </w:rPr>
      </w:pPr>
    </w:p>
    <w:p>
      <w:pPr>
        <w:ind w:right="220" w:firstLine="749"/>
        <w:spacing w:after="0" w:line="252" w:lineRule="auto"/>
        <w:rPr>
          <w:sz w:val="20"/>
          <w:szCs w:val="20"/>
          <w:color w:val="auto"/>
        </w:rPr>
      </w:pPr>
      <w:r>
        <w:rPr>
          <w:rFonts w:ascii="Arial" w:cs="Arial" w:eastAsia="Arial" w:hAnsi="Arial"/>
          <w:sz w:val="16"/>
          <w:szCs w:val="16"/>
          <w:color w:val="auto"/>
        </w:rPr>
        <w:t>We operate in a global economy, which includes partners and suppliers in certain countries outside the United States. There is inherent risk, based on the complex relationships among the U.S. and the countries in which our partners and suppliers reside,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156" w:lineRule="exact"/>
        <w:rPr>
          <w:sz w:val="20"/>
          <w:szCs w:val="20"/>
          <w:color w:val="auto"/>
        </w:rPr>
      </w:pPr>
    </w:p>
    <w:p>
      <w:pPr>
        <w:ind w:right="20" w:firstLine="749"/>
        <w:spacing w:after="0" w:line="259" w:lineRule="auto"/>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on third parties for the manufacture of the specialized laboratory equipment, raw materials and other supplies we use in our business. Currently, certain of our direct suppliers are located outside of the United States. In addition, our suppliers in the United States source or may source components of the products we purchase from them from sources outside the United States. Current or new tariffs may adversely impact our supply chain.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Unlike many industries, our ability to pass increased costs to customers is limited by the structure of reimbursement systems and, if the FDA determines our tests are subject to enforcement as medical devices, medical device pricing. The pricing of many of our products and services are, or will be, established through annual or multi-year contracts with commercial, third-party payors, customers, and group purchasing organizations, and reimbursement methodologies established by government programs, such as Medicare. These arrangements typically include fixed pricing terms that may be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years away.</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Current or future tariffs may also result in increased research and development expenses, including with respect to increased costs associated with raw materials, laboratory equipment and research materials and components. Trade restrictions affecting the import of materials necessary for our tests could result in increased costs to process tests and delays to delivery of our services. Increased costs and extended delivery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3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a single facility and if it becomes damaged or inoperable, or we are required to vacate our facility, our ability to sell and provide our services and pursue research and development efforts may be jeopardized.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facility is in Fremont, California. Our laboratory facility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laboratory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use of our laboratory facility due to a failure of an electrical bus duct serving that facility. Furthermore, our laboratory facility and the equipment we use to perform our services and our research and development work could be costly and time-consuming to repair or replace.</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facility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5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Further, if our laboratory facility becomes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1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2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60"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undertaken in the past, and may in the future undertake, internal restructuring activities that could result in disruptions to our business or otherwise harm our results of operations or financial condition.</w:t>
      </w:r>
    </w:p>
    <w:p>
      <w:pPr>
        <w:spacing w:after="0" w:line="1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information technology systems,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need to continue to invest in our infrastructure in advance of increased demand for our services; our failure to accurately forecast demand would have a negative impact on our business and our ability to achieve and sustain profitability.</w:t>
      </w:r>
    </w:p>
    <w:p>
      <w:pPr>
        <w:spacing w:after="0" w:line="1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Fremont facility expanded our laboratory capacity and, in order to execute our business model, we will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 In addition, we have experienced, and expect to continue to experience, significant fluctuations in the timing of receipt and volume of samples from our customers and collaborators. These fluctuations have in the past adversely impacted, and may in the future adversely impact, our ability to process samples timely and in an efficient fashion, particularly when the sample volume at any given time exceeds our then current capacity.</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expanded our laboratory facility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sufficiently in advance of demand to successfully meet such demand, our business, prospects, financial condition, and results of operations could be adversely affected.</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3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33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9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spacing w:after="0" w:line="151"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facility in the U.S.) would not fall within the scope of such exemptions. We believe that we do not currently offer tests or services to customers established in the EEA which would fall within the scope of the IVDR. If, in the future, we offer tests or services to customers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13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2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6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42" w:lineRule="exact"/>
        <w:rPr>
          <w:sz w:val="20"/>
          <w:szCs w:val="20"/>
          <w:color w:val="auto"/>
        </w:rPr>
      </w:pPr>
    </w:p>
    <w:p>
      <w:pPr>
        <w:jc w:val="both"/>
        <w:ind w:firstLine="816"/>
        <w:spacing w:after="0" w:line="25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110"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service or product marketing;</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services or products from the market;</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2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4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any of our services or products fail to comply with FDA regulatory requirements as enforced, or if we are required or voluntarily submit one or more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9"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our business, we, and the third parties with whom we work,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with whom we work, may be vulnerable to a heightened risk of these attacks, including retaliatory cyberattacks, that could materially disrupt our systems and operations, supply chain, and ability to produce, sell, and distribute our products and services.</w:t>
      </w:r>
    </w:p>
    <w:p>
      <w:pPr>
        <w:spacing w:after="0" w:line="15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4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rely on third parties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may be unable to recover such award. In addition, supply-chain attacks have increased in frequency and severity, and we cannot guarantee that third parties and infrastructure in our supply chain or that of the third parties with whom we work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products and services.</w:t>
      </w:r>
    </w:p>
    <w:p>
      <w:pPr>
        <w:spacing w:after="0" w:line="14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3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with whom we work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employ a shared responsibility model where our customers and partners are responsible for configuring and implementing security measures related to our platform. As part of this model, we make certain security features available to users that can be implemented at their discretion or identify security areas or measures for which they are responsible. For example, users can choose whether to implement and enforce multifactor authentication to access their accounts. In certain cases where users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and partner relationships, reputation, and revenue may be adversely impacted.</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tests and services and otherwise conduct our business in the ordinary course.</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as well as public company disclosure obligations, may require us, or we may voluntarily choose, to notify relevant stakeholders, including affected individuals, regulatory authorities and our stockholders, of certain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products and services, deter new customers or partners from using our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spacing w:after="0" w:line="1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39" w:lineRule="exact"/>
        <w:rPr>
          <w:sz w:val="20"/>
          <w:szCs w:val="20"/>
          <w:color w:val="auto"/>
        </w:rPr>
      </w:pPr>
    </w:p>
    <w:p>
      <w:pPr>
        <w:jc w:val="both"/>
        <w:ind w:left="760"/>
        <w:spacing w:after="0" w:line="258"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spacing w:after="0" w:line="33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The U.S. is also increasingly scrutinizing certain personal data transfers and may impose data localization requirements, for example, the Biden Administration’s executive order Preventing Access to Americans’ Bulk Sensitive Personal Data and United States Government-Related Data by Countries of Concern.</w:t>
      </w:r>
    </w:p>
    <w:p>
      <w:pPr>
        <w:spacing w:after="0" w:line="15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also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3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products and services; expenditure of time and resources to defend any claim or inquiry; adverse publicity; or substantial changes to our business model or operations.</w:t>
      </w:r>
    </w:p>
    <w:p>
      <w:pPr>
        <w:spacing w:after="0" w:line="1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4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78" w:lineRule="exact"/>
        <w:rPr>
          <w:sz w:val="20"/>
          <w:szCs w:val="20"/>
          <w:color w:val="auto"/>
        </w:rPr>
      </w:pPr>
    </w:p>
    <w:p>
      <w:pPr>
        <w:jc w:val="both"/>
        <w:ind w:left="1140" w:hanging="383"/>
        <w:spacing w:after="0" w:line="254"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40"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left="1140"/>
        <w:spacing w:after="0" w:line="259" w:lineRule="auto"/>
        <w:rPr>
          <w:sz w:val="20"/>
          <w:szCs w:val="20"/>
          <w:color w:val="auto"/>
        </w:rPr>
      </w:pPr>
      <w:r>
        <w:rPr>
          <w:rFonts w:ascii="Arial" w:cs="Arial" w:eastAsia="Arial" w:hAnsi="Arial"/>
          <w:sz w:val="16"/>
          <w:szCs w:val="16"/>
          <w:color w:val="auto"/>
        </w:rPr>
        <w:t>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51" w:lineRule="exact"/>
        <w:rPr>
          <w:sz w:val="20"/>
          <w:szCs w:val="20"/>
          <w:color w:val="auto"/>
        </w:rPr>
      </w:pPr>
    </w:p>
    <w:p>
      <w:pPr>
        <w:jc w:val="both"/>
        <w:ind w:left="1140" w:hanging="383"/>
        <w:spacing w:after="0" w:line="256"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36" w:lineRule="exact"/>
        <w:rPr>
          <w:rFonts w:ascii="Times New Roman" w:cs="Times New Roman" w:eastAsia="Times New Roman" w:hAnsi="Times New Roman"/>
          <w:sz w:val="16"/>
          <w:szCs w:val="16"/>
          <w:color w:val="auto"/>
        </w:rPr>
      </w:pPr>
    </w:p>
    <w:p>
      <w:pPr>
        <w:jc w:val="both"/>
        <w:ind w:left="1140" w:hanging="383"/>
        <w:spacing w:after="0" w:line="249"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354"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335" w:lineRule="exact"/>
        <w:rPr>
          <w:rFonts w:ascii="Times New Roman" w:cs="Times New Roman" w:eastAsia="Times New Roman" w:hAnsi="Times New Roman"/>
          <w:sz w:val="16"/>
          <w:szCs w:val="16"/>
          <w:color w:val="auto"/>
        </w:rPr>
      </w:pPr>
    </w:p>
    <w:p>
      <w:pPr>
        <w:jc w:val="both"/>
        <w:ind w:left="1140" w:right="20" w:hanging="383"/>
        <w:spacing w:after="0" w:line="266"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ind w:left="1140"/>
        <w:spacing w:after="0" w:line="286" w:lineRule="auto"/>
        <w:rPr>
          <w:sz w:val="20"/>
          <w:szCs w:val="20"/>
          <w:color w:val="auto"/>
        </w:rPr>
      </w:pPr>
      <w:r>
        <w:rPr>
          <w:rFonts w:ascii="Arial" w:cs="Arial" w:eastAsia="Arial" w:hAnsi="Arial"/>
          <w:sz w:val="16"/>
          <w:szCs w:val="16"/>
          <w:color w:val="auto"/>
        </w:rPr>
        <w:t>attorneys general new authority to file civil actions for damages or injunctions in U.S. federal courts to enforce the federal HIPAA laws and seek attorneys' fees and costs associated with pursuing federal civil actions;</w:t>
      </w:r>
    </w:p>
    <w:p>
      <w:pPr>
        <w:spacing w:after="0" w:line="129" w:lineRule="exact"/>
        <w:rPr>
          <w:sz w:val="20"/>
          <w:szCs w:val="20"/>
          <w:color w:val="auto"/>
        </w:rPr>
      </w:pPr>
    </w:p>
    <w:p>
      <w:pPr>
        <w:jc w:val="both"/>
        <w:ind w:left="1140" w:hanging="383"/>
        <w:spacing w:after="0" w:line="250"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48"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spacing w:after="0" w:line="129"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7"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331"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and authorities such as the Department of Justice, the U.S. Department of Health and Human Services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40" w:hanging="383"/>
        <w:spacing w:after="0" w:line="266"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1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Further, on August 16, 2022, the Inflation Reduction Act (“IRA 2022") was signed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 The current administration is also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and our customers.</w:t>
      </w:r>
    </w:p>
    <w:p>
      <w:pPr>
        <w:spacing w:after="0" w:line="15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Pursuant to the Consolidated Appropriations Act, the statutory phase-in of the payment reductions has been extended through 2025 with a 0% reduction cap for 2021-2023 and a 15% reduction cap for 2026 through 2028.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19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22, 2017, comprehensive tax legislation (the “Tax Cuts and Jobs Act”) was signed into law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early 2024.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5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spacing w:after="0" w:line="14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3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6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4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spacing w:after="0" w:line="155"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parties, or if the licensed patents or other rights are found to be invalid or unenforceable, our business, financial condition, results of operations, and prospects could be materially and adversely affected.</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39"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1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4"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7"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15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49" w:lineRule="exact"/>
        <w:rPr>
          <w:sz w:val="20"/>
          <w:szCs w:val="20"/>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2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proceedings, or other post-grant proceedings declared by the USPTO or a foreign patent office that have resulted, and could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5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51"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spacing w:after="0" w:line="15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1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0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6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33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0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48" w:lineRule="exact"/>
        <w:rPr>
          <w:sz w:val="20"/>
          <w:szCs w:val="20"/>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operating results;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tests or new tests that may emerge;</w:t>
      </w:r>
    </w:p>
    <w:p>
      <w:pPr>
        <w:spacing w:after="0" w:line="125"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Moderna and Natera, as our largest customers;</w:t>
      </w:r>
    </w:p>
    <w:p>
      <w:pPr>
        <w:spacing w:after="0" w:line="48"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amount of our investments in the growth of our business;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or departures of key management or other personnel;</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additional funding;</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sales of our common stock by us or our stockholders in the future;</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25"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48"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global credit and financial markets have experienced extreme volatility and disruptions (including as a result of tariffs and recession concerns). These disruptions can result in severely diminished liquidity and credit availability, increases in inflation, declines in consumer confidence, declines in economic growth, swings in unemployment rates and uncertainty about economic stability. The financial markets and the global economy may also be adversely affected by the impact of tariffs, other restrictive trade policies, supply chain disruptions, labor shortages, fluctuations in currency exchange rates, changes in interest rates, military conflict, acts of terrorism or other geopolitical events. Sanctions imposed, and other actions taken, by the United States and other countries in response to geopolitical conflicts, including the one in Ukraine, may also continue to adversely impact the financial markets and the global economy, and any economic countermeasures by the affected countries or others could exacerbate market and economic instability. Deterioration in credit and financial markets and confidence in economic conditions may continue. Our general business strategy may be adversely affected by any such economic downturn, volatile business environment, higher inflation, or continued unpredictable and unstable market conditions. If the current equity and credit markets continue to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4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now a larger regional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3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Corporation (“FDIC”) as receiver. Similarly, on March 12, 2023, Signature Bank and Silvergate Capital Corp. were each swept into receivership. In addition, on May 1, 2023, the FDIC seized First Republic Bank and sold its assets to JPMorgan Chase &amp; Co.</w:t>
      </w:r>
    </w:p>
    <w:p>
      <w:pPr>
        <w:spacing w:after="0" w:line="12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4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 insured limits.</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43"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b w:val="1"/>
          <w:bCs w:val="1"/>
          <w:i w:val="1"/>
          <w:iCs w:val="1"/>
          <w:color w:val="auto"/>
        </w:rPr>
        <w:t>Insiders or holders of greater than five percent of our outstanding common stock may exercise significant control over our company and will be able to influence corporate matters.</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directors, executive officers and their affiliates, and holders of greater than five percent of our outstanding common stock, if they were to act together, would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 In November 2023, we entered into a Commercialization and Reference Laboratory Agreement (“Tempus Agreement”) (see Note 8 to our audited consolidated financial statements included in this Annual Report on Form 10-K for additional information), pursuant to which, Tempus agreed to certain voting commitments that require Tempus to vote the shares it acquired from exercising its warrants for our common stock in accordance with the recommendations of the majority of our board of directors with respect to director nominations for any meeting of our stockholders occurring on or before December 31, 2025, as well as various compensation-related matters. These voting commitments terminate on when the parties’ exclusivity obligations expire or terminate under the Tempus Agreement. In addition, in December 2024, we entered into an Investment Agreement with Merck &amp; Co., Inc. (“Merck”) (see Note 8 to our audited consolidated financial statements included in this Annual Report on Form 10-K for additional information) pursuant to which Merck agreed to certain voting commitments that require Merck to vote, subject to specified exceptions, any shares of our common stock that Merck owns in accordance with the recommendations of our board of directors. Such voting commitments generally apply to director nominations for any meeting of our stockholders, amendments to our charter to increase the authorized shares of our common stock, various compensation-related matters, and ratification of our auditors. These voting commitments terminate upon the earlier of the second anniversary of the date of the investment agreement with Merck and the first time that Merck and its affiliates no longer own at least 50% of our shares owned by Merck immediately following the date of the investment agreement with Merck.</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impair our ability to raise capital through the sale of additional equity or equity-related securities. We are unable to predict the effect that such sales may have on the prevailing market price of our common stock. As of December 31, 2024, we had 85,171,146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effect on the market price of our common stock.</w:t>
      </w:r>
    </w:p>
    <w:p>
      <w:pPr>
        <w:spacing w:after="0" w:line="15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2024, we had federal and state net operating loss carryforwards of approximately $324.1 million and approximately $302.5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1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31"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directors may only be removed for cause;</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forum for certain litigation against us to Delaware; and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2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15"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any derivative action or proceeding brought on our behalf;</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breach of fiduciary duty;</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20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57"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3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currently are a smaller reporting company, and any decision on our part to avail ourselves of certain reduced reporting and disclosure requirements applicable to smaller reporting companies could make our common stock less attractive to investors.</w:t>
      </w:r>
    </w:p>
    <w:p>
      <w:pPr>
        <w:spacing w:after="0" w:line="11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We currently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32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currently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During our last fiscal quarter, certain of our officers (as defined in Rule 16a-1(f) under the Exchange Act) adopted written plans for the sale of our securities set forth in the table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Type of Trading Arrangement</w:t>
            </w:r>
          </w:p>
        </w:tc>
        <w:tc>
          <w:tcPr>
            <w:tcW w:w="1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of Common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to be</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Adoption Date</w:t>
            </w: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Rule 10b5-1*</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Sold</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68"/>
        </w:trPr>
        <w:tc>
          <w:tcPr>
            <w:tcW w:w="454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 xml:space="preserve">Stephen Moore, </w:t>
            </w:r>
            <w:r>
              <w:rPr>
                <w:rFonts w:ascii="Arial" w:cs="Arial" w:eastAsia="Arial" w:hAnsi="Arial"/>
                <w:sz w:val="16"/>
                <w:szCs w:val="16"/>
                <w:i w:val="1"/>
                <w:iCs w:val="1"/>
                <w:color w:val="auto"/>
              </w:rPr>
              <w:t>Senior Vice President, Chief Legal Officer,</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center"/>
              <w:ind w:right="180"/>
              <w:spacing w:after="0" w:line="168" w:lineRule="exact"/>
              <w:rPr>
                <w:sz w:val="20"/>
                <w:szCs w:val="20"/>
                <w:color w:val="auto"/>
              </w:rPr>
            </w:pPr>
            <w:r>
              <w:rPr>
                <w:rFonts w:ascii="Arial" w:cs="Arial" w:eastAsia="Arial" w:hAnsi="Arial"/>
                <w:sz w:val="16"/>
                <w:szCs w:val="16"/>
                <w:color w:val="auto"/>
              </w:rPr>
              <w:t>March 24,</w:t>
            </w: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line="168" w:lineRule="exact"/>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and Corporate Secretary</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Adoption</w:t>
            </w:r>
          </w:p>
        </w:tc>
        <w:tc>
          <w:tcPr>
            <w:tcW w:w="11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285,366</w:t>
            </w:r>
          </w:p>
        </w:tc>
        <w:tc>
          <w:tcPr>
            <w:tcW w:w="11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760" w:firstLine="8"/>
        <w:spacing w:after="0" w:line="285" w:lineRule="auto"/>
        <w:tabs>
          <w:tab w:leader="none" w:pos="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6780" w:type="dxa"/>
            <w:vAlign w:val="bottom"/>
            <w:gridSpan w:val="13"/>
          </w:tcPr>
          <w:p>
            <w:pPr>
              <w:spacing w:after="0"/>
              <w:rPr>
                <w:sz w:val="20"/>
                <w:szCs w:val="20"/>
                <w:color w:val="auto"/>
              </w:rPr>
            </w:pPr>
            <w:r>
              <w:rPr>
                <w:rFonts w:ascii="Arial" w:cs="Arial" w:eastAsia="Arial" w:hAnsi="Arial"/>
                <w:sz w:val="14"/>
                <w:szCs w:val="14"/>
                <w:color w:val="0000FF"/>
              </w:rPr>
              <w:t>Table of Contents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6780" w:type="dxa"/>
            <w:vAlign w:val="bottom"/>
            <w:gridSpan w:val="13"/>
          </w:tcPr>
          <w:p>
            <w:pPr>
              <w:spacing w:after="0"/>
              <w:rPr>
                <w:sz w:val="20"/>
                <w:szCs w:val="20"/>
                <w:color w:val="auto"/>
              </w:rPr>
            </w:pPr>
            <w:r>
              <w:rPr>
                <w:rFonts w:ascii="Arial" w:cs="Arial" w:eastAsia="Arial" w:hAnsi="Arial"/>
                <w:sz w:val="16"/>
                <w:szCs w:val="16"/>
                <w:b w:val="1"/>
                <w:bCs w:val="1"/>
                <w:color w:val="auto"/>
              </w:rPr>
              <w:t>Item 6. Exhibits.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Incorporated by Reference</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03"/>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gridSpan w:val="9"/>
          </w:tcPr>
          <w:p>
            <w:pPr>
              <w:ind w:left="218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1"/>
                <w:szCs w:val="21"/>
                <w:color w:val="auto"/>
              </w:rPr>
            </w:pPr>
          </w:p>
        </w:tc>
        <w:tc>
          <w:tcPr>
            <w:tcW w:w="5840" w:type="dxa"/>
            <w:vAlign w:val="bottom"/>
            <w:gridSpan w:val="11"/>
          </w:tcPr>
          <w:p>
            <w:pPr>
              <w:spacing w:after="0"/>
              <w:rPr>
                <w:rFonts w:ascii="Arial" w:cs="Arial" w:eastAsia="Arial" w:hAnsi="Arial"/>
                <w:sz w:val="16"/>
                <w:szCs w:val="16"/>
                <w:color w:val="0000FF"/>
              </w:rPr>
            </w:pPr>
            <w:hyperlink r:id="rId279">
              <w:r>
                <w:rPr>
                  <w:rFonts w:ascii="Arial" w:cs="Arial" w:eastAsia="Arial" w:hAnsi="Arial"/>
                  <w:sz w:val="16"/>
                  <w:szCs w:val="16"/>
                  <w:color w:val="0000FF"/>
                </w:rPr>
                <w:t>Amended and Restated Certificate of Incorporation of the Registrant.</w:t>
              </w:r>
            </w:hyperlink>
          </w:p>
        </w:tc>
        <w:tc>
          <w:tcPr>
            <w:tcW w:w="1020" w:type="dxa"/>
            <w:vAlign w:val="bottom"/>
          </w:tcPr>
          <w:p>
            <w:pPr>
              <w:jc w:val="center"/>
              <w:spacing w:after="0"/>
              <w:rPr>
                <w:sz w:val="20"/>
                <w:szCs w:val="20"/>
                <w:color w:val="auto"/>
              </w:rPr>
            </w:pPr>
            <w:r>
              <w:rPr>
                <w:rFonts w:ascii="Arial" w:cs="Arial" w:eastAsia="Arial" w:hAnsi="Arial"/>
                <w:sz w:val="16"/>
                <w:szCs w:val="16"/>
                <w:color w:val="auto"/>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right"/>
              <w:ind w:right="99"/>
              <w:spacing w:after="0"/>
              <w:rPr>
                <w:sz w:val="20"/>
                <w:szCs w:val="20"/>
                <w:color w:val="auto"/>
              </w:rPr>
            </w:pPr>
            <w:r>
              <w:rPr>
                <w:rFonts w:ascii="Arial" w:cs="Arial" w:eastAsia="Arial" w:hAnsi="Arial"/>
                <w:sz w:val="16"/>
                <w:szCs w:val="16"/>
                <w:color w:val="auto"/>
              </w:rPr>
              <w:t>6/24/2019</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6"/>
                <w:szCs w:val="16"/>
                <w:color w:val="auto"/>
              </w:rPr>
              <w:t>3.2</w:t>
            </w:r>
          </w:p>
        </w:tc>
        <w:tc>
          <w:tcPr>
            <w:tcW w:w="14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2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10/31/2022</w:t>
            </w: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gridSpan w:val="4"/>
          </w:tcPr>
          <w:p>
            <w:pPr>
              <w:spacing w:after="0" w:line="169" w:lineRule="exact"/>
              <w:rPr>
                <w:rFonts w:ascii="Arial" w:cs="Arial" w:eastAsia="Arial" w:hAnsi="Arial"/>
                <w:sz w:val="16"/>
                <w:szCs w:val="16"/>
                <w:color w:val="0000FF"/>
              </w:rPr>
            </w:pPr>
            <w:hyperlink r:id="rId280">
              <w:r>
                <w:rPr>
                  <w:rFonts w:ascii="Arial" w:cs="Arial" w:eastAsia="Arial" w:hAnsi="Arial"/>
                  <w:sz w:val="16"/>
                  <w:szCs w:val="16"/>
                  <w:color w:val="0000FF"/>
                </w:rPr>
                <w:t>Amended and Restated Bylaws of the Registrant.</w:t>
              </w:r>
            </w:hyperlink>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4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20" w:type="dxa"/>
            <w:vAlign w:val="bottom"/>
            <w:gridSpan w:val="8"/>
            <w:vMerge w:val="restart"/>
          </w:tcPr>
          <w:p>
            <w:pPr>
              <w:ind w:left="160"/>
              <w:spacing w:after="0"/>
              <w:rPr>
                <w:sz w:val="20"/>
                <w:szCs w:val="20"/>
                <w:color w:val="auto"/>
              </w:rPr>
            </w:pPr>
            <w:r>
              <w:rPr>
                <w:rFonts w:ascii="Arial" w:cs="Arial" w:eastAsia="Arial" w:hAnsi="Arial"/>
                <w:sz w:val="16"/>
                <w:szCs w:val="16"/>
                <w:color w:val="0000FF"/>
              </w:rPr>
              <w:t>to Rules 13a-14(a) and 15d-</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3"/>
          </w:tcPr>
          <w:p>
            <w:pPr>
              <w:spacing w:after="0" w:line="169" w:lineRule="exact"/>
              <w:rPr>
                <w:sz w:val="20"/>
                <w:szCs w:val="20"/>
                <w:color w:val="auto"/>
              </w:rPr>
            </w:pPr>
            <w:r>
              <w:rPr>
                <w:rFonts w:ascii="Arial" w:cs="Arial" w:eastAsia="Arial" w:hAnsi="Arial"/>
                <w:sz w:val="16"/>
                <w:szCs w:val="16"/>
                <w:color w:val="0000FF"/>
                <w:w w:val="96"/>
              </w:rPr>
              <w:t>Certification of Principal Executive Officer Pursuant</w:t>
            </w:r>
          </w:p>
        </w:tc>
        <w:tc>
          <w:tcPr>
            <w:tcW w:w="232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gridSpan w:val="9"/>
          </w:tcPr>
          <w:p>
            <w:pPr>
              <w:spacing w:after="0" w:line="169"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1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Section 302 of the Sarbanes-Oxley Act of 2002.</w:t>
            </w:r>
          </w:p>
        </w:tc>
        <w:tc>
          <w:tcPr>
            <w:tcW w:w="1900" w:type="dxa"/>
            <w:vAlign w:val="bottom"/>
            <w:tcBorders>
              <w:top w:val="single" w:sz="8" w:color="0000FF"/>
            </w:tcBorders>
            <w:gridSpan w:val="4"/>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1"/>
          </w:tcPr>
          <w:p>
            <w:pPr>
              <w:spacing w:after="0" w:line="169" w:lineRule="exact"/>
              <w:rPr>
                <w:sz w:val="20"/>
                <w:szCs w:val="20"/>
                <w:color w:val="auto"/>
              </w:rPr>
            </w:pPr>
            <w:r>
              <w:rPr>
                <w:rFonts w:ascii="Arial" w:cs="Arial" w:eastAsia="Arial" w:hAnsi="Arial"/>
                <w:sz w:val="16"/>
                <w:szCs w:val="16"/>
                <w:color w:val="0000FF"/>
              </w:rPr>
              <w:t>Certification of Principal Financial Officer Pursuant to Rules 13a-14(a) and 15d-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8"/>
          </w:tcPr>
          <w:p>
            <w:pPr>
              <w:spacing w:after="0" w:line="169"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18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Section 302 of the Sarbanes-Oxley Act of 2002.</w:t>
            </w:r>
          </w:p>
        </w:tc>
        <w:tc>
          <w:tcPr>
            <w:tcW w:w="1900" w:type="dxa"/>
            <w:vAlign w:val="bottom"/>
            <w:tcBorders>
              <w:top w:val="single" w:sz="8" w:color="0000FF"/>
            </w:tcBorders>
            <w:gridSpan w:val="4"/>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40" w:type="dxa"/>
            <w:vAlign w:val="bottom"/>
            <w:gridSpan w:val="11"/>
          </w:tcPr>
          <w:p>
            <w:pPr>
              <w:spacing w:after="0" w:line="169" w:lineRule="exact"/>
              <w:rPr>
                <w:sz w:val="20"/>
                <w:szCs w:val="20"/>
                <w:color w:val="auto"/>
              </w:rPr>
            </w:pPr>
            <w:r>
              <w:rPr>
                <w:rFonts w:ascii="Arial" w:cs="Arial" w:eastAsia="Arial" w:hAnsi="Arial"/>
                <w:sz w:val="16"/>
                <w:szCs w:val="16"/>
                <w:color w:val="0000FF"/>
              </w:rPr>
              <w:t>Certification of Principal Executive Officer Pursuant to 18 U.S.C. Section 1350,</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520" w:type="dxa"/>
            <w:vAlign w:val="bottom"/>
            <w:tcBorders>
              <w:top w:val="single" w:sz="8" w:color="0000FF"/>
            </w:tcBorders>
            <w:gridSpan w:val="3"/>
          </w:tcPr>
          <w:p>
            <w:pPr>
              <w:spacing w:after="0"/>
              <w:rPr>
                <w:sz w:val="14"/>
                <w:szCs w:val="14"/>
                <w:color w:val="auto"/>
              </w:rPr>
            </w:pPr>
          </w:p>
        </w:tc>
        <w:tc>
          <w:tcPr>
            <w:tcW w:w="18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5"/>
          </w:tcPr>
          <w:p>
            <w:pPr>
              <w:spacing w:after="0" w:line="169" w:lineRule="exact"/>
              <w:rPr>
                <w:sz w:val="20"/>
                <w:szCs w:val="20"/>
                <w:color w:val="auto"/>
              </w:rPr>
            </w:pPr>
            <w:r>
              <w:rPr>
                <w:rFonts w:ascii="Arial" w:cs="Arial" w:eastAsia="Arial" w:hAnsi="Arial"/>
                <w:sz w:val="16"/>
                <w:szCs w:val="16"/>
                <w:color w:val="0000FF"/>
              </w:rPr>
              <w:t>Certification of Principal Financial Officer Pursuant to 18 U.S.C. Section</w:t>
            </w: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0000FF"/>
                <w:w w:val="94"/>
              </w:rPr>
              <w:t>1350,</w:t>
            </w:r>
          </w:p>
        </w:tc>
        <w:tc>
          <w:tcPr>
            <w:tcW w:w="240" w:type="dxa"/>
            <w:vAlign w:val="bottom"/>
            <w:gridSpan w:val="4"/>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460" w:type="dxa"/>
            <w:vAlign w:val="bottom"/>
            <w:tcBorders>
              <w:top w:val="single" w:sz="8" w:color="0000FF"/>
            </w:tcBorders>
            <w:gridSpan w:val="2"/>
          </w:tcPr>
          <w:p>
            <w:pPr>
              <w:spacing w:after="0"/>
              <w:rPr>
                <w:sz w:val="14"/>
                <w:szCs w:val="14"/>
                <w:color w:val="auto"/>
              </w:rPr>
            </w:pPr>
          </w:p>
        </w:tc>
        <w:tc>
          <w:tcPr>
            <w:tcW w:w="240" w:type="dxa"/>
            <w:vAlign w:val="bottom"/>
            <w:gridSpan w:val="4"/>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40" w:type="dxa"/>
            <w:vAlign w:val="bottom"/>
            <w:gridSpan w:val="5"/>
          </w:tcPr>
          <w:p>
            <w:pPr>
              <w:spacing w:after="0" w:line="182" w:lineRule="exact"/>
              <w:rPr>
                <w:sz w:val="20"/>
                <w:szCs w:val="20"/>
                <w:color w:val="auto"/>
              </w:rPr>
            </w:pPr>
            <w:r>
              <w:rPr>
                <w:rFonts w:ascii="Arial" w:cs="Arial" w:eastAsia="Arial" w:hAnsi="Arial"/>
                <w:sz w:val="16"/>
                <w:szCs w:val="16"/>
                <w:color w:val="auto"/>
              </w:rPr>
              <w:t>Inline XBRL Document Set for the consolidated financial statements and</w:t>
            </w:r>
          </w:p>
        </w:tc>
        <w:tc>
          <w:tcPr>
            <w:tcW w:w="700" w:type="dxa"/>
            <w:vAlign w:val="bottom"/>
            <w:gridSpan w:val="6"/>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40" w:type="dxa"/>
            <w:vAlign w:val="bottom"/>
            <w:gridSpan w:val="11"/>
          </w:tcPr>
          <w:p>
            <w:pPr>
              <w:spacing w:after="0"/>
              <w:rPr>
                <w:sz w:val="20"/>
                <w:szCs w:val="20"/>
                <w:color w:val="auto"/>
              </w:rPr>
            </w:pPr>
            <w:r>
              <w:rPr>
                <w:rFonts w:ascii="Arial" w:cs="Arial" w:eastAsia="Arial" w:hAnsi="Arial"/>
                <w:sz w:val="16"/>
                <w:szCs w:val="16"/>
                <w:color w:val="auto"/>
              </w:rPr>
              <w:t>accompanying notes in Part I, Item 1, “Financial Statements” of this Quarterly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40" w:type="dxa"/>
            <w:vAlign w:val="bottom"/>
            <w:gridSpan w:val="11"/>
          </w:tcPr>
          <w:p>
            <w:pPr>
              <w:spacing w:after="0"/>
              <w:rPr>
                <w:sz w:val="20"/>
                <w:szCs w:val="20"/>
                <w:color w:val="auto"/>
              </w:rPr>
            </w:pPr>
            <w:r>
              <w:rPr>
                <w:rFonts w:ascii="Arial" w:cs="Arial" w:eastAsia="Arial" w:hAnsi="Arial"/>
                <w:sz w:val="16"/>
                <w:szCs w:val="16"/>
                <w:color w:val="auto"/>
              </w:rPr>
              <w:t>Report on Form 10-Q.</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5840" w:type="dxa"/>
            <w:vAlign w:val="bottom"/>
            <w:gridSpan w:val="11"/>
          </w:tcPr>
          <w:p>
            <w:pPr>
              <w:spacing w:after="0"/>
              <w:rPr>
                <w:sz w:val="20"/>
                <w:szCs w:val="20"/>
                <w:color w:val="auto"/>
              </w:rPr>
            </w:pPr>
            <w:r>
              <w:rPr>
                <w:rFonts w:ascii="Arial" w:cs="Arial" w:eastAsia="Arial" w:hAnsi="Arial"/>
                <w:sz w:val="16"/>
                <w:szCs w:val="16"/>
                <w:color w:val="auto"/>
              </w:rPr>
              <w:t>Inline XBRL for the cover page of this Quarterly Report on Form 10-Q, included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40" w:type="dxa"/>
            <w:vAlign w:val="bottom"/>
            <w:gridSpan w:val="11"/>
          </w:tcPr>
          <w:p>
            <w:pPr>
              <w:spacing w:after="0"/>
              <w:rPr>
                <w:sz w:val="20"/>
                <w:szCs w:val="20"/>
                <w:color w:val="auto"/>
              </w:rPr>
            </w:pPr>
            <w:r>
              <w:rPr>
                <w:rFonts w:ascii="Arial" w:cs="Arial" w:eastAsia="Arial" w:hAnsi="Arial"/>
                <w:sz w:val="16"/>
                <w:szCs w:val="16"/>
                <w:color w:val="auto"/>
              </w:rPr>
              <w:t>in the Exhibit 101 Inline XBRL Document Set.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9512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4"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auto"/>
        </w:rPr>
        <w:t>*</w:t>
        <w:tab/>
        <w:t>Filed herewith.</w:t>
      </w:r>
    </w:p>
    <w:p>
      <w:pPr>
        <w:spacing w:after="0" w:line="42" w:lineRule="exact"/>
        <w:rPr>
          <w:sz w:val="20"/>
          <w:szCs w:val="20"/>
          <w:color w:val="auto"/>
        </w:rPr>
      </w:pPr>
    </w:p>
    <w:p>
      <w:pPr>
        <w:jc w:val="both"/>
        <w:ind w:firstLine="8"/>
        <w:spacing w:after="0" w:line="263" w:lineRule="auto"/>
        <w:tabs>
          <w:tab w:leader="none" w:pos="20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May 6, 2025</w:t>
      </w:r>
      <w:r>
        <w:rPr>
          <w:sz w:val="20"/>
          <w:szCs w:val="20"/>
          <w:color w:val="auto"/>
        </w:rPr>
        <w:tab/>
      </w:r>
      <w:r>
        <w:rPr>
          <w:rFonts w:ascii="Arial" w:cs="Arial" w:eastAsia="Arial" w:hAnsi="Arial"/>
          <w:sz w:val="16"/>
          <w:szCs w:val="16"/>
          <w:color w:val="auto"/>
        </w:rPr>
        <w:t>Personalis, Inc.</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2746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Christopher Hall, certify that:</w:t>
      </w:r>
    </w:p>
    <w:p>
      <w:pPr>
        <w:spacing w:after="0" w:line="221"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20" w:right="40" w:hanging="503"/>
        <w:spacing w:after="0" w:line="266"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503"/>
        <w:spacing w:after="0" w:line="266"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20" w:right="440" w:hanging="503"/>
        <w:spacing w:after="0" w:line="286"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140" w:hanging="503"/>
        <w:spacing w:after="0" w:line="266"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80" w:hanging="503"/>
        <w:spacing w:after="0" w:line="286"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20" w:hanging="503"/>
        <w:spacing w:after="0" w:line="286"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2025</w:t>
      </w:r>
    </w:p>
    <w:p>
      <w:pPr>
        <w:spacing w:after="0" w:line="21"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6"/>
          <w:szCs w:val="16"/>
          <w:color w:val="auto"/>
        </w:rPr>
        <w:t>Christopher Hall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20" w:right="40" w:hanging="503"/>
        <w:spacing w:after="0" w:line="26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503"/>
        <w:spacing w:after="0" w:line="26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20" w:right="440" w:hanging="503"/>
        <w:spacing w:after="0" w:line="28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140" w:hanging="503"/>
        <w:spacing w:after="0" w:line="26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80" w:hanging="503"/>
        <w:spacing w:after="0" w:line="28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20" w:hanging="503"/>
        <w:spacing w:after="0" w:line="28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2025</w:t>
      </w:r>
    </w:p>
    <w:p>
      <w:pPr>
        <w:spacing w:after="0" w:line="21"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80" w:firstLine="509"/>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700" w:hanging="503"/>
        <w:spacing w:after="0" w:line="286"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2025</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1905</wp:posOffset>
            </wp:positionV>
            <wp:extent cx="30429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6"/>
          <w:szCs w:val="16"/>
          <w:color w:val="auto"/>
        </w:rPr>
        <w:t>Christopher Hall</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32.2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80" w:firstLine="509"/>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700" w:hanging="503"/>
        <w:spacing w:after="0" w:line="286"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2025</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1905</wp:posOffset>
            </wp:positionV>
            <wp:extent cx="30429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o"/>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79" Type="http://schemas.openxmlformats.org/officeDocument/2006/relationships/hyperlink" Target="https://www.sec.gov/Archives/edgar/data/0001527753/000119312519180246/d750323dex31.htm" TargetMode="External"/><Relationship Id="rId280" Type="http://schemas.openxmlformats.org/officeDocument/2006/relationships/hyperlink" Target="https://www.sec.gov/Archives/edgar/data/1527753/000095017022020631/psnl-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2025-05-06T15:31:23Z</dcterms:created>
  <dcterms:modified xsi:type="dcterms:W3CDTF">2025-05-06T15:31:23Z</dcterms:modified>
</cp:coreProperties>
</file>