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ind w:left="3680" w:right="2560" w:hanging="3672"/>
        <w:spacing w:after="0" w:line="437" w:lineRule="auto"/>
        <w:tabs>
          <w:tab w:leader="none" w:pos="3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2024</w:t>
      </w:r>
    </w:p>
    <w:p>
      <w:pPr>
        <w:spacing w:after="0" w:line="221" w:lineRule="exact"/>
        <w:rPr>
          <w:sz w:val="24"/>
          <w:szCs w:val="24"/>
          <w:color w:val="auto"/>
        </w:rPr>
      </w:pPr>
    </w:p>
    <w:p>
      <w:pPr>
        <w:ind w:left="3620" w:right="2560" w:hanging="3612"/>
        <w:spacing w:after="0" w:line="387" w:lineRule="auto"/>
        <w:tabs>
          <w:tab w:leader="none" w:pos="3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217805</wp:posOffset>
            </wp:positionV>
            <wp:extent cx="240855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855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403"/>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50"/>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6600 Dumbarton Circle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Fremont, California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94555</w:t>
            </w:r>
          </w:p>
        </w:tc>
        <w:tc>
          <w:tcPr>
            <w:tcW w:w="0" w:type="dxa"/>
            <w:vAlign w:val="bottom"/>
          </w:tcPr>
          <w:p>
            <w:pPr>
              <w:spacing w:after="0"/>
              <w:rPr>
                <w:sz w:val="1"/>
                <w:szCs w:val="1"/>
                <w:color w:val="auto"/>
              </w:rPr>
            </w:pPr>
          </w:p>
        </w:tc>
      </w:tr>
      <w:tr>
        <w:trPr>
          <w:trHeight w:val="190"/>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70"/>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35"/>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40" w:type="dxa"/>
            <w:vAlign w:val="bottom"/>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Symbol(s)</w:t>
            </w:r>
          </w:p>
        </w:tc>
        <w:tc>
          <w:tcPr>
            <w:tcW w:w="3940" w:type="dxa"/>
            <w:vAlign w:val="bottom"/>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4140" w:type="dxa"/>
            <w:vAlign w:val="bottom"/>
            <w:tcBorders>
              <w:top w:val="single" w:sz="8" w:color="auto"/>
            </w:tcBorders>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PSNL</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jc w:val="both"/>
        <w:ind w:right="4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p>
      <w:pPr>
        <w:ind w:left="20"/>
        <w:spacing w:after="0" w:line="161" w:lineRule="exact"/>
        <w:tabs>
          <w:tab w:leader="none" w:pos="1820" w:val="left"/>
          <w:tab w:leader="none" w:pos="2260" w:val="left"/>
          <w:tab w:leader="none" w:pos="3640" w:val="left"/>
          <w:tab w:leader="none" w:pos="4100" w:val="left"/>
          <w:tab w:leader="none" w:pos="5780" w:val="left"/>
          <w:tab w:leader="none" w:pos="6220" w:val="left"/>
          <w:tab w:leader="none" w:pos="8340" w:val="left"/>
          <w:tab w:leader="none" w:pos="8920" w:val="left"/>
          <w:tab w:leader="none" w:pos="11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62"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October 30, 2024 was 70,648,084.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gridSpan w:val="8"/>
          </w:tcPr>
          <w:p>
            <w:pPr>
              <w:jc w:val="center"/>
              <w:ind w:right="3860"/>
              <w:spacing w:after="0"/>
              <w:rPr>
                <w:sz w:val="20"/>
                <w:szCs w:val="20"/>
                <w:color w:val="auto"/>
              </w:rPr>
            </w:pPr>
            <w:r>
              <w:rPr>
                <w:rFonts w:ascii="Arial" w:cs="Arial" w:eastAsia="Arial" w:hAnsi="Arial"/>
                <w:sz w:val="16"/>
                <w:szCs w:val="16"/>
                <w:b w:val="1"/>
                <w:bCs w:val="1"/>
                <w:color w:val="auto"/>
              </w:rPr>
              <w:t>PERSONALIS, INC.</w:t>
            </w:r>
          </w:p>
        </w:tc>
        <w:tc>
          <w:tcPr>
            <w:tcW w:w="940" w:type="dxa"/>
            <w:vAlign w:val="bottom"/>
          </w:tcPr>
          <w:p>
            <w:pPr>
              <w:spacing w:after="0"/>
              <w:rPr>
                <w:sz w:val="19"/>
                <w:szCs w:val="19"/>
                <w:color w:val="auto"/>
              </w:rPr>
            </w:pPr>
          </w:p>
        </w:tc>
      </w:tr>
      <w:tr>
        <w:trPr>
          <w:trHeight w:val="344"/>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6"/>
          </w:tcPr>
          <w:p>
            <w:pPr>
              <w:jc w:val="center"/>
              <w:ind w:right="4280"/>
              <w:spacing w:after="0"/>
              <w:rPr>
                <w:sz w:val="20"/>
                <w:szCs w:val="20"/>
                <w:color w:val="auto"/>
              </w:rPr>
            </w:pPr>
            <w:r>
              <w:rPr>
                <w:rFonts w:ascii="Arial" w:cs="Arial" w:eastAsia="Arial" w:hAnsi="Arial"/>
                <w:sz w:val="16"/>
                <w:szCs w:val="16"/>
                <w:b w:val="1"/>
                <w:bCs w:val="1"/>
                <w:color w:val="auto"/>
                <w:w w:val="99"/>
              </w:rPr>
              <w:t>Form 10-Q</w:t>
            </w:r>
          </w:p>
        </w:tc>
        <w:tc>
          <w:tcPr>
            <w:tcW w:w="940" w:type="dxa"/>
            <w:vAlign w:val="bottom"/>
          </w:tcPr>
          <w:p>
            <w:pPr>
              <w:spacing w:after="0"/>
              <w:rPr>
                <w:sz w:val="24"/>
                <w:szCs w:val="24"/>
                <w:color w:val="auto"/>
              </w:rPr>
            </w:pPr>
          </w:p>
        </w:tc>
      </w:tr>
      <w:tr>
        <w:trPr>
          <w:trHeight w:val="223"/>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00" w:type="dxa"/>
            <w:vAlign w:val="bottom"/>
            <w:gridSpan w:val="16"/>
          </w:tcPr>
          <w:p>
            <w:pPr>
              <w:jc w:val="center"/>
              <w:ind w:right="2260"/>
              <w:spacing w:after="0"/>
              <w:rPr>
                <w:sz w:val="20"/>
                <w:szCs w:val="20"/>
                <w:color w:val="auto"/>
              </w:rPr>
            </w:pPr>
            <w:r>
              <w:rPr>
                <w:rFonts w:ascii="Arial" w:cs="Arial" w:eastAsia="Arial" w:hAnsi="Arial"/>
                <w:sz w:val="16"/>
                <w:szCs w:val="16"/>
                <w:b w:val="1"/>
                <w:bCs w:val="1"/>
                <w:color w:val="auto"/>
              </w:rPr>
              <w:t>For the Quarterly Period Ended September 30, 2024</w:t>
            </w:r>
          </w:p>
        </w:tc>
        <w:tc>
          <w:tcPr>
            <w:tcW w:w="940" w:type="dxa"/>
            <w:vAlign w:val="bottom"/>
          </w:tcPr>
          <w:p>
            <w:pPr>
              <w:spacing w:after="0"/>
              <w:rPr>
                <w:sz w:val="19"/>
                <w:szCs w:val="19"/>
                <w:color w:val="auto"/>
              </w:rPr>
            </w:pPr>
          </w:p>
        </w:tc>
      </w:tr>
      <w:tr>
        <w:trPr>
          <w:trHeight w:val="378"/>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9"/>
          </w:tcPr>
          <w:p>
            <w:pPr>
              <w:jc w:val="center"/>
              <w:ind w:right="3720"/>
              <w:spacing w:after="0"/>
              <w:rPr>
                <w:sz w:val="20"/>
                <w:szCs w:val="20"/>
                <w:color w:val="auto"/>
              </w:rPr>
            </w:pPr>
            <w:r>
              <w:rPr>
                <w:rFonts w:ascii="Arial" w:cs="Arial" w:eastAsia="Arial" w:hAnsi="Arial"/>
                <w:sz w:val="16"/>
                <w:szCs w:val="16"/>
                <w:b w:val="1"/>
                <w:bCs w:val="1"/>
                <w:color w:val="auto"/>
              </w:rPr>
              <w:t>TABLE OF CONTENTS</w:t>
            </w:r>
          </w:p>
        </w:tc>
        <w:tc>
          <w:tcPr>
            <w:tcW w:w="940" w:type="dxa"/>
            <w:vAlign w:val="bottom"/>
          </w:tcPr>
          <w:p>
            <w:pPr>
              <w:spacing w:after="0"/>
              <w:rPr>
                <w:sz w:val="24"/>
                <w:szCs w:val="24"/>
                <w:color w:val="auto"/>
              </w:rPr>
            </w:pPr>
          </w:p>
        </w:tc>
      </w:tr>
      <w:tr>
        <w:trPr>
          <w:trHeight w:val="372"/>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Page</w:t>
            </w:r>
          </w:p>
        </w:tc>
      </w:tr>
      <w:tr>
        <w:trPr>
          <w:trHeight w:val="176"/>
        </w:trPr>
        <w:tc>
          <w:tcPr>
            <w:tcW w:w="1420" w:type="dxa"/>
            <w:vAlign w:val="bottom"/>
            <w:shd w:val="clear" w:color="auto" w:fill="CFF0FC"/>
          </w:tcPr>
          <w:p>
            <w:pPr>
              <w:spacing w:after="0"/>
              <w:rPr>
                <w:sz w:val="15"/>
                <w:szCs w:val="15"/>
                <w:color w:val="auto"/>
              </w:rPr>
            </w:pPr>
          </w:p>
        </w:tc>
        <w:tc>
          <w:tcPr>
            <w:tcW w:w="8880" w:type="dxa"/>
            <w:vAlign w:val="bottom"/>
            <w:gridSpan w:val="26"/>
            <w:shd w:val="clear" w:color="auto" w:fill="CFF0FC"/>
          </w:tcPr>
          <w:p>
            <w:pPr>
              <w:spacing w:after="0" w:line="155" w:lineRule="exact"/>
              <w:rPr>
                <w:sz w:val="20"/>
                <w:szCs w:val="20"/>
                <w:color w:val="auto"/>
              </w:rPr>
            </w:pPr>
            <w:r>
              <w:rPr>
                <w:rFonts w:ascii="Arial" w:cs="Arial" w:eastAsia="Arial" w:hAnsi="Arial"/>
                <w:sz w:val="16"/>
                <w:szCs w:val="16"/>
                <w:color w:val="0000FF"/>
              </w:rPr>
              <w:t>Note Regarding Forward-Looking Statements</w:t>
            </w:r>
          </w:p>
        </w:tc>
        <w:tc>
          <w:tcPr>
            <w:tcW w:w="94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rPr>
              <w:t>3</w:t>
            </w:r>
          </w:p>
        </w:tc>
      </w:tr>
      <w:tr>
        <w:trPr>
          <w:trHeight w:val="203"/>
        </w:trPr>
        <w:tc>
          <w:tcPr>
            <w:tcW w:w="1420" w:type="dxa"/>
            <w:vAlign w:val="bottom"/>
            <w:tcBorders>
              <w:top w:val="single" w:sz="8" w:color="CFF0FC"/>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r>
      <w:tr>
        <w:trPr>
          <w:trHeight w:val="183"/>
        </w:trPr>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820" w:type="dxa"/>
            <w:vAlign w:val="bottom"/>
            <w:tcBorders>
              <w:bottom w:val="single" w:sz="8" w:color="0000FF"/>
            </w:tcBorders>
            <w:gridSpan w:val="11"/>
            <w:shd w:val="clear" w:color="auto" w:fill="CFF0FC"/>
          </w:tcPr>
          <w:p>
            <w:pPr>
              <w:jc w:val="center"/>
              <w:spacing w:after="0" w:line="162" w:lineRule="exact"/>
              <w:rPr>
                <w:sz w:val="20"/>
                <w:szCs w:val="20"/>
                <w:color w:val="auto"/>
              </w:rPr>
            </w:pPr>
            <w:r>
              <w:rPr>
                <w:rFonts w:ascii="Arial" w:cs="Arial" w:eastAsia="Arial" w:hAnsi="Arial"/>
                <w:sz w:val="16"/>
                <w:szCs w:val="16"/>
                <w:b w:val="1"/>
                <w:bCs w:val="1"/>
                <w:color w:val="0000FF"/>
              </w:rPr>
              <w:t>PART I — FINANCIAL INFORMATION</w:t>
            </w:r>
          </w:p>
        </w:tc>
        <w:tc>
          <w:tcPr>
            <w:tcW w:w="3260" w:type="dxa"/>
            <w:vAlign w:val="bottom"/>
            <w:tcBorders>
              <w:bottom w:val="single" w:sz="8" w:color="CFF0FC"/>
            </w:tcBorders>
            <w:gridSpan w:val="2"/>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1.</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Financial Statements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4</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40" w:type="dxa"/>
            <w:vAlign w:val="bottom"/>
            <w:gridSpan w:val="25"/>
            <w:shd w:val="clear" w:color="auto" w:fill="CFF0FC"/>
          </w:tcPr>
          <w:p>
            <w:pPr>
              <w:spacing w:after="0" w:line="162" w:lineRule="exact"/>
              <w:rPr>
                <w:sz w:val="20"/>
                <w:szCs w:val="20"/>
                <w:color w:val="auto"/>
              </w:rPr>
            </w:pPr>
            <w:r>
              <w:rPr>
                <w:rFonts w:ascii="Arial" w:cs="Arial" w:eastAsia="Arial" w:hAnsi="Arial"/>
                <w:sz w:val="16"/>
                <w:szCs w:val="16"/>
                <w:color w:val="0000FF"/>
              </w:rPr>
              <w:t>Consolidated Balance Sheets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4</w:t>
            </w:r>
          </w:p>
        </w:tc>
      </w:tr>
      <w:tr>
        <w:trPr>
          <w:trHeight w:val="21"/>
        </w:trPr>
        <w:tc>
          <w:tcPr>
            <w:tcW w:w="1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40" w:type="dxa"/>
            <w:vAlign w:val="bottom"/>
            <w:gridSpan w:val="25"/>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5</w:t>
            </w: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560" w:type="dxa"/>
            <w:vAlign w:val="bottom"/>
            <w:tcBorders>
              <w:bottom w:val="single" w:sz="8" w:color="0000FF"/>
            </w:tcBorders>
            <w:gridSpan w:val="19"/>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5080" w:type="dxa"/>
            <w:vAlign w:val="bottom"/>
            <w:tcBorders>
              <w:bottom w:val="single" w:sz="8" w:color="CFF0FC"/>
            </w:tcBorders>
            <w:gridSpan w:val="6"/>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6</w:t>
            </w: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40" w:type="dxa"/>
            <w:vAlign w:val="bottom"/>
            <w:gridSpan w:val="25"/>
          </w:tcPr>
          <w:p>
            <w:pPr>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w:t>
            </w: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80" w:type="dxa"/>
            <w:vAlign w:val="bottom"/>
            <w:tcBorders>
              <w:bottom w:val="single" w:sz="8" w:color="0000FF"/>
            </w:tcBorders>
            <w:gridSpan w:val="15"/>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5760" w:type="dxa"/>
            <w:vAlign w:val="bottom"/>
            <w:tcBorders>
              <w:bottom w:val="single" w:sz="8" w:color="CFF0FC"/>
            </w:tcBorders>
            <w:gridSpan w:val="10"/>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9</w:t>
            </w: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40" w:type="dxa"/>
            <w:vAlign w:val="bottom"/>
            <w:gridSpan w:val="25"/>
          </w:tcPr>
          <w:p>
            <w:pPr>
              <w:spacing w:after="0" w:line="162" w:lineRule="exact"/>
              <w:rPr>
                <w:sz w:val="20"/>
                <w:szCs w:val="20"/>
                <w:color w:val="auto"/>
              </w:rPr>
            </w:pPr>
            <w:r>
              <w:rPr>
                <w:rFonts w:ascii="Arial" w:cs="Arial" w:eastAsia="Arial" w:hAnsi="Arial"/>
                <w:sz w:val="16"/>
                <w:szCs w:val="16"/>
                <w:color w:val="0000FF"/>
              </w:rPr>
              <w:t>Index to Notes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10</w:t>
            </w:r>
          </w:p>
        </w:tc>
      </w:tr>
      <w:tr>
        <w:trPr>
          <w:trHeight w:val="21"/>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3160" w:type="dxa"/>
            <w:vAlign w:val="bottom"/>
            <w:tcBorders>
              <w:bottom w:val="single" w:sz="8" w:color="0000FF"/>
            </w:tcBorders>
            <w:gridSpan w:val="17"/>
            <w:shd w:val="clear" w:color="auto" w:fill="CFF0FC"/>
          </w:tcPr>
          <w:p>
            <w:pPr>
              <w:spacing w:after="0" w:line="162" w:lineRule="exact"/>
              <w:rPr>
                <w:sz w:val="20"/>
                <w:szCs w:val="20"/>
                <w:color w:val="auto"/>
              </w:rPr>
            </w:pPr>
            <w:r>
              <w:rPr>
                <w:rFonts w:ascii="Arial" w:cs="Arial" w:eastAsia="Arial" w:hAnsi="Arial"/>
                <w:sz w:val="16"/>
                <w:szCs w:val="16"/>
                <w:color w:val="0000FF"/>
              </w:rPr>
              <w:t>Notes to Consolidated Financial Statements</w:t>
            </w:r>
          </w:p>
        </w:tc>
        <w:tc>
          <w:tcPr>
            <w:tcW w:w="5480" w:type="dxa"/>
            <w:vAlign w:val="bottom"/>
            <w:tcBorders>
              <w:bottom w:val="single" w:sz="8" w:color="CFF0FC"/>
            </w:tcBorders>
            <w:gridSpan w:val="8"/>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11</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2.</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22</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FF"/>
            </w:tcBorders>
            <w:gridSpan w:val="21"/>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4640" w:type="dxa"/>
            <w:vAlign w:val="bottom"/>
            <w:tcBorders>
              <w:bottom w:val="single" w:sz="8" w:color="CFF0FC"/>
            </w:tcBorders>
            <w:gridSpan w:val="5"/>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30</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4.</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Controls and Procedures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30</w:t>
            </w:r>
          </w:p>
        </w:tc>
      </w:tr>
      <w:tr>
        <w:trPr>
          <w:trHeight w:val="21"/>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2"/>
        </w:trPr>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62"/>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80" w:type="dxa"/>
            <w:vAlign w:val="bottom"/>
            <w:gridSpan w:val="13"/>
          </w:tcPr>
          <w:p>
            <w:pPr>
              <w:jc w:val="center"/>
              <w:ind w:right="3280"/>
              <w:spacing w:after="0" w:line="162" w:lineRule="exact"/>
              <w:rPr>
                <w:sz w:val="20"/>
                <w:szCs w:val="20"/>
                <w:color w:val="auto"/>
              </w:rPr>
            </w:pPr>
            <w:r>
              <w:rPr>
                <w:rFonts w:ascii="Arial" w:cs="Arial" w:eastAsia="Arial" w:hAnsi="Arial"/>
                <w:sz w:val="16"/>
                <w:szCs w:val="16"/>
                <w:b w:val="1"/>
                <w:bCs w:val="1"/>
                <w:color w:val="0000FF"/>
              </w:rPr>
              <w:t>PART II — OTHER INFORMATION</w:t>
            </w:r>
          </w:p>
        </w:tc>
        <w:tc>
          <w:tcPr>
            <w:tcW w:w="94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7"/>
            <w:shd w:val="clear" w:color="auto" w:fill="CFF0FC"/>
          </w:tcPr>
          <w:p>
            <w:pPr>
              <w:spacing w:after="0" w:line="162" w:lineRule="exact"/>
              <w:rPr>
                <w:sz w:val="20"/>
                <w:szCs w:val="20"/>
                <w:color w:val="auto"/>
              </w:rPr>
            </w:pPr>
            <w:r>
              <w:rPr>
                <w:rFonts w:ascii="Arial" w:cs="Arial" w:eastAsia="Arial" w:hAnsi="Arial"/>
                <w:sz w:val="16"/>
                <w:szCs w:val="16"/>
                <w:color w:val="0000FF"/>
                <w:w w:val="99"/>
              </w:rPr>
              <w:t>Legal Proceedings</w:t>
            </w:r>
          </w:p>
        </w:tc>
        <w:tc>
          <w:tcPr>
            <w:tcW w:w="7540" w:type="dxa"/>
            <w:vAlign w:val="bottom"/>
            <w:tcBorders>
              <w:bottom w:val="single" w:sz="8" w:color="CFF0FC"/>
            </w:tcBorders>
            <w:gridSpan w:val="19"/>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31</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1A.</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Risk Factors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31</w:t>
            </w:r>
          </w:p>
        </w:tc>
      </w:tr>
      <w:tr>
        <w:trPr>
          <w:trHeight w:val="20"/>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22"/>
            <w:shd w:val="clear" w:color="auto" w:fill="CFF0FC"/>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4520" w:type="dxa"/>
            <w:vAlign w:val="bottom"/>
            <w:tcBorders>
              <w:bottom w:val="single" w:sz="8" w:color="CFF0FC"/>
            </w:tcBorders>
            <w:gridSpan w:val="4"/>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162"/>
        </w:trPr>
        <w:tc>
          <w:tcPr>
            <w:tcW w:w="1420" w:type="dxa"/>
            <w:vAlign w:val="bottom"/>
          </w:tcPr>
          <w:p>
            <w:pPr>
              <w:ind w:left="20"/>
              <w:spacing w:after="0" w:line="162" w:lineRule="exact"/>
              <w:rPr>
                <w:sz w:val="20"/>
                <w:szCs w:val="20"/>
                <w:color w:val="auto"/>
              </w:rPr>
            </w:pPr>
            <w:r>
              <w:rPr>
                <w:rFonts w:ascii="Arial" w:cs="Arial" w:eastAsia="Arial" w:hAnsi="Arial"/>
                <w:sz w:val="16"/>
                <w:szCs w:val="16"/>
                <w:color w:val="auto"/>
              </w:rPr>
              <w:t>Item 3.</w:t>
            </w: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Defaults Upon Senior Securities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20"/>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888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162"/>
        </w:trPr>
        <w:tc>
          <w:tcPr>
            <w:tcW w:w="142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5.</w:t>
            </w:r>
          </w:p>
        </w:tc>
        <w:tc>
          <w:tcPr>
            <w:tcW w:w="1720" w:type="dxa"/>
            <w:vAlign w:val="bottom"/>
            <w:tcBorders>
              <w:top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Other Information</w:t>
            </w:r>
          </w:p>
        </w:tc>
        <w:tc>
          <w:tcPr>
            <w:tcW w:w="7160" w:type="dxa"/>
            <w:vAlign w:val="bottom"/>
            <w:tcBorders>
              <w:top w:val="single" w:sz="8" w:color="CFF0FC"/>
            </w:tcBorders>
            <w:gridSpan w:val="17"/>
          </w:tcPr>
          <w:p>
            <w:pPr>
              <w:spacing w:after="0"/>
              <w:rPr>
                <w:sz w:val="14"/>
                <w:szCs w:val="14"/>
                <w:color w:val="auto"/>
              </w:rPr>
            </w:pPr>
          </w:p>
        </w:tc>
        <w:tc>
          <w:tcPr>
            <w:tcW w:w="94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20"/>
        </w:trPr>
        <w:tc>
          <w:tcPr>
            <w:tcW w:w="14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560" w:type="dxa"/>
            <w:vAlign w:val="bottom"/>
            <w:tcBorders>
              <w:bottom w:val="single" w:sz="8" w:color="0000FF"/>
            </w:tcBorders>
            <w:gridSpan w:val="2"/>
            <w:shd w:val="clear" w:color="auto" w:fill="CFF0FC"/>
          </w:tcPr>
          <w:p>
            <w:pPr>
              <w:spacing w:after="0" w:line="162" w:lineRule="exact"/>
              <w:rPr>
                <w:sz w:val="20"/>
                <w:szCs w:val="20"/>
                <w:color w:val="auto"/>
              </w:rPr>
            </w:pPr>
            <w:r>
              <w:rPr>
                <w:rFonts w:ascii="Arial" w:cs="Arial" w:eastAsia="Arial" w:hAnsi="Arial"/>
                <w:sz w:val="16"/>
                <w:szCs w:val="16"/>
                <w:color w:val="0000FF"/>
                <w:w w:val="96"/>
              </w:rPr>
              <w:t>Exhibits</w:t>
            </w:r>
          </w:p>
        </w:tc>
        <w:tc>
          <w:tcPr>
            <w:tcW w:w="8320" w:type="dxa"/>
            <w:vAlign w:val="bottom"/>
            <w:tcBorders>
              <w:bottom w:val="single" w:sz="8" w:color="CFF0FC"/>
            </w:tcBorders>
            <w:gridSpan w:val="24"/>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162"/>
        </w:trPr>
        <w:tc>
          <w:tcPr>
            <w:tcW w:w="1420" w:type="dxa"/>
            <w:vAlign w:val="bottom"/>
          </w:tcPr>
          <w:p>
            <w:pPr>
              <w:spacing w:after="0"/>
              <w:rPr>
                <w:sz w:val="14"/>
                <w:szCs w:val="14"/>
                <w:color w:val="auto"/>
              </w:rPr>
            </w:pPr>
          </w:p>
        </w:tc>
        <w:tc>
          <w:tcPr>
            <w:tcW w:w="8880" w:type="dxa"/>
            <w:vAlign w:val="bottom"/>
            <w:gridSpan w:val="26"/>
          </w:tcPr>
          <w:p>
            <w:pPr>
              <w:spacing w:after="0" w:line="162" w:lineRule="exact"/>
              <w:rPr>
                <w:sz w:val="20"/>
                <w:szCs w:val="20"/>
                <w:color w:val="auto"/>
              </w:rPr>
            </w:pPr>
            <w:r>
              <w:rPr>
                <w:rFonts w:ascii="Arial" w:cs="Arial" w:eastAsia="Arial" w:hAnsi="Arial"/>
                <w:sz w:val="16"/>
                <w:szCs w:val="16"/>
                <w:color w:val="0000FF"/>
              </w:rPr>
              <w:t>Signatures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74</w:t>
            </w:r>
          </w:p>
        </w:tc>
      </w:tr>
      <w:tr>
        <w:trPr>
          <w:trHeight w:val="653"/>
        </w:trPr>
        <w:tc>
          <w:tcPr>
            <w:tcW w:w="14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600" w:type="dxa"/>
            <w:vAlign w:val="bottom"/>
            <w:gridSpan w:val="19"/>
          </w:tcPr>
          <w:p>
            <w:pPr>
              <w:jc w:val="center"/>
              <w:ind w:left="3199"/>
              <w:spacing w:after="0"/>
              <w:rPr>
                <w:sz w:val="20"/>
                <w:szCs w:val="20"/>
                <w:color w:val="auto"/>
              </w:rPr>
            </w:pPr>
            <w:r>
              <w:rPr>
                <w:rFonts w:ascii="Arial" w:cs="Arial" w:eastAsia="Arial" w:hAnsi="Arial"/>
                <w:sz w:val="16"/>
                <w:szCs w:val="16"/>
                <w:color w:val="auto"/>
                <w:w w:val="89"/>
              </w:rPr>
              <w:t>2</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51"/>
        </w:trPr>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155"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9"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reimbursement and reimbursement rulings;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and compete in new markets;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our collaboration agreements and key opinion leaders may have on the broader use of our products in the future;</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benefits of and activities to be performed under our Commercialization and Reference Laboratory Agreement with Tempus AI, Inc.;</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financing when needed;</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sales, marketing and commercialization plans and strategies;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strategies, including our aim to focus on certain indications and the timing thereof;</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benefit from the scaling of our infrastructure and facility in Fremont;</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in defending and enforcing our intellectual property rights, including patents;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effects of government regulation;</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hire and retain key personnel;</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our reductions in force on our operations and operating results;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future business with the U.S. Department of Veterans Affairs' Million Veteran Program ("VA MVP"), Natera, Inc., Moderna, Inc., and other collaboration partners and customers; and</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proper and effective internal controls.</w:t>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1" w:lineRule="exact"/>
        <w:rPr>
          <w:sz w:val="20"/>
          <w:szCs w:val="20"/>
          <w:color w:val="auto"/>
        </w:rPr>
      </w:pPr>
    </w:p>
    <w:p>
      <w:pPr>
        <w:jc w:val="both"/>
        <w:ind w:right="20" w:firstLine="749"/>
        <w:spacing w:after="0" w:line="283"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 and our subsidiary, Personalis (UK) Ltd.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2023</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75,800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56,984</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67,851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57,195</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17,730</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Inventory and other deferred costs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8,489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10,474</w:t>
            </w:r>
          </w:p>
        </w:tc>
      </w:tr>
      <w:tr>
        <w:trPr>
          <w:trHeight w:val="217"/>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4,663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4,361</w:t>
            </w:r>
          </w:p>
        </w:tc>
      </w:tr>
      <w:tr>
        <w:trPr>
          <w:trHeight w:val="209"/>
        </w:trPr>
        <w:tc>
          <w:tcPr>
            <w:tcW w:w="772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170,277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146,744</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50,231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57,366</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17,852</w:t>
            </w:r>
          </w:p>
        </w:tc>
      </w:tr>
      <w:tr>
        <w:trPr>
          <w:trHeight w:val="21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2,563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3,137</w:t>
            </w:r>
          </w:p>
        </w:tc>
      </w:tr>
      <w:tr>
        <w:trPr>
          <w:trHeight w:val="209"/>
        </w:trPr>
        <w:tc>
          <w:tcPr>
            <w:tcW w:w="772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239,887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225,099</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12,450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14,920</w:t>
            </w:r>
          </w:p>
        </w:tc>
      </w:tr>
      <w:tr>
        <w:trPr>
          <w:trHeight w:val="216"/>
        </w:trPr>
        <w:tc>
          <w:tcPr>
            <w:tcW w:w="77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20,535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23,941</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3,288</w:t>
            </w:r>
          </w:p>
        </w:tc>
      </w:tr>
      <w:tr>
        <w:trPr>
          <w:trHeight w:val="216"/>
        </w:trPr>
        <w:tc>
          <w:tcPr>
            <w:tcW w:w="7720" w:type="dxa"/>
            <w:vAlign w:val="bottom"/>
          </w:tcPr>
          <w:p>
            <w:pPr>
              <w:ind w:left="200"/>
              <w:spacing w:after="0"/>
              <w:rPr>
                <w:sz w:val="20"/>
                <w:szCs w:val="20"/>
                <w:color w:val="auto"/>
              </w:rPr>
            </w:pPr>
            <w:r>
              <w:rPr>
                <w:rFonts w:ascii="Arial" w:cs="Arial" w:eastAsia="Arial" w:hAnsi="Arial"/>
                <w:sz w:val="16"/>
                <w:szCs w:val="16"/>
                <w:color w:val="auto"/>
              </w:rPr>
              <w:t>Short-term warrant liability</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5,085</w:t>
            </w:r>
          </w:p>
        </w:tc>
      </w:tr>
      <w:tr>
        <w:trPr>
          <w:trHeight w:val="209"/>
        </w:trPr>
        <w:tc>
          <w:tcPr>
            <w:tcW w:w="77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36,413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47,234</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35,601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38,321</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warrant liability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4,942</w:t>
            </w:r>
          </w:p>
        </w:tc>
      </w:tr>
      <w:tr>
        <w:trPr>
          <w:trHeight w:val="216"/>
        </w:trPr>
        <w:tc>
          <w:tcPr>
            <w:tcW w:w="77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5,161</w:t>
            </w: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73,126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95,658</w:t>
            </w: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70,638,190 and</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50,480,694 shares issued and outstanding, respectively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700,232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598,364</w:t>
            </w: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(222 )</w:t>
            </w:r>
          </w:p>
        </w:tc>
      </w:tr>
      <w:tr>
        <w:trPr>
          <w:trHeight w:val="216"/>
        </w:trPr>
        <w:tc>
          <w:tcPr>
            <w:tcW w:w="77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(533,565 )</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(468,706 )</w:t>
            </w: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166,761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129,441</w:t>
            </w:r>
          </w:p>
        </w:tc>
      </w:tr>
      <w:tr>
        <w:trPr>
          <w:trHeight w:val="210"/>
        </w:trPr>
        <w:tc>
          <w:tcPr>
            <w:tcW w:w="7720" w:type="dxa"/>
            <w:vAlign w:val="bottom"/>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239,887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225,099</w:t>
            </w: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-3659505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-3102610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-1405255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3" w:lineRule="exact"/>
        <w:rPr>
          <w:sz w:val="20"/>
          <w:szCs w:val="20"/>
          <w:color w:val="auto"/>
        </w:rPr>
      </w:pPr>
    </w:p>
    <w:p>
      <w:pPr>
        <w:ind w:left="280" w:hanging="259"/>
        <w:spacing w:after="0"/>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related party current liabilities of $1.7 million as of September 30, 2024.</w:t>
      </w:r>
    </w:p>
    <w:p>
      <w:pPr>
        <w:spacing w:after="0" w:line="29" w:lineRule="exact"/>
        <w:rPr>
          <w:rFonts w:ascii="Arial" w:cs="Arial" w:eastAsia="Arial" w:hAnsi="Arial"/>
          <w:sz w:val="14"/>
          <w:szCs w:val="14"/>
          <w:color w:val="auto"/>
        </w:rPr>
      </w:pPr>
    </w:p>
    <w:p>
      <w:pPr>
        <w:ind w:left="280" w:hanging="259"/>
        <w:spacing w:after="0"/>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related party long-term liabilities of $0.6 million as of September 30, 2024.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25,709</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18,247</w:t>
            </w:r>
          </w:p>
        </w:tc>
        <w:tc>
          <w:tcPr>
            <w:tcW w:w="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67,814</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53,806</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16,964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14,766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45,539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40,803</w:t>
            </w:r>
          </w:p>
        </w:tc>
      </w:tr>
      <w:tr>
        <w:trPr>
          <w:trHeight w:val="215"/>
        </w:trPr>
        <w:tc>
          <w:tcPr>
            <w:tcW w:w="58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11,683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16,738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37,411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51,163</w:t>
            </w:r>
          </w:p>
        </w:tc>
      </w:tr>
      <w:tr>
        <w:trPr>
          <w:trHeight w:val="217"/>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11,444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11,971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35,019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38,202</w:t>
            </w:r>
          </w:p>
        </w:tc>
      </w:tr>
      <w:tr>
        <w:trPr>
          <w:trHeight w:val="215"/>
        </w:trPr>
        <w:tc>
          <w:tcPr>
            <w:tcW w:w="582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5,565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5,565</w:t>
            </w:r>
          </w:p>
        </w:tc>
      </w:tr>
      <w:tr>
        <w:trPr>
          <w:trHeight w:val="217"/>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4,037</w:t>
            </w:r>
          </w:p>
        </w:tc>
      </w:tr>
      <w:tr>
        <w:trPr>
          <w:trHeight w:val="210"/>
        </w:trPr>
        <w:tc>
          <w:tcPr>
            <w:tcW w:w="582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40,091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49,040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117,969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139,770</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(14,382 )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(30,793 )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(50,155 )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(85,964 )</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4,424</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(101 )</w:t>
            </w:r>
          </w:p>
        </w:tc>
      </w:tr>
      <w:tr>
        <w:trPr>
          <w:trHeight w:val="216"/>
        </w:trPr>
        <w:tc>
          <w:tcPr>
            <w:tcW w:w="5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(26,081 )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(18,544 )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(39,086 )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(29,070 )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(64,845 )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(81,634 )</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r>
      <w:tr>
        <w:trPr>
          <w:trHeight w:val="250"/>
        </w:trPr>
        <w:tc>
          <w:tcPr>
            <w:tcW w:w="5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(39,089 )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(64,859 )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r>
      <w:tr>
        <w:trPr>
          <w:trHeight w:val="196"/>
        </w:trPr>
        <w:tc>
          <w:tcPr>
            <w:tcW w:w="582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(0.64 )</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(0.60 )</w:t>
            </w:r>
          </w:p>
        </w:tc>
        <w:tc>
          <w:tcPr>
            <w:tcW w:w="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(1.19 )</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61,051,350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48,694,324</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54,708,205</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47,701,369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-1482725</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-1482725</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-1482725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-334010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-350520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-334010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-350520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-334010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3" w:lineRule="exact"/>
        <w:rPr>
          <w:sz w:val="20"/>
          <w:szCs w:val="20"/>
          <w:color w:val="auto"/>
        </w:rPr>
      </w:pPr>
    </w:p>
    <w:p>
      <w:pPr>
        <w:ind w:left="280" w:hanging="259"/>
        <w:spacing w:after="0"/>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related party other expense of $26.0 million and $18.3 million for the three and nine months ended September 30, 2024, respectively.</w:t>
      </w:r>
    </w:p>
    <w:p>
      <w:pPr>
        <w:spacing w:after="0" w:line="198" w:lineRule="exact"/>
        <w:rPr>
          <w:rFonts w:ascii="Arial" w:cs="Arial" w:eastAsia="Arial" w:hAnsi="Arial"/>
          <w:sz w:val="14"/>
          <w:szCs w:val="14"/>
          <w:color w:val="auto"/>
        </w:rPr>
      </w:pPr>
    </w:p>
    <w:p>
      <w:pPr>
        <w:ind w:left="3940"/>
        <w:spacing w:after="0"/>
        <w:rPr>
          <w:rFonts w:ascii="Arial" w:cs="Arial" w:eastAsia="Arial" w:hAnsi="Arial"/>
          <w:sz w:val="14"/>
          <w:szCs w:val="14"/>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(39,089 )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(64,859 )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foreign currency translation adjustments: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380"/>
              <w:spacing w:after="0"/>
              <w:rPr>
                <w:sz w:val="20"/>
                <w:szCs w:val="20"/>
                <w:color w:val="auto"/>
              </w:rPr>
            </w:pPr>
            <w:r>
              <w:rPr>
                <w:rFonts w:ascii="Arial" w:cs="Arial" w:eastAsia="Arial" w:hAnsi="Arial"/>
                <w:sz w:val="16"/>
                <w:szCs w:val="16"/>
                <w:color w:val="auto"/>
              </w:rPr>
              <w:t>Change during period</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189"/>
        </w:trPr>
        <w:tc>
          <w:tcPr>
            <w:tcW w:w="5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Reclassification of adjustments to net loss due to dissolution of</w:t>
            </w:r>
          </w:p>
        </w:tc>
        <w:tc>
          <w:tcPr>
            <w:tcW w:w="26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Personalis (Shanghai) Ltd</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560"/>
              <w:spacing w:after="0"/>
              <w:rPr>
                <w:sz w:val="20"/>
                <w:szCs w:val="20"/>
                <w:color w:val="auto"/>
              </w:rPr>
            </w:pPr>
            <w:r>
              <w:rPr>
                <w:rFonts w:ascii="Arial" w:cs="Arial" w:eastAsia="Arial" w:hAnsi="Arial"/>
                <w:sz w:val="16"/>
                <w:szCs w:val="16"/>
                <w:color w:val="auto"/>
              </w:rPr>
              <w:t>Net changes in foreign currency translation adjustments</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Change in unrealized gain on available-for-sale debt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(38,882 )</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(29,087 )</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(64,550 )</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(81,102 )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-453390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-453390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-453390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September 30, 2024 and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12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41"/>
              <w:spacing w:after="0"/>
              <w:rPr>
                <w:sz w:val="20"/>
                <w:szCs w:val="20"/>
                <w:color w:val="auto"/>
              </w:rPr>
            </w:pPr>
            <w:r>
              <w:rPr>
                <w:rFonts w:ascii="Arial" w:cs="Arial" w:eastAsia="Arial" w:hAnsi="Arial"/>
                <w:sz w:val="14"/>
                <w:szCs w:val="14"/>
                <w:b w:val="1"/>
                <w:bCs w:val="1"/>
                <w:color w:val="auto"/>
              </w:rPr>
              <w:t>sive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201"/>
              <w:spacing w:after="0" w:line="160"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6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53,052,84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Balance—June 30, 2024</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606,863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(494,476 )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112,272</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Exercise of Tempus Warrants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9,218,800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46,738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46,739</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 of common stock under Tempus</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Investment Agreement, net of issuance costs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3,500,000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16,605</w:t>
            </w:r>
          </w:p>
        </w:tc>
        <w:tc>
          <w:tcPr>
            <w:tcW w:w="0" w:type="dxa"/>
            <w:vAlign w:val="bottom"/>
          </w:tcPr>
          <w:p>
            <w:pPr>
              <w:spacing w:after="0"/>
              <w:rPr>
                <w:sz w:val="1"/>
                <w:szCs w:val="1"/>
                <w:color w:val="auto"/>
              </w:rPr>
            </w:pPr>
          </w:p>
        </w:tc>
      </w:tr>
      <w:tr>
        <w:trPr>
          <w:trHeight w:val="188"/>
        </w:trPr>
        <w:tc>
          <w:tcPr>
            <w:tcW w:w="4660" w:type="dxa"/>
            <w:vAlign w:val="bottom"/>
          </w:tcPr>
          <w:p>
            <w:pPr>
              <w:ind w:left="380"/>
              <w:spacing w:after="0"/>
              <w:rPr>
                <w:sz w:val="20"/>
                <w:szCs w:val="20"/>
                <w:color w:val="auto"/>
              </w:rPr>
            </w:pPr>
            <w:r>
              <w:rPr>
                <w:rFonts w:ascii="Arial" w:cs="Arial" w:eastAsia="Arial" w:hAnsi="Arial"/>
                <w:sz w:val="16"/>
                <w:szCs w:val="16"/>
                <w:color w:val="auto"/>
              </w:rPr>
              <w:t>Proceeds from sales of common stock under ATM facility,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6"/>
                <w:szCs w:val="16"/>
                <w:color w:val="auto"/>
              </w:rPr>
              <w:t>net of commissions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4,760,588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27,235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27,236</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46,471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59,484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(39,089 )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(39,089 )</w:t>
            </w:r>
          </w:p>
        </w:tc>
        <w:tc>
          <w:tcPr>
            <w:tcW w:w="0" w:type="dxa"/>
            <w:vAlign w:val="bottom"/>
          </w:tcPr>
          <w:p>
            <w:pPr>
              <w:spacing w:after="0"/>
              <w:rPr>
                <w:sz w:val="1"/>
                <w:szCs w:val="1"/>
                <w:color w:val="auto"/>
              </w:rPr>
            </w:pPr>
          </w:p>
        </w:tc>
      </w:tr>
      <w:tr>
        <w:trPr>
          <w:trHeight w:val="182"/>
        </w:trPr>
        <w:tc>
          <w:tcPr>
            <w:tcW w:w="46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70,638,19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Balance—September 30, 2024</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700,232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(533,565 )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166,761</w:t>
            </w:r>
          </w:p>
        </w:tc>
        <w:tc>
          <w:tcPr>
            <w:tcW w:w="0" w:type="dxa"/>
            <w:vAlign w:val="bottom"/>
          </w:tcPr>
          <w:p>
            <w:pPr>
              <w:spacing w:after="0"/>
              <w:rPr>
                <w:sz w:val="1"/>
                <w:szCs w:val="1"/>
                <w:color w:val="auto"/>
              </w:rPr>
            </w:pPr>
          </w:p>
        </w:tc>
      </w:tr>
      <w:tr>
        <w:trPr>
          <w:trHeight w:val="358"/>
        </w:trPr>
        <w:tc>
          <w:tcPr>
            <w:tcW w:w="46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48,507,10</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Balance—June 30, 2023</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589,418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(313 )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(413,024 )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176,086</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sales of common stock under ATM facility,</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commissions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429,214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77,168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3,482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(29,098 )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(29,098 )</w:t>
            </w:r>
          </w:p>
        </w:tc>
        <w:tc>
          <w:tcPr>
            <w:tcW w:w="0" w:type="dxa"/>
            <w:vAlign w:val="bottom"/>
          </w:tcPr>
          <w:p>
            <w:pPr>
              <w:spacing w:after="0"/>
              <w:rPr>
                <w:sz w:val="1"/>
                <w:szCs w:val="1"/>
                <w:color w:val="auto"/>
              </w:rPr>
            </w:pPr>
          </w:p>
        </w:tc>
      </w:tr>
      <w:tr>
        <w:trPr>
          <w:trHeight w:val="182"/>
        </w:trPr>
        <w:tc>
          <w:tcPr>
            <w:tcW w:w="46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49,013,48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2023</w:t>
            </w:r>
          </w:p>
        </w:tc>
        <w:tc>
          <w:tcPr>
            <w:tcW w:w="10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593,625</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(442,122 )</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151,206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-1636395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-1619885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-1636395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-1619885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-1636395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-1619885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-1636395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-1619885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-1636395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-1619885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Nine Months Ended September 30, 2024 and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6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120" w:type="dxa"/>
            <w:vAlign w:val="bottom"/>
            <w:gridSpan w:val="4"/>
            <w:vMerge w:val="restart"/>
          </w:tcPr>
          <w:p>
            <w:pPr>
              <w:jc w:val="right"/>
              <w:ind w:right="49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
              <w:spacing w:after="0"/>
              <w:rPr>
                <w:sz w:val="20"/>
                <w:szCs w:val="20"/>
                <w:color w:val="auto"/>
              </w:rPr>
            </w:pPr>
            <w:r>
              <w:rPr>
                <w:rFonts w:ascii="Arial" w:cs="Arial" w:eastAsia="Arial" w:hAnsi="Arial"/>
                <w:sz w:val="14"/>
                <w:szCs w:val="14"/>
                <w:b w:val="1"/>
                <w:bCs w:val="1"/>
                <w:color w:val="auto"/>
              </w:rPr>
              <w:t>Comprehen</w:t>
            </w:r>
          </w:p>
        </w:tc>
        <w:tc>
          <w:tcPr>
            <w:tcW w:w="1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41"/>
              <w:spacing w:after="0"/>
              <w:rPr>
                <w:sz w:val="20"/>
                <w:szCs w:val="20"/>
                <w:color w:val="auto"/>
              </w:rPr>
            </w:pPr>
            <w:r>
              <w:rPr>
                <w:rFonts w:ascii="Arial" w:cs="Arial" w:eastAsia="Arial" w:hAnsi="Arial"/>
                <w:sz w:val="14"/>
                <w:szCs w:val="14"/>
                <w:b w:val="1"/>
                <w:bCs w:val="1"/>
                <w:color w:val="auto"/>
              </w:rPr>
              <w:t>sive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200"/>
              <w:spacing w:after="0"/>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201"/>
              <w:spacing w:after="0" w:line="160"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6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0"/>
              <w:spacing w:after="0" w:line="182" w:lineRule="exact"/>
              <w:rPr>
                <w:sz w:val="20"/>
                <w:szCs w:val="20"/>
                <w:color w:val="auto"/>
              </w:rPr>
            </w:pPr>
            <w:r>
              <w:rPr>
                <w:rFonts w:ascii="Arial" w:cs="Arial" w:eastAsia="Arial" w:hAnsi="Arial"/>
                <w:sz w:val="16"/>
                <w:szCs w:val="16"/>
                <w:color w:val="auto"/>
              </w:rPr>
              <w:t>50,480,69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598,364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(468,706 )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129,441</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Exercise of Tempus Warrants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9,218,800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46,738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46,739</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 of common stock under Tempus</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Investment Agreement, net of issuance costs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3,500,000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16,605</w:t>
            </w:r>
          </w:p>
        </w:tc>
        <w:tc>
          <w:tcPr>
            <w:tcW w:w="0" w:type="dxa"/>
            <w:vAlign w:val="bottom"/>
          </w:tcPr>
          <w:p>
            <w:pPr>
              <w:spacing w:after="0"/>
              <w:rPr>
                <w:sz w:val="1"/>
                <w:szCs w:val="1"/>
                <w:color w:val="auto"/>
              </w:rPr>
            </w:pPr>
          </w:p>
        </w:tc>
      </w:tr>
      <w:tr>
        <w:trPr>
          <w:trHeight w:val="188"/>
        </w:trPr>
        <w:tc>
          <w:tcPr>
            <w:tcW w:w="4660" w:type="dxa"/>
            <w:vAlign w:val="bottom"/>
          </w:tcPr>
          <w:p>
            <w:pPr>
              <w:ind w:left="380"/>
              <w:spacing w:after="0"/>
              <w:rPr>
                <w:sz w:val="20"/>
                <w:szCs w:val="20"/>
                <w:color w:val="auto"/>
              </w:rPr>
            </w:pPr>
            <w:r>
              <w:rPr>
                <w:rFonts w:ascii="Arial" w:cs="Arial" w:eastAsia="Arial" w:hAnsi="Arial"/>
                <w:sz w:val="16"/>
                <w:szCs w:val="16"/>
                <w:color w:val="auto"/>
              </w:rPr>
              <w:t>Proceeds from sales of common stock under ATM facility,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6"/>
                <w:szCs w:val="16"/>
                <w:color w:val="auto"/>
              </w:rPr>
              <w:t>net of commissions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6,660,731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30,077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30,078</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46,471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391,415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340,079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8,017</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(64,859 )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(64,859 )</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1040" w:type="dxa"/>
            <w:vAlign w:val="bottom"/>
          </w:tcPr>
          <w:p>
            <w:pPr>
              <w:jc w:val="right"/>
              <w:ind w:right="60"/>
              <w:spacing w:after="0" w:line="182" w:lineRule="exact"/>
              <w:rPr>
                <w:sz w:val="20"/>
                <w:szCs w:val="20"/>
                <w:color w:val="auto"/>
              </w:rPr>
            </w:pPr>
            <w:r>
              <w:rPr>
                <w:rFonts w:ascii="Arial" w:cs="Arial" w:eastAsia="Arial" w:hAnsi="Arial"/>
                <w:sz w:val="16"/>
                <w:szCs w:val="16"/>
                <w:color w:val="auto"/>
              </w:rPr>
              <w:t>70,638,19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Balance—September 30, 2024</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700,232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(533,565 )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166,761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46,707,08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579,456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(360,410 )</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218,139</w:t>
            </w:r>
          </w:p>
        </w:tc>
        <w:tc>
          <w:tcPr>
            <w:tcW w:w="0" w:type="dxa"/>
            <w:vAlign w:val="bottom"/>
          </w:tcPr>
          <w:p>
            <w:pPr>
              <w:spacing w:after="0"/>
              <w:rPr>
                <w:sz w:val="1"/>
                <w:szCs w:val="1"/>
                <w:color w:val="auto"/>
              </w:rPr>
            </w:pPr>
          </w:p>
        </w:tc>
      </w:tr>
      <w:tr>
        <w:trPr>
          <w:trHeight w:val="188"/>
        </w:trPr>
        <w:tc>
          <w:tcPr>
            <w:tcW w:w="4660" w:type="dxa"/>
            <w:vAlign w:val="bottom"/>
          </w:tcPr>
          <w:p>
            <w:pPr>
              <w:ind w:left="380"/>
              <w:spacing w:after="0"/>
              <w:rPr>
                <w:sz w:val="20"/>
                <w:szCs w:val="20"/>
                <w:color w:val="auto"/>
              </w:rPr>
            </w:pPr>
            <w:r>
              <w:rPr>
                <w:rFonts w:ascii="Arial" w:cs="Arial" w:eastAsia="Arial" w:hAnsi="Arial"/>
                <w:sz w:val="16"/>
                <w:szCs w:val="16"/>
                <w:color w:val="auto"/>
              </w:rPr>
              <w:t>Proceeds from sales of common stock under ATM facility,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80"/>
              <w:spacing w:after="0"/>
              <w:rPr>
                <w:sz w:val="20"/>
                <w:szCs w:val="20"/>
                <w:color w:val="auto"/>
              </w:rPr>
            </w:pPr>
            <w:r>
              <w:rPr>
                <w:rFonts w:ascii="Arial" w:cs="Arial" w:eastAsia="Arial" w:hAnsi="Arial"/>
                <w:sz w:val="16"/>
                <w:szCs w:val="16"/>
                <w:color w:val="auto"/>
              </w:rPr>
              <w:t>net of commissions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1,329,214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468,643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508,534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10,662</w:t>
            </w: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5"/>
        </w:trPr>
        <w:tc>
          <w:tcPr>
            <w:tcW w:w="466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1040" w:type="dxa"/>
            <w:vAlign w:val="bottom"/>
          </w:tcPr>
          <w:p>
            <w:pPr>
              <w:jc w:val="right"/>
              <w:ind w:right="60"/>
              <w:spacing w:after="0" w:line="182" w:lineRule="exact"/>
              <w:rPr>
                <w:sz w:val="20"/>
                <w:szCs w:val="20"/>
                <w:color w:val="auto"/>
              </w:rPr>
            </w:pPr>
            <w:r>
              <w:rPr>
                <w:rFonts w:ascii="Arial" w:cs="Arial" w:eastAsia="Arial" w:hAnsi="Arial"/>
                <w:sz w:val="16"/>
                <w:szCs w:val="16"/>
                <w:color w:val="auto"/>
              </w:rPr>
              <w:t>49,013,48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Balance—September 30, 2023</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593,625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(442,122 )</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151,206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-2176780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-2176780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-2176780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-2176780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-2176780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-290830</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-290830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-290830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-290830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-290830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9"/>
              </w:rPr>
              <w:t>(64,859 )</w:t>
            </w:r>
          </w:p>
        </w:tc>
        <w:tc>
          <w:tcPr>
            <w:tcW w:w="5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(81,712 )</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8,017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10,662</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8,398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8,389</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Noncash operating lease cost</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2,681</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charges related to liability classified Tempus Warrants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18,274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Amortization of premium (discount) on short-term investments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(1,826 )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(1,400 )</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restructuring and other charges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Noncash lease impairment expense</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5,565</w:t>
            </w:r>
          </w:p>
        </w:tc>
      </w:tr>
      <w:tr>
        <w:trPr>
          <w:trHeight w:val="217"/>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w:t>
            </w:r>
          </w:p>
        </w:tc>
      </w:tr>
      <w:tr>
        <w:trPr>
          <w:trHeight w:val="215"/>
        </w:trPr>
        <w:tc>
          <w:tcPr>
            <w:tcW w:w="772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2,976</w:t>
            </w: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Inventory and other deferred costs</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1,979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201</w:t>
            </w: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2,080</w:t>
            </w: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(4,135 )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(749 )</w:t>
            </w: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and other current liabilities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(3,161 )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1,018</w:t>
            </w:r>
          </w:p>
        </w:tc>
      </w:tr>
      <w:tr>
        <w:trPr>
          <w:trHeight w:val="215"/>
        </w:trPr>
        <w:tc>
          <w:tcPr>
            <w:tcW w:w="7720" w:type="dxa"/>
            <w:vAlign w:val="bottom"/>
          </w:tcPr>
          <w:p>
            <w:pPr>
              <w:ind w:left="380"/>
              <w:spacing w:after="0"/>
              <w:rPr>
                <w:sz w:val="20"/>
                <w:szCs w:val="20"/>
                <w:color w:val="auto"/>
              </w:rPr>
            </w:pPr>
            <w:r>
              <w:rPr>
                <w:rFonts w:ascii="Arial" w:cs="Arial" w:eastAsia="Arial" w:hAnsi="Arial"/>
                <w:sz w:val="16"/>
                <w:szCs w:val="16"/>
                <w:color w:val="auto"/>
              </w:rPr>
              <w:t>Contract liabilities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(3,638 )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6,216</w:t>
            </w:r>
          </w:p>
        </w:tc>
      </w:tr>
      <w:tr>
        <w:trPr>
          <w:trHeight w:val="21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(2,571 )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553</w:t>
            </w:r>
          </w:p>
        </w:tc>
      </w:tr>
      <w:tr>
        <w:trPr>
          <w:trHeight w:val="216"/>
        </w:trPr>
        <w:tc>
          <w:tcPr>
            <w:tcW w:w="7720" w:type="dxa"/>
            <w:vAlign w:val="bottom"/>
          </w:tcPr>
          <w:p>
            <w:pPr>
              <w:ind w:left="380"/>
              <w:spacing w:after="0"/>
              <w:rPr>
                <w:sz w:val="20"/>
                <w:szCs w:val="20"/>
                <w:color w:val="auto"/>
              </w:rPr>
            </w:pPr>
            <w:r>
              <w:rPr>
                <w:rFonts w:ascii="Arial" w:cs="Arial" w:eastAsia="Arial" w:hAnsi="Arial"/>
                <w:sz w:val="16"/>
                <w:szCs w:val="16"/>
                <w:color w:val="auto"/>
              </w:rPr>
              <w:t>Other long-term liabilities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(37,354 )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(42,840 )</w:t>
            </w: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available-for-sale debt securities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(76,769 )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(71,831 )</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maturities of available-for-sale debt securities</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68,000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103,955</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(7,387 )</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sales of property and equipment</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(8,886 )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24,737</w:t>
            </w: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of common stock under ATM facility, net of commissions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30,079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2,598</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exercise of Tempus Warrants</w:t>
            </w:r>
          </w:p>
        </w:tc>
        <w:tc>
          <w:tcPr>
            <w:tcW w:w="9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18,438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common stock under Tempus Investment Agreement</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17,745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Payment of costs related to Tempus Investment Agreement</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(800 )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Repayments of loans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(2,292 )</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exercise of equity awards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w:t>
            </w:r>
          </w:p>
        </w:tc>
      </w:tr>
      <w:tr>
        <w:trPr>
          <w:trHeight w:val="20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65,071</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1,215</w:t>
            </w: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18,816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(16,936 )</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58,774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90,918</w:t>
            </w: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77,590</w:t>
            </w:r>
          </w:p>
        </w:tc>
        <w:tc>
          <w:tcPr>
            <w:tcW w:w="5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73,982</w:t>
            </w:r>
          </w:p>
        </w:tc>
      </w:tr>
      <w:tr>
        <w:trPr>
          <w:trHeight w:val="628"/>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9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75,800</w:t>
            </w:r>
          </w:p>
        </w:tc>
        <w:tc>
          <w:tcPr>
            <w:tcW w:w="5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72,192</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cash, cash equivalents and restricted cash</w:t>
            </w:r>
          </w:p>
        </w:tc>
        <w:tc>
          <w:tcPr>
            <w:tcW w:w="98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77,590</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73,982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-3402330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-2562225</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-1447800</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-882015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-865505</wp:posOffset>
            </wp:positionV>
            <wp:extent cx="111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FOR NOTES TO CONSOLIDATED FINANCIAL STATEMENTS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169"/>
        </w:trPr>
        <w:tc>
          <w:tcPr>
            <w:tcW w:w="100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Note 1.</w:t>
            </w:r>
          </w:p>
        </w:tc>
        <w:tc>
          <w:tcPr>
            <w:tcW w:w="3800" w:type="dxa"/>
            <w:vAlign w:val="bottom"/>
            <w:gridSpan w:val="13"/>
            <w:shd w:val="clear" w:color="auto" w:fill="CFF0FC"/>
          </w:tcPr>
          <w:p>
            <w:pPr>
              <w:ind w:left="380"/>
              <w:spacing w:after="0" w:line="169" w:lineRule="exact"/>
              <w:rPr>
                <w:sz w:val="20"/>
                <w:szCs w:val="20"/>
                <w:color w:val="auto"/>
              </w:rPr>
            </w:pPr>
            <w:r>
              <w:rPr>
                <w:rFonts w:ascii="Arial" w:cs="Arial" w:eastAsia="Arial" w:hAnsi="Arial"/>
                <w:sz w:val="16"/>
                <w:szCs w:val="16"/>
                <w:color w:val="0000FF"/>
              </w:rPr>
              <w:t>Company and Nature of Business</w:t>
            </w:r>
          </w:p>
        </w:tc>
        <w:tc>
          <w:tcPr>
            <w:tcW w:w="6440" w:type="dxa"/>
            <w:vAlign w:val="bottom"/>
            <w:gridSpan w:val="2"/>
            <w:shd w:val="clear" w:color="auto" w:fill="CFF0FC"/>
          </w:tcPr>
          <w:p>
            <w:pPr>
              <w:jc w:val="center"/>
              <w:ind w:left="5359"/>
              <w:spacing w:after="0" w:line="169" w:lineRule="exact"/>
              <w:rPr>
                <w:sz w:val="20"/>
                <w:szCs w:val="20"/>
                <w:color w:val="auto"/>
              </w:rPr>
            </w:pPr>
            <w:r>
              <w:rPr>
                <w:rFonts w:ascii="Arial" w:cs="Arial" w:eastAsia="Arial" w:hAnsi="Arial"/>
                <w:sz w:val="16"/>
                <w:szCs w:val="16"/>
                <w:color w:val="auto"/>
                <w:w w:val="89"/>
              </w:rPr>
              <w:t>11</w:t>
            </w: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2.</w:t>
            </w:r>
          </w:p>
        </w:tc>
        <w:tc>
          <w:tcPr>
            <w:tcW w:w="3800" w:type="dxa"/>
            <w:vAlign w:val="bottom"/>
            <w:gridSpan w:val="13"/>
          </w:tcPr>
          <w:p>
            <w:pPr>
              <w:ind w:left="380"/>
              <w:spacing w:after="0" w:line="175" w:lineRule="exact"/>
              <w:rPr>
                <w:sz w:val="20"/>
                <w:szCs w:val="20"/>
                <w:color w:val="auto"/>
              </w:rPr>
            </w:pPr>
            <w:r>
              <w:rPr>
                <w:rFonts w:ascii="Arial" w:cs="Arial" w:eastAsia="Arial" w:hAnsi="Arial"/>
                <w:sz w:val="16"/>
                <w:szCs w:val="16"/>
                <w:color w:val="0000FF"/>
              </w:rPr>
              <w:t>Summary of Significant Accounting Policies</w:t>
            </w:r>
          </w:p>
        </w:tc>
        <w:tc>
          <w:tcPr>
            <w:tcW w:w="6440" w:type="dxa"/>
            <w:vAlign w:val="bottom"/>
            <w:gridSpan w:val="2"/>
          </w:tcPr>
          <w:p>
            <w:pPr>
              <w:jc w:val="center"/>
              <w:ind w:left="5359"/>
              <w:spacing w:after="0" w:line="175" w:lineRule="exact"/>
              <w:rPr>
                <w:sz w:val="20"/>
                <w:szCs w:val="20"/>
                <w:color w:val="auto"/>
              </w:rPr>
            </w:pPr>
            <w:r>
              <w:rPr>
                <w:rFonts w:ascii="Arial" w:cs="Arial" w:eastAsia="Arial" w:hAnsi="Arial"/>
                <w:sz w:val="16"/>
                <w:szCs w:val="16"/>
                <w:color w:val="auto"/>
                <w:w w:val="89"/>
              </w:rPr>
              <w:t>11</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3.</w:t>
            </w:r>
          </w:p>
        </w:tc>
        <w:tc>
          <w:tcPr>
            <w:tcW w:w="3800" w:type="dxa"/>
            <w:vAlign w:val="bottom"/>
            <w:gridSpan w:val="13"/>
            <w:shd w:val="clear" w:color="auto" w:fill="CFF0FC"/>
          </w:tcPr>
          <w:p>
            <w:pPr>
              <w:ind w:left="380"/>
              <w:spacing w:after="0" w:line="175" w:lineRule="exact"/>
              <w:rPr>
                <w:sz w:val="20"/>
                <w:szCs w:val="20"/>
                <w:color w:val="auto"/>
              </w:rPr>
            </w:pPr>
            <w:r>
              <w:rPr>
                <w:rFonts w:ascii="Arial" w:cs="Arial" w:eastAsia="Arial" w:hAnsi="Arial"/>
                <w:sz w:val="16"/>
                <w:szCs w:val="16"/>
                <w:color w:val="0000FF"/>
              </w:rPr>
              <w:t>Revenue</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12</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4.</w:t>
            </w:r>
          </w:p>
        </w:tc>
        <w:tc>
          <w:tcPr>
            <w:tcW w:w="3800" w:type="dxa"/>
            <w:vAlign w:val="bottom"/>
            <w:gridSpan w:val="13"/>
          </w:tcPr>
          <w:p>
            <w:pPr>
              <w:ind w:left="380"/>
              <w:spacing w:after="0" w:line="175" w:lineRule="exact"/>
              <w:rPr>
                <w:sz w:val="20"/>
                <w:szCs w:val="20"/>
                <w:color w:val="auto"/>
              </w:rPr>
            </w:pPr>
            <w:r>
              <w:rPr>
                <w:rFonts w:ascii="Arial" w:cs="Arial" w:eastAsia="Arial" w:hAnsi="Arial"/>
                <w:sz w:val="16"/>
                <w:szCs w:val="16"/>
                <w:color w:val="0000FF"/>
              </w:rPr>
              <w:t>Balance Sheet Details</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13</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5.</w:t>
            </w:r>
          </w:p>
        </w:tc>
        <w:tc>
          <w:tcPr>
            <w:tcW w:w="3800" w:type="dxa"/>
            <w:vAlign w:val="bottom"/>
            <w:gridSpan w:val="13"/>
            <w:shd w:val="clear" w:color="auto" w:fill="CFF0FC"/>
          </w:tcPr>
          <w:p>
            <w:pPr>
              <w:ind w:left="380"/>
              <w:spacing w:after="0" w:line="175" w:lineRule="exact"/>
              <w:rPr>
                <w:sz w:val="20"/>
                <w:szCs w:val="20"/>
                <w:color w:val="auto"/>
              </w:rPr>
            </w:pPr>
            <w:r>
              <w:rPr>
                <w:rFonts w:ascii="Arial" w:cs="Arial" w:eastAsia="Arial" w:hAnsi="Arial"/>
                <w:sz w:val="16"/>
                <w:szCs w:val="16"/>
                <w:color w:val="0000FF"/>
              </w:rPr>
              <w:t>Fair Value Measurements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14</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6.</w:t>
            </w:r>
          </w:p>
        </w:tc>
        <w:tc>
          <w:tcPr>
            <w:tcW w:w="3800" w:type="dxa"/>
            <w:vAlign w:val="bottom"/>
            <w:gridSpan w:val="13"/>
          </w:tcPr>
          <w:p>
            <w:pPr>
              <w:ind w:left="380"/>
              <w:spacing w:after="0" w:line="175" w:lineRule="exact"/>
              <w:rPr>
                <w:sz w:val="20"/>
                <w:szCs w:val="20"/>
                <w:color w:val="auto"/>
              </w:rPr>
            </w:pPr>
            <w:r>
              <w:rPr>
                <w:rFonts w:ascii="Arial" w:cs="Arial" w:eastAsia="Arial" w:hAnsi="Arial"/>
                <w:sz w:val="16"/>
                <w:szCs w:val="16"/>
                <w:color w:val="0000FF"/>
              </w:rPr>
              <w:t>Loans</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15</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7.</w:t>
            </w:r>
          </w:p>
        </w:tc>
        <w:tc>
          <w:tcPr>
            <w:tcW w:w="3800" w:type="dxa"/>
            <w:vAlign w:val="bottom"/>
            <w:gridSpan w:val="13"/>
            <w:shd w:val="clear" w:color="auto" w:fill="CFF0FC"/>
          </w:tcPr>
          <w:p>
            <w:pPr>
              <w:ind w:left="380"/>
              <w:spacing w:after="0" w:line="175" w:lineRule="exact"/>
              <w:rPr>
                <w:sz w:val="20"/>
                <w:szCs w:val="20"/>
                <w:color w:val="auto"/>
              </w:rPr>
            </w:pPr>
            <w:r>
              <w:rPr>
                <w:rFonts w:ascii="Arial" w:cs="Arial" w:eastAsia="Arial" w:hAnsi="Arial"/>
                <w:sz w:val="16"/>
                <w:szCs w:val="16"/>
                <w:color w:val="0000FF"/>
              </w:rPr>
              <w:t>Leases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16</w:t>
            </w: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8.</w:t>
            </w:r>
          </w:p>
        </w:tc>
        <w:tc>
          <w:tcPr>
            <w:tcW w:w="3800" w:type="dxa"/>
            <w:vAlign w:val="bottom"/>
            <w:gridSpan w:val="13"/>
          </w:tcPr>
          <w:p>
            <w:pPr>
              <w:ind w:left="380"/>
              <w:spacing w:after="0" w:line="175" w:lineRule="exact"/>
              <w:rPr>
                <w:sz w:val="20"/>
                <w:szCs w:val="20"/>
                <w:color w:val="auto"/>
              </w:rPr>
            </w:pPr>
            <w:r>
              <w:rPr>
                <w:rFonts w:ascii="Arial" w:cs="Arial" w:eastAsia="Arial" w:hAnsi="Arial"/>
                <w:sz w:val="16"/>
                <w:szCs w:val="16"/>
                <w:color w:val="0000FF"/>
              </w:rPr>
              <w:t>Related Party Transactions</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17</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9.</w:t>
            </w:r>
          </w:p>
        </w:tc>
        <w:tc>
          <w:tcPr>
            <w:tcW w:w="3800" w:type="dxa"/>
            <w:vAlign w:val="bottom"/>
            <w:gridSpan w:val="13"/>
            <w:shd w:val="clear" w:color="auto" w:fill="CFF0FC"/>
          </w:tcPr>
          <w:p>
            <w:pPr>
              <w:ind w:left="380"/>
              <w:spacing w:after="0" w:line="175" w:lineRule="exact"/>
              <w:rPr>
                <w:sz w:val="20"/>
                <w:szCs w:val="20"/>
                <w:color w:val="auto"/>
              </w:rPr>
            </w:pPr>
            <w:r>
              <w:rPr>
                <w:rFonts w:ascii="Arial" w:cs="Arial" w:eastAsia="Arial" w:hAnsi="Arial"/>
                <w:sz w:val="16"/>
                <w:szCs w:val="16"/>
                <w:color w:val="0000FF"/>
              </w:rPr>
              <w:t>Restructuring and Other Charges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18</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10.</w:t>
            </w:r>
          </w:p>
        </w:tc>
        <w:tc>
          <w:tcPr>
            <w:tcW w:w="3800" w:type="dxa"/>
            <w:vAlign w:val="bottom"/>
            <w:gridSpan w:val="13"/>
          </w:tcPr>
          <w:p>
            <w:pPr>
              <w:ind w:left="380"/>
              <w:spacing w:after="0" w:line="175" w:lineRule="exact"/>
              <w:rPr>
                <w:sz w:val="20"/>
                <w:szCs w:val="20"/>
                <w:color w:val="auto"/>
              </w:rPr>
            </w:pPr>
            <w:r>
              <w:rPr>
                <w:rFonts w:ascii="Arial" w:cs="Arial" w:eastAsia="Arial" w:hAnsi="Arial"/>
                <w:sz w:val="16"/>
                <w:szCs w:val="16"/>
                <w:color w:val="0000FF"/>
              </w:rPr>
              <w:t>Stock-Based Compensation</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19</w:t>
            </w:r>
          </w:p>
        </w:tc>
      </w:tr>
      <w:tr>
        <w:trPr>
          <w:trHeight w:val="21"/>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Note 11.</w:t>
            </w:r>
          </w:p>
        </w:tc>
        <w:tc>
          <w:tcPr>
            <w:tcW w:w="3800" w:type="dxa"/>
            <w:vAlign w:val="bottom"/>
            <w:gridSpan w:val="13"/>
            <w:shd w:val="clear" w:color="auto" w:fill="CFF0FC"/>
          </w:tcPr>
          <w:p>
            <w:pPr>
              <w:ind w:left="380"/>
              <w:spacing w:after="0" w:line="175" w:lineRule="exact"/>
              <w:rPr>
                <w:sz w:val="20"/>
                <w:szCs w:val="20"/>
                <w:color w:val="auto"/>
              </w:rPr>
            </w:pPr>
            <w:r>
              <w:rPr>
                <w:rFonts w:ascii="Arial" w:cs="Arial" w:eastAsia="Arial" w:hAnsi="Arial"/>
                <w:sz w:val="16"/>
                <w:szCs w:val="16"/>
                <w:color w:val="0000FF"/>
              </w:rPr>
              <w:t>Contingencies</w:t>
            </w:r>
          </w:p>
        </w:tc>
        <w:tc>
          <w:tcPr>
            <w:tcW w:w="6440" w:type="dxa"/>
            <w:vAlign w:val="bottom"/>
            <w:gridSpan w:val="2"/>
            <w:shd w:val="clear" w:color="auto" w:fill="CFF0FC"/>
          </w:tcPr>
          <w:p>
            <w:pPr>
              <w:jc w:val="center"/>
              <w:ind w:left="5379"/>
              <w:spacing w:after="0" w:line="175" w:lineRule="exact"/>
              <w:rPr>
                <w:sz w:val="20"/>
                <w:szCs w:val="20"/>
                <w:color w:val="auto"/>
              </w:rPr>
            </w:pPr>
            <w:r>
              <w:rPr>
                <w:rFonts w:ascii="Arial" w:cs="Arial" w:eastAsia="Arial" w:hAnsi="Arial"/>
                <w:sz w:val="16"/>
                <w:szCs w:val="16"/>
                <w:color w:val="auto"/>
              </w:rPr>
              <w:t>21</w:t>
            </w:r>
          </w:p>
        </w:tc>
      </w:tr>
      <w:tr>
        <w:trPr>
          <w:trHeight w:val="21"/>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00" w:type="dxa"/>
            <w:vAlign w:val="bottom"/>
          </w:tcPr>
          <w:p>
            <w:pPr>
              <w:ind w:left="20"/>
              <w:spacing w:after="0" w:line="175" w:lineRule="exact"/>
              <w:rPr>
                <w:sz w:val="20"/>
                <w:szCs w:val="20"/>
                <w:color w:val="auto"/>
              </w:rPr>
            </w:pPr>
            <w:r>
              <w:rPr>
                <w:rFonts w:ascii="Arial" w:cs="Arial" w:eastAsia="Arial" w:hAnsi="Arial"/>
                <w:sz w:val="16"/>
                <w:szCs w:val="16"/>
                <w:color w:val="auto"/>
              </w:rPr>
              <w:t>Note 12.</w:t>
            </w:r>
          </w:p>
        </w:tc>
        <w:tc>
          <w:tcPr>
            <w:tcW w:w="3800" w:type="dxa"/>
            <w:vAlign w:val="bottom"/>
            <w:gridSpan w:val="13"/>
          </w:tcPr>
          <w:p>
            <w:pPr>
              <w:ind w:left="380"/>
              <w:spacing w:after="0" w:line="175" w:lineRule="exact"/>
              <w:rPr>
                <w:sz w:val="20"/>
                <w:szCs w:val="20"/>
                <w:color w:val="auto"/>
              </w:rPr>
            </w:pPr>
            <w:r>
              <w:rPr>
                <w:rFonts w:ascii="Arial" w:cs="Arial" w:eastAsia="Arial" w:hAnsi="Arial"/>
                <w:sz w:val="16"/>
                <w:szCs w:val="16"/>
                <w:color w:val="0000FF"/>
              </w:rPr>
              <w:t>Basic and Diluted Net Loss Per Common Share</w:t>
            </w:r>
          </w:p>
        </w:tc>
        <w:tc>
          <w:tcPr>
            <w:tcW w:w="6440" w:type="dxa"/>
            <w:vAlign w:val="bottom"/>
            <w:gridSpan w:val="2"/>
          </w:tcPr>
          <w:p>
            <w:pPr>
              <w:jc w:val="center"/>
              <w:ind w:left="5379"/>
              <w:spacing w:after="0" w:line="175" w:lineRule="exact"/>
              <w:rPr>
                <w:sz w:val="20"/>
                <w:szCs w:val="20"/>
                <w:color w:val="auto"/>
              </w:rPr>
            </w:pPr>
            <w:r>
              <w:rPr>
                <w:rFonts w:ascii="Arial" w:cs="Arial" w:eastAsia="Arial" w:hAnsi="Arial"/>
                <w:sz w:val="16"/>
                <w:szCs w:val="16"/>
                <w:color w:val="auto"/>
              </w:rPr>
              <w:t>21</w:t>
            </w:r>
          </w:p>
        </w:tc>
      </w:tr>
      <w:tr>
        <w:trPr>
          <w:trHeight w:val="653"/>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40" w:type="dxa"/>
            <w:vAlign w:val="bottom"/>
          </w:tcPr>
          <w:p>
            <w:pPr>
              <w:jc w:val="right"/>
              <w:ind w:right="4439"/>
              <w:spacing w:after="0"/>
              <w:rPr>
                <w:sz w:val="20"/>
                <w:szCs w:val="20"/>
                <w:color w:val="auto"/>
              </w:rPr>
            </w:pPr>
            <w:r>
              <w:rPr>
                <w:rFonts w:ascii="Arial" w:cs="Arial" w:eastAsia="Arial" w:hAnsi="Arial"/>
                <w:sz w:val="16"/>
                <w:szCs w:val="16"/>
                <w:color w:val="auto"/>
              </w:rPr>
              <w:t>10</w:t>
            </w:r>
          </w:p>
        </w:tc>
        <w:tc>
          <w:tcPr>
            <w:tcW w:w="1000" w:type="dxa"/>
            <w:vAlign w:val="bottom"/>
          </w:tcPr>
          <w:p>
            <w:pPr>
              <w:spacing w:after="0"/>
              <w:rPr>
                <w:sz w:val="24"/>
                <w:szCs w:val="24"/>
                <w:color w:val="auto"/>
              </w:rPr>
            </w:pPr>
          </w:p>
        </w:tc>
      </w:tr>
      <w:tr>
        <w:trPr>
          <w:trHeight w:val="752"/>
        </w:trPr>
        <w:tc>
          <w:tcPr>
            <w:tcW w:w="1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Personalis, Inc. (the "Company" or "Personalis") develops and markets advanced cancer genomic tests for precision oncology and personalized testing. The Company also provides sequencing and data analysis services to support population sequencing initiatives.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spacing w:after="0" w:line="15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is expanding its business model to offer genomic tests directly to cancer patients in a clinical setting. However, revenue generated from clinical customers was not significant for any periods presented.</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terminated its operations in China during 2023 and completed the process of dissolving the entity in the first quarter of 2024. Refer to Note 9 for further information. The Company operates and manages its business as one reportable operating segment, which is the sale of sequencing and data analysis services.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unaudited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note disclosures normally included in the financial statements prepared in accordance with U.S. GAAP have been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2023.</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consolidated financial statements include the accounts of Personalis, Inc. and its wholly owned subsidiaries, Personalis (UK) Ltd. and Personalis (Shanghai) Ltd (the latter entity until its dissolution during the first quarter of 2024). All intercompany balances and transactions have been eliminated in consolidation. Upon dissolution of Personalis (Shanghai) Ltd during the first quarter of 2024, an accumulated foreign currency translation adjustment of $0.2 million was reclassified from accumulated other comprehensive loss to net loss within Other income (expense), net.</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consolidated financial statements reflect all normal recurring adjustments that are necessary to present fairly the results for the interim periods presented. Interim results are not necessarily indicative of the results for the full year ending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Equity Offerings</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In December 2021, the Company entered into an At-the-Market ("ATM") Sales Agreement with BTIG, LLC (“BTIG”), as amended in December 2023 (the "Sales Agreement"), under which it may offer and sell its common stock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under the Sales Agreement. The Company is not obligated to make any sales of common stock under the Sales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During the three months ended September 30, 2024, the Company issued and sold 4,760,588 shares of its common stock under the Sales Agreement at a weighted-average price of $5.84 per share and received $27.2 million in proceeds, net of commissions. During the nine months ended September 30, 2024, the Company issued and sold 6,660,731 shares of its common stock under the Sales Agreement at a weighted-average price of $4.61 per share and received $30.1 million in proceeds, net of commissions.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55"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Accounts Receivable</w:t>
            </w:r>
          </w:p>
        </w:tc>
      </w:tr>
      <w:tr>
        <w:trPr>
          <w:trHeight w:val="160"/>
        </w:trPr>
        <w:tc>
          <w:tcPr>
            <w:tcW w:w="4200" w:type="dxa"/>
            <w:vAlign w:val="bottom"/>
          </w:tcPr>
          <w:p>
            <w:pPr>
              <w:spacing w:after="0"/>
              <w:rPr>
                <w:sz w:val="13"/>
                <w:szCs w:val="13"/>
                <w:color w:val="auto"/>
              </w:rPr>
            </w:pPr>
          </w:p>
        </w:tc>
        <w:tc>
          <w:tcPr>
            <w:tcW w:w="2640" w:type="dxa"/>
            <w:vAlign w:val="bottom"/>
            <w:gridSpan w:val="6"/>
          </w:tcPr>
          <w:p>
            <w:pPr>
              <w:jc w:val="center"/>
              <w:ind w:right="420"/>
              <w:spacing w:after="0" w:line="160" w:lineRule="exact"/>
              <w:rPr>
                <w:sz w:val="20"/>
                <w:szCs w:val="20"/>
                <w:color w:val="auto"/>
              </w:rPr>
            </w:pPr>
            <w:r>
              <w:rPr>
                <w:rFonts w:ascii="Arial" w:cs="Arial" w:eastAsia="Arial" w:hAnsi="Arial"/>
                <w:sz w:val="14"/>
                <w:szCs w:val="14"/>
                <w:b w:val="1"/>
                <w:bCs w:val="1"/>
                <w:color w:val="auto"/>
              </w:rPr>
              <w:t>Three Months Ended September</w:t>
            </w:r>
          </w:p>
        </w:tc>
        <w:tc>
          <w:tcPr>
            <w:tcW w:w="1880" w:type="dxa"/>
            <w:vAlign w:val="bottom"/>
            <w:gridSpan w:val="3"/>
          </w:tcPr>
          <w:p>
            <w:pPr>
              <w:jc w:val="center"/>
              <w:ind w:right="228"/>
              <w:spacing w:after="0" w:line="160"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3"/>
                <w:szCs w:val="13"/>
                <w:color w:val="auto"/>
              </w:rPr>
            </w:pPr>
          </w:p>
        </w:tc>
        <w:tc>
          <w:tcPr>
            <w:tcW w:w="106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00" w:type="dxa"/>
            <w:vAlign w:val="bottom"/>
          </w:tcPr>
          <w:p>
            <w:pPr>
              <w:ind w:left="120"/>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4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rPr>
              <w:t>2024</w:t>
            </w:r>
          </w:p>
        </w:tc>
        <w:tc>
          <w:tcPr>
            <w:tcW w:w="132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rPr>
              <w:t>2023</w:t>
            </w:r>
          </w:p>
        </w:tc>
      </w:tr>
      <w:tr>
        <w:trPr>
          <w:trHeight w:val="182"/>
        </w:trPr>
        <w:tc>
          <w:tcPr>
            <w:tcW w:w="42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Moderna, Inc.</w:t>
            </w:r>
          </w:p>
        </w:tc>
        <w:tc>
          <w:tcPr>
            <w:tcW w:w="86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9"/>
              </w:rPr>
              <w:t>33%</w:t>
            </w:r>
          </w:p>
        </w:tc>
        <w:tc>
          <w:tcPr>
            <w:tcW w:w="140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182"/>
              <w:spacing w:after="0"/>
              <w:rPr>
                <w:sz w:val="20"/>
                <w:szCs w:val="20"/>
                <w:color w:val="auto"/>
              </w:rPr>
            </w:pPr>
            <w:r>
              <w:rPr>
                <w:rFonts w:ascii="Arial" w:cs="Arial" w:eastAsia="Arial" w:hAnsi="Arial"/>
                <w:sz w:val="16"/>
                <w:szCs w:val="16"/>
                <w:color w:val="auto"/>
              </w:rPr>
              <w:t>28%</w:t>
            </w:r>
          </w:p>
        </w:tc>
        <w:tc>
          <w:tcPr>
            <w:tcW w:w="112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20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w w:val="99"/>
              </w:rPr>
              <w:t>20%</w:t>
            </w:r>
          </w:p>
        </w:tc>
        <w:tc>
          <w:tcPr>
            <w:tcW w:w="132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rPr>
              <w:t>*</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Natera, Inc.</w:t>
            </w:r>
          </w:p>
        </w:tc>
        <w:tc>
          <w:tcPr>
            <w:tcW w:w="860" w:type="dxa"/>
            <w:vAlign w:val="bottom"/>
          </w:tcPr>
          <w:p>
            <w:pPr>
              <w:jc w:val="center"/>
              <w:ind w:left="142"/>
              <w:spacing w:after="0"/>
              <w:rPr>
                <w:sz w:val="20"/>
                <w:szCs w:val="20"/>
                <w:color w:val="auto"/>
              </w:rPr>
            </w:pPr>
            <w:r>
              <w:rPr>
                <w:rFonts w:ascii="Arial" w:cs="Arial" w:eastAsia="Arial" w:hAnsi="Arial"/>
                <w:sz w:val="16"/>
                <w:szCs w:val="16"/>
                <w:color w:val="auto"/>
                <w:w w:val="99"/>
              </w:rPr>
              <w:t>20%</w:t>
            </w:r>
          </w:p>
        </w:tc>
        <w:tc>
          <w:tcPr>
            <w:tcW w:w="1400" w:type="dxa"/>
            <w:vAlign w:val="bottom"/>
            <w:gridSpan w:val="3"/>
          </w:tcPr>
          <w:p>
            <w:pPr>
              <w:jc w:val="center"/>
              <w:ind w:left="26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center"/>
              <w:ind w:right="182"/>
              <w:spacing w:after="0"/>
              <w:rPr>
                <w:sz w:val="20"/>
                <w:szCs w:val="20"/>
                <w:color w:val="auto"/>
              </w:rPr>
            </w:pPr>
            <w:r>
              <w:rPr>
                <w:rFonts w:ascii="Arial" w:cs="Arial" w:eastAsia="Arial" w:hAnsi="Arial"/>
                <w:sz w:val="16"/>
                <w:szCs w:val="16"/>
                <w:color w:val="auto"/>
              </w:rPr>
              <w:t>31%</w:t>
            </w: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46%</w:t>
            </w:r>
          </w:p>
        </w:tc>
        <w:tc>
          <w:tcPr>
            <w:tcW w:w="1200" w:type="dxa"/>
            <w:vAlign w:val="bottom"/>
            <w:gridSpan w:val="2"/>
          </w:tcPr>
          <w:p>
            <w:pPr>
              <w:jc w:val="center"/>
              <w:ind w:left="41"/>
              <w:spacing w:after="0"/>
              <w:rPr>
                <w:sz w:val="20"/>
                <w:szCs w:val="20"/>
                <w:color w:val="auto"/>
              </w:rPr>
            </w:pPr>
            <w:r>
              <w:rPr>
                <w:rFonts w:ascii="Arial" w:cs="Arial" w:eastAsia="Arial" w:hAnsi="Arial"/>
                <w:sz w:val="16"/>
                <w:szCs w:val="16"/>
                <w:color w:val="auto"/>
                <w:w w:val="99"/>
              </w:rPr>
              <w:t>20%</w:t>
            </w:r>
          </w:p>
        </w:tc>
        <w:tc>
          <w:tcPr>
            <w:tcW w:w="1320" w:type="dxa"/>
            <w:vAlign w:val="bottom"/>
            <w:gridSpan w:val="2"/>
          </w:tcPr>
          <w:p>
            <w:pPr>
              <w:jc w:val="center"/>
              <w:ind w:left="41"/>
              <w:spacing w:after="0"/>
              <w:rPr>
                <w:sz w:val="20"/>
                <w:szCs w:val="20"/>
                <w:color w:val="auto"/>
              </w:rPr>
            </w:pPr>
            <w:r>
              <w:rPr>
                <w:rFonts w:ascii="Arial" w:cs="Arial" w:eastAsia="Arial" w:hAnsi="Arial"/>
                <w:sz w:val="16"/>
                <w:szCs w:val="16"/>
                <w:color w:val="auto"/>
                <w:w w:val="99"/>
              </w:rPr>
              <w:t>36%</w:t>
            </w:r>
          </w:p>
        </w:tc>
      </w:tr>
      <w:tr>
        <w:trPr>
          <w:trHeight w:val="217"/>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 MVP</w:t>
            </w:r>
          </w:p>
        </w:tc>
        <w:tc>
          <w:tcPr>
            <w:tcW w:w="860" w:type="dxa"/>
            <w:vAlign w:val="bottom"/>
            <w:shd w:val="clear" w:color="auto" w:fill="CFF0FC"/>
          </w:tcPr>
          <w:p>
            <w:pPr>
              <w:jc w:val="center"/>
              <w:ind w:left="142"/>
              <w:spacing w:after="0"/>
              <w:rPr>
                <w:sz w:val="20"/>
                <w:szCs w:val="20"/>
                <w:color w:val="auto"/>
              </w:rPr>
            </w:pPr>
            <w:r>
              <w:rPr>
                <w:rFonts w:ascii="Arial" w:cs="Arial" w:eastAsia="Arial" w:hAnsi="Arial"/>
                <w:sz w:val="16"/>
                <w:szCs w:val="16"/>
                <w:color w:val="auto"/>
                <w:w w:val="99"/>
              </w:rPr>
              <w:t>17%</w:t>
            </w:r>
          </w:p>
        </w:tc>
        <w:tc>
          <w:tcPr>
            <w:tcW w:w="140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182"/>
              <w:spacing w:after="0"/>
              <w:rPr>
                <w:sz w:val="20"/>
                <w:szCs w:val="20"/>
                <w:color w:val="auto"/>
              </w:rPr>
            </w:pPr>
            <w:r>
              <w:rPr>
                <w:rFonts w:ascii="Arial" w:cs="Arial" w:eastAsia="Arial" w:hAnsi="Arial"/>
                <w:sz w:val="16"/>
                <w:szCs w:val="16"/>
                <w:color w:val="auto"/>
                <w:w w:val="93"/>
              </w:rPr>
              <w:t>11%</w:t>
            </w:r>
          </w:p>
        </w:tc>
        <w:tc>
          <w:tcPr>
            <w:tcW w:w="11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9"/>
              </w:rPr>
              <w:t>16%</w:t>
            </w:r>
          </w:p>
        </w:tc>
        <w:tc>
          <w:tcPr>
            <w:tcW w:w="120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w w:val="99"/>
              </w:rPr>
              <w:t>11%</w:t>
            </w:r>
          </w:p>
        </w:tc>
        <w:tc>
          <w:tcPr>
            <w:tcW w:w="132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rPr>
              <w:t>*</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Merck &amp; Co., Inc.</w:t>
            </w:r>
          </w:p>
        </w:tc>
        <w:tc>
          <w:tcPr>
            <w:tcW w:w="860" w:type="dxa"/>
            <w:vAlign w:val="bottom"/>
          </w:tcPr>
          <w:p>
            <w:pPr>
              <w:jc w:val="center"/>
              <w:ind w:left="122"/>
              <w:spacing w:after="0"/>
              <w:rPr>
                <w:sz w:val="20"/>
                <w:szCs w:val="20"/>
                <w:color w:val="auto"/>
              </w:rPr>
            </w:pPr>
            <w:r>
              <w:rPr>
                <w:rFonts w:ascii="Arial" w:cs="Arial" w:eastAsia="Arial" w:hAnsi="Arial"/>
                <w:sz w:val="16"/>
                <w:szCs w:val="16"/>
                <w:color w:val="auto"/>
                <w:w w:val="95"/>
              </w:rPr>
              <w:t>*</w:t>
            </w:r>
          </w:p>
        </w:tc>
        <w:tc>
          <w:tcPr>
            <w:tcW w:w="1400" w:type="dxa"/>
            <w:vAlign w:val="bottom"/>
            <w:gridSpan w:val="3"/>
          </w:tcPr>
          <w:p>
            <w:pPr>
              <w:jc w:val="center"/>
              <w:ind w:left="26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center"/>
              <w:ind w:right="182"/>
              <w:spacing w:after="0"/>
              <w:rPr>
                <w:sz w:val="20"/>
                <w:szCs w:val="20"/>
                <w:color w:val="auto"/>
              </w:rPr>
            </w:pPr>
            <w:r>
              <w:rPr>
                <w:rFonts w:ascii="Arial" w:cs="Arial" w:eastAsia="Arial" w:hAnsi="Arial"/>
                <w:sz w:val="16"/>
                <w:szCs w:val="16"/>
                <w:color w:val="auto"/>
                <w:w w:val="95"/>
              </w:rPr>
              <w:t>*</w:t>
            </w: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w:t>
            </w:r>
          </w:p>
        </w:tc>
        <w:tc>
          <w:tcPr>
            <w:tcW w:w="1200" w:type="dxa"/>
            <w:vAlign w:val="bottom"/>
            <w:gridSpan w:val="2"/>
          </w:tcPr>
          <w:p>
            <w:pPr>
              <w:jc w:val="center"/>
              <w:ind w:left="61"/>
              <w:spacing w:after="0"/>
              <w:rPr>
                <w:sz w:val="20"/>
                <w:szCs w:val="20"/>
                <w:color w:val="auto"/>
              </w:rPr>
            </w:pPr>
            <w:r>
              <w:rPr>
                <w:rFonts w:ascii="Arial" w:cs="Arial" w:eastAsia="Arial" w:hAnsi="Arial"/>
                <w:sz w:val="16"/>
                <w:szCs w:val="16"/>
                <w:color w:val="auto"/>
                <w:w w:val="95"/>
              </w:rPr>
              <w:t>*</w:t>
            </w:r>
          </w:p>
        </w:tc>
        <w:tc>
          <w:tcPr>
            <w:tcW w:w="1320" w:type="dxa"/>
            <w:vAlign w:val="bottom"/>
            <w:gridSpan w:val="2"/>
          </w:tcPr>
          <w:p>
            <w:pPr>
              <w:jc w:val="center"/>
              <w:ind w:left="41"/>
              <w:spacing w:after="0"/>
              <w:rPr>
                <w:sz w:val="20"/>
                <w:szCs w:val="20"/>
                <w:color w:val="auto"/>
              </w:rPr>
            </w:pPr>
            <w:r>
              <w:rPr>
                <w:rFonts w:ascii="Arial" w:cs="Arial" w:eastAsia="Arial" w:hAnsi="Arial"/>
                <w:sz w:val="16"/>
                <w:szCs w:val="16"/>
                <w:color w:val="auto"/>
              </w:rPr>
              <w:t>*</w:t>
            </w:r>
          </w:p>
        </w:tc>
      </w:tr>
      <w:tr>
        <w:trPr>
          <w:trHeight w:val="217"/>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Pfizer Inc.</w:t>
            </w:r>
          </w:p>
        </w:tc>
        <w:tc>
          <w:tcPr>
            <w:tcW w:w="860" w:type="dxa"/>
            <w:vAlign w:val="bottom"/>
            <w:shd w:val="clear" w:color="auto" w:fill="CFF0FC"/>
          </w:tcPr>
          <w:p>
            <w:pPr>
              <w:jc w:val="center"/>
              <w:ind w:left="122"/>
              <w:spacing w:after="0"/>
              <w:rPr>
                <w:sz w:val="20"/>
                <w:szCs w:val="20"/>
                <w:color w:val="auto"/>
              </w:rPr>
            </w:pPr>
            <w:r>
              <w:rPr>
                <w:rFonts w:ascii="Arial" w:cs="Arial" w:eastAsia="Arial" w:hAnsi="Arial"/>
                <w:sz w:val="16"/>
                <w:szCs w:val="16"/>
                <w:color w:val="auto"/>
                <w:w w:val="95"/>
              </w:rPr>
              <w:t>*</w:t>
            </w:r>
          </w:p>
        </w:tc>
        <w:tc>
          <w:tcPr>
            <w:tcW w:w="1400" w:type="dxa"/>
            <w:vAlign w:val="bottom"/>
            <w:gridSpan w:val="3"/>
            <w:shd w:val="clear" w:color="auto" w:fill="CFF0FC"/>
          </w:tcPr>
          <w:p>
            <w:pPr>
              <w:jc w:val="center"/>
              <w:ind w:left="261"/>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182"/>
              <w:spacing w:after="0"/>
              <w:rPr>
                <w:sz w:val="20"/>
                <w:szCs w:val="20"/>
                <w:color w:val="auto"/>
              </w:rPr>
            </w:pPr>
            <w:r>
              <w:rPr>
                <w:rFonts w:ascii="Arial" w:cs="Arial" w:eastAsia="Arial" w:hAnsi="Arial"/>
                <w:sz w:val="16"/>
                <w:szCs w:val="16"/>
                <w:color w:val="auto"/>
                <w:w w:val="95"/>
              </w:rPr>
              <w:t>*</w:t>
            </w:r>
          </w:p>
        </w:tc>
        <w:tc>
          <w:tcPr>
            <w:tcW w:w="112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20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w w:val="99"/>
              </w:rPr>
              <w:t>19%</w:t>
            </w:r>
          </w:p>
        </w:tc>
        <w:tc>
          <w:tcPr>
            <w:tcW w:w="1320" w:type="dxa"/>
            <w:vAlign w:val="bottom"/>
            <w:gridSpan w:val="2"/>
            <w:shd w:val="clear" w:color="auto" w:fill="CFF0FC"/>
          </w:tcPr>
          <w:p>
            <w:pPr>
              <w:jc w:val="center"/>
              <w:ind w:left="41"/>
              <w:spacing w:after="0"/>
              <w:rPr>
                <w:sz w:val="20"/>
                <w:szCs w:val="20"/>
                <w:color w:val="auto"/>
              </w:rPr>
            </w:pPr>
            <w:r>
              <w:rPr>
                <w:rFonts w:ascii="Arial" w:cs="Arial" w:eastAsia="Arial" w:hAnsi="Arial"/>
                <w:sz w:val="16"/>
                <w:szCs w:val="16"/>
                <w:color w:val="auto"/>
              </w:rPr>
              <w:t>*</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 Less than 10% of revenue or accounts receivable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As of September 30, 2024, the Company’s significant accounting policies are consistent with those discussed in Note 2 - “Summary of Significant Accounting Policies” in its consolidated financial statements included in the Company’s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which enhances transparency about income tax information through improvements to income tax disclosures primarily related to the rate reconciliation and income taxes paid information. The guidance will be effective for the Company's annual period ending December 31, 2025. The Company is currently evaluating the impact of the new guidance on its income tax disclosures.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four customer types:</w:t>
      </w:r>
    </w:p>
    <w:p>
      <w:pPr>
        <w:spacing w:after="0" w:line="181" w:lineRule="exact"/>
        <w:rPr>
          <w:sz w:val="20"/>
          <w:szCs w:val="20"/>
          <w:color w:val="auto"/>
        </w:rPr>
      </w:pPr>
    </w:p>
    <w:p>
      <w:pPr>
        <w:jc w:val="both"/>
        <w:ind w:left="1140" w:hanging="383"/>
        <w:spacing w:after="0" w:line="266" w:lineRule="auto"/>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 Contracts typically contemplate a single project and involve a range of tests and analytics to fulfill the requirements of each particular project.</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specified tests and analytics in high volume over time. Revenue from the Company's partnership with Natera to provide advanced tumor analysis for use in Natera's molecular residual disease ("MRD") test makes up substantially all of the revenue in this category.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left="1140" w:hanging="383"/>
        <w:spacing w:after="0" w:line="266" w:lineRule="auto"/>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perform whole genome sequencing and provide data that can be used for analysis across a large volume of samples. All of the revenue within this category is from the Company's partnership with the VA MVP.</w:t>
      </w:r>
    </w:p>
    <w:p>
      <w:pPr>
        <w:spacing w:after="0" w:line="14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Other also includes sales of diagnostics tests ordered by</w:t>
      </w:r>
      <w:r>
        <w:rPr>
          <w:rFonts w:ascii="Arial" w:cs="Arial" w:eastAsia="Arial" w:hAnsi="Arial"/>
          <w:sz w:val="16"/>
          <w:szCs w:val="16"/>
          <w:b w:val="1"/>
          <w:bCs w:val="1"/>
          <w:color w:val="auto"/>
        </w:rPr>
        <w:t xml:space="preserve"> </w:t>
      </w:r>
      <w:r>
        <w:rPr>
          <w:rFonts w:ascii="Arial" w:cs="Arial" w:eastAsia="Arial" w:hAnsi="Arial"/>
          <w:sz w:val="16"/>
          <w:szCs w:val="16"/>
          <w:color w:val="auto"/>
        </w:rPr>
        <w:t>healthcare providers for cancer patients.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2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15,698</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7,997</w:t>
            </w:r>
          </w:p>
        </w:tc>
        <w:tc>
          <w:tcPr>
            <w:tcW w:w="40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38,707</w:t>
            </w: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20,413</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26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5,264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7,812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21,194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24,656</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4,431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7,211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8,405</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332</w:t>
            </w:r>
          </w:p>
        </w:tc>
      </w:tr>
      <w:tr>
        <w:trPr>
          <w:trHeight w:val="249"/>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25,709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18,247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67,814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53,806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3% and 7% of the Company’s revenue for the three months ended September 30, 2024 and 2023, respectively, and 4% and 9% for the nine months ended September 30, 2024 and 2023,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opening and closing balances of receivables and contract liabilities from contracts with customers are shown below (in thousands). Contract assets were immaterial for all periods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December 31, 2023</w:t>
            </w: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Opening balances:</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17,730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16,642</w:t>
            </w:r>
          </w:p>
        </w:tc>
      </w:tr>
      <w:tr>
        <w:trPr>
          <w:trHeight w:val="217"/>
        </w:trPr>
        <w:tc>
          <w:tcPr>
            <w:tcW w:w="7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6"/>
                <w:szCs w:val="16"/>
                <w:color w:val="auto"/>
              </w:rPr>
              <w:t>Short-term contract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3,288</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1,264</w:t>
            </w:r>
          </w:p>
        </w:tc>
      </w:tr>
      <w:tr>
        <w:trPr>
          <w:trHeight w:val="217"/>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3,928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7560" w:type="dxa"/>
            <w:vAlign w:val="bottom"/>
          </w:tcPr>
          <w:p>
            <w:pPr>
              <w:ind w:left="380"/>
              <w:spacing w:after="0"/>
              <w:rPr>
                <w:sz w:val="20"/>
                <w:szCs w:val="20"/>
                <w:color w:val="auto"/>
              </w:rPr>
            </w:pPr>
            <w:r>
              <w:rPr>
                <w:rFonts w:ascii="Arial" w:cs="Arial" w:eastAsia="Arial" w:hAnsi="Arial"/>
                <w:sz w:val="16"/>
                <w:szCs w:val="16"/>
                <w:color w:val="auto"/>
              </w:rPr>
              <w:t>Total contract liabilities</w:t>
            </w:r>
          </w:p>
        </w:tc>
        <w:tc>
          <w:tcPr>
            <w:tcW w:w="12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7,216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1,264</w:t>
            </w:r>
          </w:p>
        </w:tc>
      </w:tr>
      <w:tr>
        <w:trPr>
          <w:trHeight w:val="217"/>
        </w:trPr>
        <w:tc>
          <w:tcPr>
            <w:tcW w:w="7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Closing balances: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13,474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17,730</w:t>
            </w:r>
          </w:p>
        </w:tc>
      </w:t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contract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3,428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3,288</w:t>
            </w:r>
          </w:p>
        </w:tc>
      </w:tr>
      <w:tr>
        <w:trPr>
          <w:trHeight w:val="216"/>
        </w:trPr>
        <w:tc>
          <w:tcPr>
            <w:tcW w:w="7560" w:type="dxa"/>
            <w:vAlign w:val="bottom"/>
          </w:tcPr>
          <w:p>
            <w:pPr>
              <w:ind w:left="20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3,928</w:t>
            </w:r>
          </w:p>
        </w:tc>
      </w:tr>
      <w:tr>
        <w:trPr>
          <w:trHeight w:val="209"/>
        </w:trPr>
        <w:tc>
          <w:tcPr>
            <w:tcW w:w="75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contract liabilities</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3,578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-1113790</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Amounts collected in advance of services being provided are deferred as contract liabilities in the consolidated balance sheets. The associated revenue is recognized, and the contract liability is reduced, as the services are subsequently performed. As of September 30, 2024, amounts related to unfulfilled services under contracts with an original expected duration of more than one year was $1.9 million. The Company expects to recognize approximately $1.7 million of this amount in the next 12 months, and the remaining $0.2 million in the 12 months after that. Revenue recognized that was included in the contract liability balance at the beginning of each reporting period was $1.3 million and $4.1 million for the three and nine months ended September 30, 2024, respectively, and was immaterial and $0.5 million for the three months and nine months ended September 30, 2023,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2023</w:t>
            </w: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6,332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5,661</w:t>
            </w: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Other deferred costs</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4,813</w:t>
            </w:r>
          </w:p>
        </w:tc>
      </w:tr>
      <w:tr>
        <w:trPr>
          <w:trHeight w:val="250"/>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inventory and other deferred costs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8,489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10,474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117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117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September 30, 2024 and 2023 was $2.8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2024 and 2023 was $8.4 million. Accumulated depreciation and amortization was $44.4 million and $37.7 million as of September 30, 2024 and December 31, 2023, respectively.</w:t>
      </w:r>
    </w:p>
    <w:p>
      <w:pPr>
        <w:sectPr>
          <w:pgSz w:w="11900" w:h="16838" w:orient="portrait"/>
          <w:cols w:equalWidth="0" w:num="1">
            <w:col w:w="11240"/>
          </w:cols>
          <w:pgMar w:left="320" w:top="77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i w:val="1"/>
          <w:iCs w:val="1"/>
          <w:color w:val="auto"/>
        </w:rPr>
        <w:t xml:space="preserve">Restricted cash. </w:t>
      </w:r>
      <w:r>
        <w:rPr>
          <w:rFonts w:ascii="Arial" w:cs="Arial" w:eastAsia="Arial" w:hAnsi="Arial"/>
          <w:sz w:val="16"/>
          <w:szCs w:val="16"/>
          <w:color w:val="auto"/>
        </w:rPr>
        <w:t>The Company’s restricted cash is pledged as collateral for a standby letter of credit related to a property lease.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was $1.8 million as of September 30, 2024 and December 31, 2023, and is included in other long-term assets.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2023</w:t>
            </w: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8,161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12,816</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7,761</w:t>
            </w: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Loans—current portion (Note 6)</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1,646</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858</w:t>
            </w: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Market Development Fees received from Tempus (Note 8)</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Employee ESPP contributions</w:t>
            </w:r>
          </w:p>
        </w:tc>
        <w:tc>
          <w:tcPr>
            <w:tcW w:w="14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573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311</w:t>
            </w: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taxes</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Customer deposits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512</w:t>
            </w: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accrued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20,535</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23,941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-25400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September 30, 2024 and December 31, 2023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00"/>
              <w:spacing w:after="0" w:line="16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Fair Value</w:t>
            </w:r>
          </w:p>
        </w:tc>
      </w:tr>
      <w:tr>
        <w:trPr>
          <w:trHeight w:val="185"/>
        </w:trPr>
        <w:tc>
          <w:tcPr>
            <w:tcW w:w="51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20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1,022</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27,307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43,988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43,985</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3,486</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0"/>
        </w:trPr>
        <w:tc>
          <w:tcPr>
            <w:tcW w:w="51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75,802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75,800</w:t>
            </w: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5,917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5,923</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7"/>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59,887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59,944</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0"/>
        </w:trPr>
        <w:tc>
          <w:tcPr>
            <w:tcW w:w="5180" w:type="dxa"/>
            <w:vAlign w:val="bottom"/>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67,786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67,851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143,588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143,651</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359"/>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00"/>
              <w:spacing w:after="0" w:line="16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Fair Value</w:t>
            </w:r>
          </w:p>
        </w:tc>
      </w:tr>
      <w:tr>
        <w:trPr>
          <w:trHeight w:val="185"/>
        </w:trPr>
        <w:tc>
          <w:tcPr>
            <w:tcW w:w="51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Cash</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3,649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14,968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14,968</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1</w:t>
            </w: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34,398</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1,986</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6"/>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1,983</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0"/>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cash and 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57,001</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56,984</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15"/>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17"/>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54,720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54,724</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9"/>
        </w:trPr>
        <w:tc>
          <w:tcPr>
            <w:tcW w:w="5180" w:type="dxa"/>
            <w:vAlign w:val="bottom"/>
          </w:tcPr>
          <w:p>
            <w:pPr>
              <w:ind w:left="380"/>
              <w:spacing w:after="0"/>
              <w:rPr>
                <w:sz w:val="20"/>
                <w:szCs w:val="20"/>
                <w:color w:val="auto"/>
              </w:rPr>
            </w:pPr>
            <w:r>
              <w:rPr>
                <w:rFonts w:ascii="Arial" w:cs="Arial" w:eastAsia="Arial" w:hAnsi="Arial"/>
                <w:sz w:val="16"/>
                <w:szCs w:val="16"/>
                <w:color w:val="auto"/>
              </w:rPr>
              <w:t>Total short-term investments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57,191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57,195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5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assets measured at fair value</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114,192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114,179</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-3462655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-3462655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-3462655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-3462655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-2767965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-2767965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-2767965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-2767965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-2476500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-2459355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-2459355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-2459355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-2459355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-316230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-316230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-316230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-316230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Marketable debt securities at September 30, 2024 have maturities due in less than 12 months. No security has been in a continuous unrealized loss position for more than 12 months and the Company does not consider any of its marketable debt securities to be impaired.</w:t>
      </w:r>
    </w:p>
    <w:p>
      <w:pPr>
        <w:sectPr>
          <w:pgSz w:w="11900" w:h="16838" w:orient="portrait"/>
          <w:cols w:equalWidth="0" w:num="1">
            <w:col w:w="11240"/>
          </w:cols>
          <w:pgMar w:left="320" w:top="77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Black-Scholes option-pricing model was used to estimate fair value of the warrants issued to Tempus AI, Inc. ("Tempus") at the date of issuance, November 28, 2023, and at each subsequent balance sheet date prior to their exercise in full. Assumptions used are listed below, which are Level 3 fair value inputs. Expected term was equal to the then-remaining contractual periods of each of the two warrants. Expected volatility was based on the Company's actual historical volatility over the expected terms of the warrants. The risk-free interest rate was based on the U.S. Treasury yield curve over the expected terms of the warrants.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August 2024, Tempus exercised its warrants in full. Fair value was determined at settlement as the fair value of shares delivered (9,218,800 shares of common stock at $5.07 per share) less exercise price ($2.00 average exercise price per share). Refer to Note 8 for further information about the warrants issued to Tempus.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162"/>
              <w:spacing w:after="0"/>
              <w:rPr>
                <w:sz w:val="20"/>
                <w:szCs w:val="20"/>
                <w:color w:val="auto"/>
              </w:rPr>
            </w:pPr>
            <w:r>
              <w:rPr>
                <w:rFonts w:ascii="Arial" w:cs="Arial" w:eastAsia="Arial" w:hAnsi="Arial"/>
                <w:sz w:val="14"/>
                <w:szCs w:val="14"/>
                <w:b w:val="1"/>
                <w:bCs w:val="1"/>
                <w:color w:val="auto"/>
              </w:rPr>
              <w:t>August 16, 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As of March 31,</w:t>
            </w:r>
          </w:p>
        </w:tc>
        <w:tc>
          <w:tcPr>
            <w:tcW w:w="100" w:type="dxa"/>
            <w:vAlign w:val="bottom"/>
          </w:tcPr>
          <w:p>
            <w:pPr>
              <w:spacing w:after="0"/>
              <w:rPr>
                <w:sz w:val="14"/>
                <w:szCs w:val="14"/>
                <w:color w:val="auto"/>
              </w:rPr>
            </w:pPr>
          </w:p>
        </w:tc>
        <w:tc>
          <w:tcPr>
            <w:tcW w:w="14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As of December</w:t>
            </w:r>
          </w:p>
        </w:tc>
      </w:tr>
      <w:tr>
        <w:trPr>
          <w:trHeight w:val="18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Exercise Date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18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rPr>
              <w:t>31, 2023</w:t>
            </w: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62"/>
              <w:spacing w:after="0"/>
              <w:rPr>
                <w:sz w:val="20"/>
                <w:szCs w:val="20"/>
                <w:color w:val="auto"/>
              </w:rPr>
            </w:pPr>
            <w:r>
              <w:rPr>
                <w:rFonts w:ascii="Arial" w:cs="Arial" w:eastAsia="Arial" w:hAnsi="Arial"/>
                <w:sz w:val="16"/>
                <w:szCs w:val="16"/>
                <w:color w:val="auto"/>
              </w:rPr>
              <w:t>0.50 - 1.50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0.75 - 1.75</w:t>
            </w:r>
          </w:p>
        </w:tc>
        <w:tc>
          <w:tcPr>
            <w:tcW w:w="10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19"/>
              <w:spacing w:after="0"/>
              <w:rPr>
                <w:sz w:val="20"/>
                <w:szCs w:val="20"/>
                <w:color w:val="auto"/>
              </w:rPr>
            </w:pPr>
            <w:r>
              <w:rPr>
                <w:rFonts w:ascii="Arial" w:cs="Arial" w:eastAsia="Arial" w:hAnsi="Arial"/>
                <w:sz w:val="16"/>
                <w:szCs w:val="16"/>
                <w:color w:val="auto"/>
              </w:rPr>
              <w:t>1.00 - 2.00</w:t>
            </w:r>
          </w:p>
        </w:tc>
      </w:tr>
      <w:tr>
        <w:trPr>
          <w:trHeight w:val="217"/>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Volatility</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right="182"/>
              <w:spacing w:after="0"/>
              <w:rPr>
                <w:sz w:val="20"/>
                <w:szCs w:val="20"/>
                <w:color w:val="auto"/>
              </w:rPr>
            </w:pPr>
            <w:r>
              <w:rPr>
                <w:rFonts w:ascii="Arial" w:cs="Arial" w:eastAsia="Arial" w:hAnsi="Arial"/>
                <w:sz w:val="16"/>
                <w:szCs w:val="16"/>
                <w:color w:val="auto"/>
              </w:rPr>
              <w:t>79.7 - 99.8%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103.9</w:t>
            </w:r>
          </w:p>
        </w:tc>
        <w:tc>
          <w:tcPr>
            <w:tcW w:w="90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- 106.3%</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102.6</w:t>
            </w:r>
          </w:p>
        </w:tc>
        <w:tc>
          <w:tcPr>
            <w:tcW w:w="90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- 108.5%</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20" w:type="dxa"/>
            <w:vAlign w:val="bottom"/>
          </w:tcPr>
          <w:p>
            <w:pPr>
              <w:spacing w:after="0"/>
              <w:rPr>
                <w:sz w:val="18"/>
                <w:szCs w:val="18"/>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2"/>
              <w:spacing w:after="0"/>
              <w:rPr>
                <w:sz w:val="20"/>
                <w:szCs w:val="20"/>
                <w:color w:val="auto"/>
              </w:rPr>
            </w:pPr>
            <w:r>
              <w:rPr>
                <w:rFonts w:ascii="Arial" w:cs="Arial" w:eastAsia="Arial" w:hAnsi="Arial"/>
                <w:sz w:val="16"/>
                <w:szCs w:val="16"/>
                <w:color w:val="auto"/>
              </w:rPr>
              <w:t>4.90 - 5.33%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4.70</w:t>
            </w:r>
          </w:p>
        </w:tc>
        <w:tc>
          <w:tcPr>
            <w:tcW w:w="900" w:type="dxa"/>
            <w:vAlign w:val="bottom"/>
          </w:tcPr>
          <w:p>
            <w:pPr>
              <w:ind w:left="40"/>
              <w:spacing w:after="0"/>
              <w:rPr>
                <w:sz w:val="20"/>
                <w:szCs w:val="20"/>
                <w:color w:val="auto"/>
              </w:rPr>
            </w:pPr>
            <w:r>
              <w:rPr>
                <w:rFonts w:ascii="Arial" w:cs="Arial" w:eastAsia="Arial" w:hAnsi="Arial"/>
                <w:sz w:val="16"/>
                <w:szCs w:val="16"/>
                <w:color w:val="auto"/>
              </w:rPr>
              <w:t>- 5.21%</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4.23</w:t>
            </w:r>
          </w:p>
        </w:tc>
        <w:tc>
          <w:tcPr>
            <w:tcW w:w="900" w:type="dxa"/>
            <w:vAlign w:val="bottom"/>
          </w:tcPr>
          <w:p>
            <w:pPr>
              <w:ind w:left="40"/>
              <w:spacing w:after="0"/>
              <w:rPr>
                <w:sz w:val="20"/>
                <w:szCs w:val="20"/>
                <w:color w:val="auto"/>
              </w:rPr>
            </w:pPr>
            <w:r>
              <w:rPr>
                <w:rFonts w:ascii="Arial" w:cs="Arial" w:eastAsia="Arial" w:hAnsi="Arial"/>
                <w:sz w:val="16"/>
                <w:szCs w:val="16"/>
                <w:color w:val="auto"/>
              </w:rPr>
              <w:t>- 4.79%</w:t>
            </w:r>
          </w:p>
        </w:tc>
      </w:tr>
      <w:tr>
        <w:trPr>
          <w:trHeight w:val="217"/>
        </w:trPr>
        <w:tc>
          <w:tcPr>
            <w:tcW w:w="5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 yield</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right="18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center"/>
              <w:ind w:right="559"/>
              <w:spacing w:after="0"/>
              <w:rPr>
                <w:sz w:val="20"/>
                <w:szCs w:val="20"/>
                <w:color w:val="auto"/>
              </w:rPr>
            </w:pPr>
            <w:r>
              <w:rPr>
                <w:rFonts w:ascii="Arial" w:cs="Arial" w:eastAsia="Arial" w:hAnsi="Arial"/>
                <w:sz w:val="16"/>
                <w:szCs w:val="16"/>
                <w:color w:val="auto"/>
                <w:w w:val="94"/>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00" w:type="dxa"/>
            <w:vAlign w:val="bottom"/>
            <w:shd w:val="clear" w:color="auto" w:fill="CFF0FC"/>
          </w:tcPr>
          <w:p>
            <w:pPr>
              <w:jc w:val="center"/>
              <w:ind w:right="559"/>
              <w:spacing w:after="0"/>
              <w:rPr>
                <w:sz w:val="20"/>
                <w:szCs w:val="20"/>
                <w:color w:val="auto"/>
              </w:rPr>
            </w:pPr>
            <w:r>
              <w:rPr>
                <w:rFonts w:ascii="Arial" w:cs="Arial" w:eastAsia="Arial" w:hAnsi="Arial"/>
                <w:sz w:val="16"/>
                <w:szCs w:val="16"/>
                <w:color w:val="auto"/>
                <w:w w:val="94"/>
              </w:rPr>
              <w:t>–%</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Total fair value of Tempus Warrants (in thousands)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28,302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2"/>
              <w:spacing w:after="0"/>
              <w:rPr>
                <w:sz w:val="20"/>
                <w:szCs w:val="20"/>
                <w:color w:val="auto"/>
              </w:rPr>
            </w:pPr>
            <w:r>
              <w:rPr>
                <w:rFonts w:ascii="Arial" w:cs="Arial" w:eastAsia="Arial" w:hAnsi="Arial"/>
                <w:sz w:val="16"/>
                <w:szCs w:val="16"/>
                <w:color w:val="auto"/>
              </w:rPr>
              <w:t>2,288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5,262</w:t>
            </w:r>
          </w:p>
        </w:tc>
        <w:tc>
          <w:tcPr>
            <w:tcW w:w="640" w:type="dxa"/>
            <w:vAlign w:val="bottom"/>
            <w:gridSpan w:val="2"/>
          </w:tcPr>
          <w:p>
            <w:pPr>
              <w:jc w:val="right"/>
              <w:ind w:right="344"/>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10,027</w:t>
            </w:r>
          </w:p>
        </w:tc>
      </w:tr>
    </w:tbl>
    <w:p>
      <w:pPr>
        <w:spacing w:after="0" w:line="17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a summary of the changes in fair value of the Tempus Warrants, which are classified as Level 3 financial instruments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Warrant Liabilities</w:t>
            </w:r>
          </w:p>
        </w:tc>
        <w:tc>
          <w:tcPr>
            <w:tcW w:w="19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September 30, 2024</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620" w:type="dxa"/>
            <w:vAlign w:val="bottom"/>
            <w:shd w:val="clear" w:color="auto" w:fill="CFF0FC"/>
          </w:tcPr>
          <w:p>
            <w:pPr>
              <w:jc w:val="right"/>
              <w:ind w:right="42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2,288</w:t>
            </w:r>
          </w:p>
        </w:tc>
        <w:tc>
          <w:tcPr>
            <w:tcW w:w="3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10,027</w:t>
            </w:r>
          </w:p>
        </w:tc>
        <w:tc>
          <w:tcPr>
            <w:tcW w:w="0" w:type="dxa"/>
            <w:vAlign w:val="bottom"/>
          </w:tcPr>
          <w:p>
            <w:pPr>
              <w:spacing w:after="0"/>
              <w:rPr>
                <w:sz w:val="1"/>
                <w:szCs w:val="1"/>
                <w:color w:val="auto"/>
              </w:rPr>
            </w:pPr>
          </w:p>
        </w:tc>
      </w:tr>
      <w:tr>
        <w:trPr>
          <w:trHeight w:val="188"/>
        </w:trPr>
        <w:tc>
          <w:tcPr>
            <w:tcW w:w="7060" w:type="dxa"/>
            <w:vAlign w:val="bottom"/>
          </w:tcPr>
          <w:p>
            <w:pPr>
              <w:ind w:left="20"/>
              <w:spacing w:after="0"/>
              <w:rPr>
                <w:sz w:val="20"/>
                <w:szCs w:val="20"/>
                <w:color w:val="auto"/>
              </w:rPr>
            </w:pPr>
            <w:r>
              <w:rPr>
                <w:rFonts w:ascii="Arial" w:cs="Arial" w:eastAsia="Arial" w:hAnsi="Arial"/>
                <w:sz w:val="16"/>
                <w:szCs w:val="16"/>
                <w:color w:val="auto"/>
              </w:rPr>
              <w:t>Change in fair value—recognized as loss within Other income (expense), net in the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6"/>
                <w:szCs w:val="16"/>
                <w:color w:val="auto"/>
              </w:rPr>
              <w:t>consolidated statements of operations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18,275</w:t>
            </w:r>
          </w:p>
        </w:tc>
        <w:tc>
          <w:tcPr>
            <w:tcW w:w="0" w:type="dxa"/>
            <w:vAlign w:val="bottom"/>
          </w:tcPr>
          <w:p>
            <w:pPr>
              <w:spacing w:after="0"/>
              <w:rPr>
                <w:sz w:val="1"/>
                <w:szCs w:val="1"/>
                <w:color w:val="auto"/>
              </w:rPr>
            </w:pPr>
          </w:p>
        </w:tc>
      </w:tr>
      <w:tr>
        <w:trPr>
          <w:trHeight w:val="217"/>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Derecognition of warrant liabilities due to exercise in full</w:t>
            </w:r>
          </w:p>
        </w:tc>
        <w:tc>
          <w:tcPr>
            <w:tcW w:w="6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(28,302 )</w:t>
            </w: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(28,302 )</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620" w:type="dxa"/>
            <w:vAlign w:val="bottom"/>
          </w:tcPr>
          <w:p>
            <w:pPr>
              <w:jc w:val="right"/>
              <w:ind w:right="42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Note 6. Loans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0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060" w:type="dxa"/>
            <w:vAlign w:val="bottom"/>
          </w:tcPr>
          <w:p>
            <w:pPr>
              <w:ind w:left="760"/>
              <w:spacing w:after="0"/>
              <w:rPr>
                <w:sz w:val="20"/>
                <w:szCs w:val="20"/>
                <w:color w:val="auto"/>
              </w:rPr>
            </w:pPr>
            <w:r>
              <w:rPr>
                <w:rFonts w:ascii="Arial" w:cs="Arial" w:eastAsia="Arial" w:hAnsi="Arial"/>
                <w:sz w:val="16"/>
                <w:szCs w:val="16"/>
                <w:color w:val="auto"/>
              </w:rPr>
              <w:t>Amounts outstanding under loans are as follows (in thousands):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1,645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5"/>
        </w:trPr>
        <w:tc>
          <w:tcPr>
            <w:tcW w:w="7060" w:type="dxa"/>
            <w:vAlign w:val="bottom"/>
          </w:tcPr>
          <w:p>
            <w:pPr>
              <w:ind w:left="200"/>
              <w:spacing w:after="0"/>
              <w:rPr>
                <w:sz w:val="20"/>
                <w:szCs w:val="20"/>
                <w:color w:val="auto"/>
              </w:rPr>
            </w:pPr>
            <w:r>
              <w:rPr>
                <w:rFonts w:ascii="Arial" w:cs="Arial" w:eastAsia="Arial" w:hAnsi="Arial"/>
                <w:sz w:val="16"/>
                <w:szCs w:val="16"/>
                <w:color w:val="auto"/>
              </w:rPr>
              <w:t>Less: unamortized discount</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carrying amount</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1,645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2,880</w:t>
            </w:r>
          </w:p>
        </w:tc>
        <w:tc>
          <w:tcPr>
            <w:tcW w:w="0" w:type="dxa"/>
            <w:vAlign w:val="bottom"/>
          </w:tcPr>
          <w:p>
            <w:pPr>
              <w:spacing w:after="0"/>
              <w:rPr>
                <w:sz w:val="1"/>
                <w:szCs w:val="1"/>
                <w:color w:val="auto"/>
              </w:rPr>
            </w:pPr>
          </w:p>
        </w:tc>
      </w:tr>
      <w:tr>
        <w:trPr>
          <w:trHeight w:val="215"/>
        </w:trPr>
        <w:tc>
          <w:tcPr>
            <w:tcW w:w="7060" w:type="dxa"/>
            <w:vAlign w:val="bottom"/>
          </w:tcPr>
          <w:p>
            <w:pPr>
              <w:ind w:left="20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(1,234 )</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(1,646 )</w:t>
            </w:r>
          </w:p>
        </w:tc>
        <w:tc>
          <w:tcPr>
            <w:tcW w:w="0" w:type="dxa"/>
            <w:vAlign w:val="bottom"/>
          </w:tcPr>
          <w:p>
            <w:pPr>
              <w:spacing w:after="0"/>
              <w:rPr>
                <w:sz w:val="1"/>
                <w:szCs w:val="1"/>
                <w:color w:val="auto"/>
              </w:rPr>
            </w:pPr>
          </w:p>
        </w:tc>
      </w:tr>
      <w:tr>
        <w:trPr>
          <w:trHeight w:val="250"/>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portion (included in other long-term liabilities)</w:t>
            </w:r>
          </w:p>
        </w:tc>
        <w:tc>
          <w:tcPr>
            <w:tcW w:w="6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w w:val="89"/>
              </w:rPr>
              <w:t>411</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-1636395</wp:posOffset>
            </wp:positionV>
            <wp:extent cx="102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April 2021, the Company entered into a secured payment agreement with a financing entity to finance the purchase of $2.4 million of internal use software licenses and related software maintenance from a vendor. The financing entity and vendor are not related. The Company repaid the financed amount in three equal payments of $0.8 million in May 2021, May 2022, and May 2023. The payment agreement was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consolidated statements of operations over the life of the payment agreement.</w:t>
      </w:r>
    </w:p>
    <w:p>
      <w:pPr>
        <w:spacing w:after="0" w:line="1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entered into two more secured payment agreements in April 2021 and July 2022, with the same financing entity, to finance the purchase of $3.1 million of computer hardware and related hardware maintenance and $1.3 million of internal use software licenses and related ongoing support, respectively. The Company is required to pay three equal payments of $1.0 million in July 2021, June 2022, and June 2023 for the first agreement, and three equal payments of $0.4 million in September 2022, September 2023, and September 2024 for the second agreement. The nature of these agreements and resulting accounting treatment are the same as the payment agreement described in the preceding paragraph, except the imputed interest rate was 9% for the July 2022 agreement.</w:t>
      </w:r>
    </w:p>
    <w:p>
      <w:pPr>
        <w:spacing w:after="0" w:line="14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Repayments are presented as financing cash outflows. Interest expense was less than $0.1 million for each of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 Equipment Loan</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November 2023, the Company purchased lab equipment from one of its main vendors for $3.4 million. Extended payment terms were provided to the Company through a financial solutions partner of the vendor. Terms included a 30% down payment and 24 equal monthly payments for the remaining balance, with such monthly payments commencing in January 2024,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 Repayments are presented as financing cash outflows.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in Fremont, California used for laboratory operations and its corporate headquarters. The lease term is 13.5 years and commenced in October 2022. The Company gained early access to the premises for the purpose of constructing and installing tenant improvements, for which the landlord contributed $15.1 million. Such contributions were accounted for as lease incentives and are recognized as reductions to lease expense over the lease term. The lease expires at the end of March 2036 and includes two options to extend the term for a period of five-years per option at market rates. The Company determined the extension options are not reasonably certain to be exercised. The lease includes escalating rent payments.</w:t>
      </w:r>
    </w:p>
    <w:p>
      <w:pPr>
        <w:spacing w:after="0" w:line="15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a noncancelable operating lease expiring in November 2027 for 31,280 square feet in Menlo Park, California previously used for laboratory operations and its former corporate headquarters. The lease includes escalating rent payments. The Company moved all laboratory operations to the Fremont facility during the third quarter of 2023 and is actively marketing the vacated Menlo Park space for sublease.</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has noncancelable operating leases for data center space expiring between 2025 and 2026. The leases include renewal options that the Company determined are not reasonably certain to be exercised. Separately, the Company also has various other short-term leases.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September 30, 2024, operating leases had a weighted-average remaining lease term of 10.0 years and a weighted-average discount rate of 10.5%. Discount rates are based on estimates of the Company's incremental borrowing rate, as the discount rates implicit in the leases cannot be readily determined. Future lease payments under operating leases as of September 30, 2024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 (remaining three months)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2,064</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2025</w:t>
            </w:r>
          </w:p>
        </w:tc>
        <w:tc>
          <w:tcPr>
            <w:tcW w:w="38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8,057</w:t>
            </w:r>
          </w:p>
        </w:tc>
      </w:tr>
      <w:tr>
        <w:trPr>
          <w:trHeight w:val="217"/>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7,230</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2027</w:t>
            </w:r>
          </w:p>
        </w:tc>
        <w:tc>
          <w:tcPr>
            <w:tcW w:w="380" w:type="dxa"/>
            <w:vAlign w:val="bottom"/>
          </w:tcPr>
          <w:p>
            <w:pPr>
              <w:spacing w:after="0"/>
              <w:rPr>
                <w:sz w:val="18"/>
                <w:szCs w:val="18"/>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7,189</w:t>
            </w:r>
          </w:p>
        </w:tc>
      </w:tr>
      <w:tr>
        <w:trPr>
          <w:trHeight w:val="217"/>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5,215</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2029 and thereafter</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42,798</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future minimum lease payments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72,553</w:t>
            </w:r>
          </w:p>
        </w:tc>
      </w:tr>
      <w:tr>
        <w:trPr>
          <w:trHeight w:val="215"/>
        </w:trPr>
        <w:tc>
          <w:tcPr>
            <w:tcW w:w="9260" w:type="dxa"/>
            <w:vAlign w:val="bottom"/>
          </w:tcPr>
          <w:p>
            <w:pPr>
              <w:ind w:left="200"/>
              <w:spacing w:after="0"/>
              <w:rPr>
                <w:sz w:val="20"/>
                <w:szCs w:val="20"/>
                <w:color w:val="auto"/>
              </w:rPr>
            </w:pPr>
            <w:r>
              <w:rPr>
                <w:rFonts w:ascii="Arial" w:cs="Arial" w:eastAsia="Arial" w:hAnsi="Arial"/>
                <w:sz w:val="16"/>
                <w:szCs w:val="16"/>
                <w:color w:val="auto"/>
              </w:rPr>
              <w:t>Less: imputed interest</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(29,042 )</w:t>
            </w:r>
          </w:p>
        </w:tc>
      </w:tr>
      <w:tr>
        <w:trPr>
          <w:trHeight w:val="210"/>
        </w:trPr>
        <w:tc>
          <w:tcPr>
            <w:tcW w:w="9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Present value of future minimum lease payments</w:t>
            </w:r>
          </w:p>
        </w:tc>
        <w:tc>
          <w:tcPr>
            <w:tcW w:w="3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43,511</w:t>
            </w:r>
          </w:p>
        </w:tc>
      </w:tr>
      <w:tr>
        <w:trPr>
          <w:trHeight w:val="215"/>
        </w:trPr>
        <w:tc>
          <w:tcPr>
            <w:tcW w:w="9260" w:type="dxa"/>
            <w:vAlign w:val="bottom"/>
          </w:tcPr>
          <w:p>
            <w:pPr>
              <w:ind w:left="200"/>
              <w:spacing w:after="0"/>
              <w:rPr>
                <w:sz w:val="20"/>
                <w:szCs w:val="20"/>
                <w:color w:val="auto"/>
              </w:rPr>
            </w:pPr>
            <w:r>
              <w:rPr>
                <w:rFonts w:ascii="Arial" w:cs="Arial" w:eastAsia="Arial" w:hAnsi="Arial"/>
                <w:sz w:val="16"/>
                <w:szCs w:val="16"/>
                <w:color w:val="auto"/>
              </w:rPr>
              <w:t>Less: current portion of operating lease liability</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(7,910 )</w:t>
            </w:r>
          </w:p>
        </w:tc>
      </w:tr>
      <w:tr>
        <w:trPr>
          <w:trHeight w:val="250"/>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operating lease liabilities</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35,601</w:t>
            </w:r>
          </w:p>
        </w:tc>
      </w:tr>
    </w:tbl>
    <w:p>
      <w:pPr>
        <w:spacing w:after="0" w:line="16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nine months ended September 30, 2024 and 2023, was $6.1 million and $4.0 million, respectively. Right-of-use assets obtained in exchange for new operating lease liabilities during the nine months ended September 30, 2024 and 2023 were zero and $1.3 million, respectively.</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Components of lease costs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640" w:type="dxa"/>
            <w:vAlign w:val="bottom"/>
          </w:tcPr>
          <w:p>
            <w:pPr>
              <w:spacing w:after="0"/>
              <w:rPr>
                <w:sz w:val="15"/>
                <w:szCs w:val="15"/>
                <w:color w:val="auto"/>
              </w:rPr>
            </w:pPr>
          </w:p>
        </w:tc>
        <w:tc>
          <w:tcPr>
            <w:tcW w:w="2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Arial" w:cs="Arial" w:eastAsia="Arial" w:hAnsi="Arial"/>
                <w:sz w:val="14"/>
                <w:szCs w:val="14"/>
                <w:b w:val="1"/>
                <w:bCs w:val="1"/>
                <w:color w:val="auto"/>
              </w:rPr>
              <w:t>2023</w:t>
            </w:r>
          </w:p>
        </w:tc>
      </w:tr>
      <w:tr>
        <w:trPr>
          <w:trHeight w:val="210"/>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cost</w:t>
            </w:r>
          </w:p>
        </w:tc>
        <w:tc>
          <w:tcPr>
            <w:tcW w:w="218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r>
      <w:tr>
        <w:trPr>
          <w:trHeight w:val="215"/>
        </w:trPr>
        <w:tc>
          <w:tcPr>
            <w:tcW w:w="3640" w:type="dxa"/>
            <w:vAlign w:val="bottom"/>
          </w:tcPr>
          <w:p>
            <w:pPr>
              <w:ind w:left="200"/>
              <w:spacing w:after="0"/>
              <w:rPr>
                <w:sz w:val="20"/>
                <w:szCs w:val="20"/>
                <w:color w:val="auto"/>
              </w:rPr>
            </w:pPr>
            <w:r>
              <w:rPr>
                <w:rFonts w:ascii="Arial" w:cs="Arial" w:eastAsia="Arial" w:hAnsi="Arial"/>
                <w:sz w:val="16"/>
                <w:szCs w:val="16"/>
                <w:color w:val="auto"/>
              </w:rPr>
              <w:t>Operating lease cost</w:t>
            </w:r>
          </w:p>
        </w:tc>
        <w:tc>
          <w:tcPr>
            <w:tcW w:w="292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1,503</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1,670</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4,535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5,262</w:t>
            </w:r>
          </w:p>
        </w:tc>
      </w:tr>
      <w:tr>
        <w:trPr>
          <w:trHeight w:val="217"/>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lease cost</w:t>
            </w:r>
          </w:p>
        </w:tc>
        <w:tc>
          <w:tcPr>
            <w:tcW w:w="2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175</w:t>
            </w:r>
          </w:p>
        </w:tc>
      </w:tr>
      <w:tr>
        <w:trPr>
          <w:trHeight w:val="216"/>
        </w:trPr>
        <w:tc>
          <w:tcPr>
            <w:tcW w:w="3640" w:type="dxa"/>
            <w:vAlign w:val="bottom"/>
          </w:tcPr>
          <w:p>
            <w:pPr>
              <w:ind w:left="200"/>
              <w:spacing w:after="0"/>
              <w:rPr>
                <w:sz w:val="20"/>
                <w:szCs w:val="20"/>
                <w:color w:val="auto"/>
              </w:rPr>
            </w:pPr>
            <w:r>
              <w:rPr>
                <w:rFonts w:ascii="Arial" w:cs="Arial" w:eastAsia="Arial" w:hAnsi="Arial"/>
                <w:sz w:val="16"/>
                <w:szCs w:val="16"/>
                <w:color w:val="auto"/>
              </w:rPr>
              <w:t>Variable lease cost</w:t>
            </w:r>
          </w:p>
        </w:tc>
        <w:tc>
          <w:tcPr>
            <w:tcW w:w="2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1,539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1,264</w:t>
            </w:r>
          </w:p>
        </w:tc>
      </w:tr>
      <w:tr>
        <w:trPr>
          <w:trHeight w:val="249"/>
        </w:trPr>
        <w:tc>
          <w:tcPr>
            <w:tcW w:w="3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lease cost</w:t>
            </w:r>
          </w:p>
        </w:tc>
        <w:tc>
          <w:tcPr>
            <w:tcW w:w="292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2,017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2,102</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6,271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6,701</w:t>
            </w:r>
          </w:p>
        </w:tc>
      </w:tr>
      <w:tr>
        <w:trPr>
          <w:trHeight w:val="613"/>
        </w:trPr>
        <w:tc>
          <w:tcPr>
            <w:tcW w:w="364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jc w:val="right"/>
              <w:ind w:right="21"/>
              <w:spacing w:after="0"/>
              <w:rPr>
                <w:sz w:val="20"/>
                <w:szCs w:val="20"/>
                <w:color w:val="auto"/>
              </w:rPr>
            </w:pPr>
            <w:r>
              <w:rPr>
                <w:rFonts w:ascii="Arial" w:cs="Arial" w:eastAsia="Arial" w:hAnsi="Arial"/>
                <w:sz w:val="16"/>
                <w:szCs w:val="16"/>
                <w:color w:val="auto"/>
              </w:rPr>
              <w:t>16</w:t>
            </w:r>
          </w:p>
        </w:tc>
        <w:tc>
          <w:tcPr>
            <w:tcW w:w="7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751"/>
        </w:trPr>
        <w:tc>
          <w:tcPr>
            <w:tcW w:w="36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-916305</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-899160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-916305</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-899160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-899160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Related Party Transactions</w:t>
      </w:r>
    </w:p>
    <w:p>
      <w:pPr>
        <w:spacing w:after="0" w:line="18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determined that Tempus is a related party because they own more than 10% of the Company's common stock. Tempus acquired its ownership stake in August 2024 by exercising the Tempus Warrants and purchasing additional shares under the Investment Agreement (defined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 of Tempus Agreement</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November 2023, the Company entered into a Commercialization and Reference Laboratory Agreement (the “Tempus Agreement”) with Tempus pursuant to which Tempus markets the Company's NeXT Personal Dx test in the United States. The Company performs tests ordered by patients through Tempus and the Company bills the patients or payors. The Company compensates Tempus for orders obtained and results delivered on a per-test basis. The term of the Tempus Agreement is five years, which may be extended for successive one-year terms. Either party may terminate the Tempus Agreement for convenience upon 30 months' prior written notice.</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Tempus Agreement, the Company conducted development activities to analytically validate NeXT Personal Dx in three indications: breast cancer, lung cancer and immuno-oncology monitoring. In consideration of the Company performing such development activities, Tempus agreed to pay the Company fees of $12 million (the "Market Development Fees"), consisting of an activation fee of $3 million, a first milestone fee of $3 million (upon achievement of one clinical validation), and a second milestone fee payable in six quarterly installments totaling $6 million (upon achievement of the two remaining clinical validations). The Company has achieved all three clinical validations, thus both milestones have been met. Separately, the parties are performing co-promotion activities and the Company is compensating Tempus for promotional and commercialization services through the end of 2026 in an amount up to $9.6 million.</w:t>
      </w:r>
    </w:p>
    <w:p>
      <w:pPr>
        <w:spacing w:after="0" w:line="154" w:lineRule="exact"/>
        <w:rPr>
          <w:sz w:val="20"/>
          <w:szCs w:val="20"/>
          <w:color w:val="auto"/>
        </w:rPr>
      </w:pPr>
    </w:p>
    <w:p>
      <w:pPr>
        <w:ind w:right="480" w:firstLine="749"/>
        <w:spacing w:after="0" w:line="286" w:lineRule="auto"/>
        <w:rPr>
          <w:sz w:val="20"/>
          <w:szCs w:val="20"/>
          <w:color w:val="auto"/>
        </w:rPr>
      </w:pPr>
      <w:r>
        <w:rPr>
          <w:rFonts w:ascii="Arial" w:cs="Arial" w:eastAsia="Arial" w:hAnsi="Arial"/>
          <w:sz w:val="16"/>
          <w:szCs w:val="16"/>
          <w:color w:val="auto"/>
        </w:rPr>
        <w:t>Additionally, as partial consideration of Tempus' obligations to the Company under the Tempus Agreement, the Company issued warrants to Tempus. See "Tempus Warrants" section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consideration of Tempus’ obligations to Personalis under the Tempus Agreement, on November 28, 2023, the Company issued to Tempus (1) a warrant to purchase up to 4,609,400 shares of Personalis common stock at an exercise price per share of $1.50, with an expiration date of December 31, 2024 (the “First Warrant”), and (2) a warrant to purchase up to 4,609,400 shares of Personalis common stock at an exercise price per share of $2.50, with an expiration date of December 31, 2025 (the “Second Warrant” and, together with the First Warrant, the “Tempus Warrants”). In August 2024, Tempus exercised in full the Tempus Warrants to purchase 9,218,800 shares of Personalis common stock for $18.4 million in cash, at an average exercise price of $2.00 per share, concurrently with the execution of the Investment Agreement (described below).</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Tempus Warrants included a provision under which the total number of shares issuable upon settlement were subject to adjustment. Consequently, the Tempus Warrants were classified as liability instruments while outstanding and subject to remeasurement at each balance sheet date, with changes in fair value recognized as Other income (expense), net in the consolidated statements of operations. Fair values of the warrants were estimated using the Black-Scholes option-pricing model. See Note 5 Fair Value Measurements for discussion of inputs used in the measurements of the Tempus Warrants and the resulting noncash losses recognized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Tempus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August 2024, the Company entered into an investment agreement (the "Investment Agreement") with Tempus under which the Company issued and sold 3,500,000 shares of common stock at a price per share of $5.07, representing the last reported closing price of the common stock. The Company received $ 17.7 million of cash from the sale of the shares and incurred $1.1 million of issuance costs directly related to the sale, of which $0.8 million was paid as of September 30,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Tempus Agreement on the Financial Statements</w:t>
      </w:r>
    </w:p>
    <w:p>
      <w:pPr>
        <w:spacing w:after="0" w:line="179" w:lineRule="exact"/>
        <w:rPr>
          <w:sz w:val="20"/>
          <w:szCs w:val="20"/>
          <w:color w:val="auto"/>
        </w:rPr>
      </w:pPr>
    </w:p>
    <w:p>
      <w:pPr>
        <w:ind w:right="280" w:firstLine="749"/>
        <w:spacing w:after="0" w:line="266" w:lineRule="auto"/>
        <w:rPr>
          <w:sz w:val="20"/>
          <w:szCs w:val="20"/>
          <w:color w:val="auto"/>
        </w:rPr>
      </w:pPr>
      <w:r>
        <w:rPr>
          <w:rFonts w:ascii="Arial" w:cs="Arial" w:eastAsia="Arial" w:hAnsi="Arial"/>
          <w:sz w:val="16"/>
          <w:szCs w:val="16"/>
          <w:color w:val="auto"/>
        </w:rPr>
        <w:t>The Company had achieved the first clinical validation milestone at the time of entering the Tempus Agreement and was therefore entitled to Market Development Fees of $6 million, consisting of the first milestone fee of $3 million and the activation fee of $3 million. These proceeds of $6 million were received in 2023 and treated as consideration for the Tempus Warrants.</w:t>
      </w:r>
    </w:p>
    <w:p>
      <w:pPr>
        <w:spacing w:after="0" w:line="131"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The remainder of Market Development Fees—$6 million, payable in six quarterly installments—are recorded as a liability when received and offset against promotional fees as they are paid by the Company to Tempus. As of September 30, 2024, $2 million of such $6 million Market Development Fees have been received.</w:t>
      </w:r>
    </w:p>
    <w:p>
      <w:pPr>
        <w:spacing w:after="0" w:line="144" w:lineRule="exact"/>
        <w:rPr>
          <w:sz w:val="20"/>
          <w:szCs w:val="20"/>
          <w:color w:val="auto"/>
        </w:rPr>
      </w:pPr>
    </w:p>
    <w:p>
      <w:pPr>
        <w:ind w:right="380" w:firstLine="749"/>
        <w:spacing w:after="0" w:line="286" w:lineRule="auto"/>
        <w:rPr>
          <w:sz w:val="20"/>
          <w:szCs w:val="20"/>
          <w:color w:val="auto"/>
        </w:rPr>
      </w:pPr>
      <w:r>
        <w:rPr>
          <w:rFonts w:ascii="Arial" w:cs="Arial" w:eastAsia="Arial" w:hAnsi="Arial"/>
          <w:sz w:val="16"/>
          <w:szCs w:val="16"/>
          <w:color w:val="auto"/>
        </w:rPr>
        <w:t>Amounts of transactions with Tempus during each income statement period presented, along with amounts due from or to Tempus as of each balance sheet date, follows: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70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72"/>
        </w:trPr>
        <w:tc>
          <w:tcPr>
            <w:tcW w:w="1120" w:type="dxa"/>
            <w:vAlign w:val="bottom"/>
            <w:tcBorders>
              <w:top w:val="single" w:sz="8" w:color="0000FF"/>
            </w:tcBorders>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1443"/>
              <w:spacing w:after="0"/>
              <w:rPr>
                <w:sz w:val="20"/>
                <w:szCs w:val="20"/>
                <w:color w:val="auto"/>
              </w:rPr>
            </w:pPr>
            <w:r>
              <w:rPr>
                <w:rFonts w:ascii="Arial" w:cs="Arial" w:eastAsia="Arial" w:hAnsi="Arial"/>
                <w:sz w:val="14"/>
                <w:szCs w:val="14"/>
                <w:b w:val="1"/>
                <w:bCs w:val="1"/>
                <w:color w:val="auto"/>
              </w:rPr>
              <w:t>Income Statement</w:t>
            </w:r>
          </w:p>
        </w:tc>
      </w:tr>
      <w:tr>
        <w:trPr>
          <w:trHeight w:val="160"/>
        </w:trPr>
        <w:tc>
          <w:tcPr>
            <w:tcW w:w="11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jc w:val="right"/>
              <w:ind w:right="264"/>
              <w:spacing w:after="0" w:line="160"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jc w:val="center"/>
              <w:ind w:right="223"/>
              <w:spacing w:after="0" w:line="160" w:lineRule="exact"/>
              <w:rPr>
                <w:sz w:val="20"/>
                <w:szCs w:val="20"/>
                <w:color w:val="auto"/>
              </w:rPr>
            </w:pPr>
            <w:r>
              <w:rPr>
                <w:rFonts w:ascii="Arial" w:cs="Arial" w:eastAsia="Arial" w:hAnsi="Arial"/>
                <w:sz w:val="14"/>
                <w:szCs w:val="14"/>
                <w:b w:val="1"/>
                <w:bCs w:val="1"/>
                <w:color w:val="auto"/>
              </w:rPr>
              <w:t>Nine Months Ended</w:t>
            </w:r>
          </w:p>
        </w:tc>
      </w:tr>
      <w:tr>
        <w:trPr>
          <w:trHeight w:val="185"/>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September 30, 2024</w:t>
            </w:r>
          </w:p>
        </w:tc>
      </w:tr>
      <w:tr>
        <w:trPr>
          <w:trHeight w:val="182"/>
        </w:trPr>
        <w:tc>
          <w:tcPr>
            <w:tcW w:w="7060" w:type="dxa"/>
            <w:vAlign w:val="bottom"/>
            <w:gridSpan w:val="2"/>
            <w:shd w:val="clear" w:color="auto" w:fill="CFF0FC"/>
          </w:tcPr>
          <w:p>
            <w:pPr>
              <w:ind w:left="20"/>
              <w:spacing w:after="0" w:line="182" w:lineRule="exact"/>
              <w:rPr>
                <w:sz w:val="20"/>
                <w:szCs w:val="20"/>
                <w:color w:val="auto"/>
              </w:rPr>
            </w:pPr>
            <w:r>
              <w:rPr>
                <w:rFonts w:ascii="Arial" w:cs="Arial" w:eastAsia="Arial" w:hAnsi="Arial"/>
                <w:sz w:val="16"/>
                <w:szCs w:val="16"/>
                <w:color w:val="auto"/>
              </w:rPr>
              <w:t>Orders and results delivery fees and net promotional fees—Selling, general and administrative</w:t>
            </w:r>
          </w:p>
        </w:tc>
        <w:tc>
          <w:tcPr>
            <w:tcW w:w="1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r>
      <w:tr>
        <w:trPr>
          <w:trHeight w:val="217"/>
        </w:trPr>
        <w:tc>
          <w:tcPr>
            <w:tcW w:w="70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0.1</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0.3</w:t>
            </w:r>
          </w:p>
        </w:tc>
      </w:tr>
      <w:tr>
        <w:trPr>
          <w:trHeight w:val="215"/>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Noncash loss from remeasurement of Tempus Warrants—Other income (expense), net</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(26.0 )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(18.3 )</w:t>
            </w:r>
          </w:p>
        </w:tc>
      </w:tr>
      <w:tr>
        <w:trPr>
          <w:trHeight w:val="420"/>
        </w:trPr>
        <w:tc>
          <w:tcPr>
            <w:tcW w:w="11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1563"/>
              <w:spacing w:after="0"/>
              <w:rPr>
                <w:sz w:val="20"/>
                <w:szCs w:val="20"/>
                <w:color w:val="auto"/>
              </w:rPr>
            </w:pPr>
            <w:r>
              <w:rPr>
                <w:rFonts w:ascii="Arial" w:cs="Arial" w:eastAsia="Arial" w:hAnsi="Arial"/>
                <w:sz w:val="14"/>
                <w:szCs w:val="14"/>
                <w:b w:val="1"/>
                <w:bCs w:val="1"/>
                <w:color w:val="auto"/>
              </w:rPr>
              <w:t>Balance Sheet</w:t>
            </w:r>
          </w:p>
        </w:tc>
      </w:tr>
      <w:tr>
        <w:trPr>
          <w:trHeight w:val="223"/>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December 31, 2023</w:t>
            </w:r>
          </w:p>
        </w:tc>
      </w:tr>
      <w:tr>
        <w:trPr>
          <w:trHeight w:val="209"/>
        </w:trPr>
        <w:tc>
          <w:tcPr>
            <w:tcW w:w="70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Unamortized Market Development Fees—Short- and long-term Other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1.7</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215"/>
        </w:trPr>
        <w:tc>
          <w:tcPr>
            <w:tcW w:w="7060" w:type="dxa"/>
            <w:vAlign w:val="bottom"/>
            <w:gridSpan w:val="2"/>
          </w:tcPr>
          <w:p>
            <w:pPr>
              <w:ind w:left="20"/>
              <w:spacing w:after="0"/>
              <w:rPr>
                <w:sz w:val="20"/>
                <w:szCs w:val="20"/>
                <w:color w:val="auto"/>
              </w:rPr>
            </w:pPr>
            <w:r>
              <w:rPr>
                <w:rFonts w:ascii="Arial" w:cs="Arial" w:eastAsia="Arial" w:hAnsi="Arial"/>
                <w:sz w:val="16"/>
                <w:szCs w:val="16"/>
                <w:color w:val="auto"/>
              </w:rPr>
              <w:t>Amounts payable to Tempus—Current liabilities</w:t>
            </w:r>
          </w:p>
        </w:tc>
        <w:tc>
          <w:tcPr>
            <w:tcW w:w="180" w:type="dxa"/>
            <w:vAlign w:val="bottom"/>
          </w:tcPr>
          <w:p>
            <w:pPr>
              <w:spacing w:after="0"/>
              <w:rPr>
                <w:sz w:val="18"/>
                <w:szCs w:val="18"/>
                <w:color w:val="auto"/>
              </w:rPr>
            </w:pPr>
          </w:p>
        </w:tc>
        <w:tc>
          <w:tcPr>
            <w:tcW w:w="1840" w:type="dxa"/>
            <w:vAlign w:val="bottom"/>
          </w:tcPr>
          <w:p>
            <w:pPr>
              <w:jc w:val="right"/>
              <w:ind w:right="44"/>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43"/>
              <w:spacing w:after="0"/>
              <w:rPr>
                <w:sz w:val="20"/>
                <w:szCs w:val="20"/>
                <w:color w:val="auto"/>
              </w:rPr>
            </w:pPr>
            <w:r>
              <w:rPr>
                <w:rFonts w:ascii="Arial" w:cs="Arial" w:eastAsia="Arial" w:hAnsi="Arial"/>
                <w:sz w:val="16"/>
                <w:szCs w:val="16"/>
                <w:color w:val="auto"/>
              </w:rPr>
              <w:t>—</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Restructuring and Other Charges</w:t>
      </w:r>
    </w:p>
    <w:p>
      <w:pPr>
        <w:spacing w:after="0" w:line="18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Costs related to the Company's reductions in workforce and closure of its China operations are included within Restructuring and Other Charges in the consolidated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2023, the Company initiated a reduction in workforce to reduce operating costs and improve operating efficiency. The workforce reduction affected approximately 100 employees and was substantially completed during the first quarter of 2023. The Company recognized $3.1 million in one-time employee termination benefits in the first quarter of 2023 in connection with the reduction in workforce, comprising separation pay and healthcare benefits payable in cash, all of which were paid by the end of the second quarter of 2023.</w:t>
      </w:r>
    </w:p>
    <w:p>
      <w:pPr>
        <w:spacing w:after="0" w:line="1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December 2023, the Company initiated a second reduction in workforce to further reduce operating costs and improve operating efficiency. The workforce reduction affected approximately 60 employees and was completed during the first quarter of 2024. The Company recognized $4.0 million in one-time employee termination benefits in the fourth quarter of 2023 in connection with the reduction in workforce, comprising separation pay and healthcare benefits payable in cash. Substantially all of such termination benefits were paid by the end of the first quarter of 2024. The Company does not expect to incur any material additional costs in connection with the reductions in workforce.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Closure of China Operations</w:t>
      </w:r>
    </w:p>
    <w:p>
      <w:pPr>
        <w:spacing w:after="0" w:line="17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During the first half of 2023, the Company terminated its operations in China with the objective of streamlining international operations and reducing operating costs. The disposal did not qualify for reporting as a discontinued operation because it did not represent a strategic shift that has or will have a major effect on our operations and financial results. The Company completed the process of dissolving the Personalis (Shanghai) Ltd entity in February 2024.</w:t>
      </w:r>
    </w:p>
    <w:p>
      <w:pPr>
        <w:spacing w:after="0" w:line="3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Expenses of $0.9 million were recognized in the first quarter of 2023 in connection with closure activities, of which $0.3 million was related to one-time employee termination benefits for the Company's 12 former employees located in China and were payable in cash. Substantially all of the terminations were completed during the first quarter of 2023, along with the related cash outlays. The remaining $0.6 million in expenses were comprised primarily of noncash charges, including losses on disposal of fixed assets and impairments of other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Stock-Based Compensation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reserved for issuance under the Company’s equity incentive plans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2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September 30, 2024</w:t>
            </w:r>
          </w:p>
        </w:tc>
      </w:tr>
      <w:tr>
        <w:trPr>
          <w:trHeight w:val="209"/>
        </w:trPr>
        <w:tc>
          <w:tcPr>
            <w:tcW w:w="9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stock awards</w:t>
            </w:r>
          </w:p>
        </w:tc>
        <w:tc>
          <w:tcPr>
            <w:tcW w:w="21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9,620,071</w:t>
            </w:r>
          </w:p>
        </w:tc>
      </w:tr>
      <w:tr>
        <w:trPr>
          <w:trHeight w:val="215"/>
        </w:trPr>
        <w:tc>
          <w:tcPr>
            <w:tcW w:w="9100" w:type="dxa"/>
            <w:vAlign w:val="bottom"/>
          </w:tcPr>
          <w:p>
            <w:pPr>
              <w:ind w:left="20"/>
              <w:spacing w:after="0"/>
              <w:rPr>
                <w:sz w:val="20"/>
                <w:szCs w:val="20"/>
                <w:color w:val="auto"/>
              </w:rPr>
            </w:pPr>
            <w:r>
              <w:rPr>
                <w:rFonts w:ascii="Arial" w:cs="Arial" w:eastAsia="Arial" w:hAnsi="Arial"/>
                <w:sz w:val="16"/>
                <w:szCs w:val="16"/>
                <w:color w:val="auto"/>
              </w:rPr>
              <w:t>Reserved for future award grants</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4,816,129</w:t>
            </w:r>
          </w:p>
        </w:tc>
      </w:tr>
      <w:tr>
        <w:trPr>
          <w:trHeight w:val="216"/>
        </w:trPr>
        <w:tc>
          <w:tcPr>
            <w:tcW w:w="9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Reserved for future ESPP</w:t>
            </w:r>
          </w:p>
        </w:tc>
        <w:tc>
          <w:tcPr>
            <w:tcW w:w="21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192,341</w:t>
            </w:r>
          </w:p>
        </w:tc>
      </w:tr>
      <w:tr>
        <w:trPr>
          <w:trHeight w:val="210"/>
        </w:trPr>
        <w:tc>
          <w:tcPr>
            <w:tcW w:w="9100" w:type="dxa"/>
            <w:vAlign w:val="bottom"/>
          </w:tcPr>
          <w:p>
            <w:pPr>
              <w:ind w:left="200"/>
              <w:spacing w:after="0"/>
              <w:rPr>
                <w:sz w:val="20"/>
                <w:szCs w:val="20"/>
                <w:color w:val="auto"/>
              </w:rPr>
            </w:pPr>
            <w:r>
              <w:rPr>
                <w:rFonts w:ascii="Arial" w:cs="Arial" w:eastAsia="Arial" w:hAnsi="Arial"/>
                <w:sz w:val="16"/>
                <w:szCs w:val="16"/>
                <w:color w:val="auto"/>
              </w:rPr>
              <w:t>Total common stock reserved for stock awards</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14,628,541</w:t>
            </w:r>
          </w:p>
        </w:tc>
      </w:tr>
      <w:tr>
        <w:trPr>
          <w:trHeight w:val="20"/>
        </w:trPr>
        <w:tc>
          <w:tcPr>
            <w:tcW w:w="9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Service-Based Stock Option Activity</w:t>
      </w:r>
    </w:p>
    <w:p>
      <w:pPr>
        <w:spacing w:after="0" w:line="19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A summary of the Company’s service-based stock option activity (excluding performance-based stock option activity, which is presented separately below) for the nine months ended September 30, 2024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Outstanding Service-Based Options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0"/>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28"/>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60" w:type="dxa"/>
            <w:vAlign w:val="bottom"/>
          </w:tcPr>
          <w:p>
            <w:pPr>
              <w:spacing w:after="0"/>
              <w:rPr>
                <w:sz w:val="14"/>
                <w:szCs w:val="14"/>
                <w:color w:val="auto"/>
              </w:rPr>
            </w:pP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Intrinsic</w:t>
            </w:r>
          </w:p>
        </w:tc>
      </w:tr>
      <w:tr>
        <w:trPr>
          <w:trHeight w:val="185"/>
        </w:trPr>
        <w:tc>
          <w:tcPr>
            <w:tcW w:w="576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3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Value</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3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5,805,586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7.40</w:t>
            </w:r>
          </w:p>
        </w:tc>
        <w:tc>
          <w:tcPr>
            <w:tcW w:w="140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6.90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64</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Options granted</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3,539,500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exercised</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(46,471 )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Options forfeited or 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(651,638 )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2024</w:t>
            </w:r>
          </w:p>
        </w:tc>
        <w:tc>
          <w:tcPr>
            <w:tcW w:w="13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8,646,977</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rPr>
              <w:t>5.07</w:t>
            </w:r>
          </w:p>
        </w:tc>
        <w:tc>
          <w:tcPr>
            <w:tcW w:w="14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7.91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19,399</w:t>
            </w:r>
          </w:p>
        </w:tc>
      </w:tr>
      <w:tr>
        <w:trPr>
          <w:trHeight w:val="197"/>
        </w:trPr>
        <w:tc>
          <w:tcPr>
            <w:tcW w:w="5760" w:type="dxa"/>
            <w:vAlign w:val="bottom"/>
          </w:tcPr>
          <w:p>
            <w:pPr>
              <w:ind w:left="20"/>
              <w:spacing w:after="0"/>
              <w:rPr>
                <w:sz w:val="20"/>
                <w:szCs w:val="20"/>
                <w:color w:val="auto"/>
              </w:rPr>
            </w:pPr>
            <w:r>
              <w:rPr>
                <w:rFonts w:ascii="Arial" w:cs="Arial" w:eastAsia="Arial" w:hAnsi="Arial"/>
                <w:sz w:val="16"/>
                <w:szCs w:val="16"/>
                <w:color w:val="auto"/>
              </w:rPr>
              <w:t>Options vested and exercisable as of September 30, 2024</w:t>
            </w: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4,058,866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7.74</w:t>
            </w:r>
          </w:p>
        </w:tc>
        <w:tc>
          <w:tcPr>
            <w:tcW w:w="1400" w:type="dxa"/>
            <w:vAlign w:val="bottom"/>
            <w:gridSpan w:val="2"/>
          </w:tcPr>
          <w:p>
            <w:pPr>
              <w:jc w:val="right"/>
              <w:ind w:right="48"/>
              <w:spacing w:after="0"/>
              <w:rPr>
                <w:sz w:val="20"/>
                <w:szCs w:val="20"/>
                <w:color w:val="auto"/>
              </w:rPr>
            </w:pPr>
            <w:r>
              <w:rPr>
                <w:rFonts w:ascii="Arial" w:cs="Arial" w:eastAsia="Arial" w:hAnsi="Arial"/>
                <w:sz w:val="16"/>
                <w:szCs w:val="16"/>
                <w:color w:val="auto"/>
              </w:rPr>
              <w:t>6.50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5,870</w:t>
            </w:r>
          </w:p>
        </w:tc>
      </w:tr>
      <w:tr>
        <w:trPr>
          <w:trHeight w:val="20"/>
        </w:trPr>
        <w:tc>
          <w:tcPr>
            <w:tcW w:w="57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The weighted-average grant date fair value of options granted was $3.55 and $1.33 per share for the three months ended September 30, 2024 and 2023, and $1.49 and $1.82 per share for the nine months ended September 30, 2024 and 2023, respectively. As of September 30, 2024, the unrecognized stock-based compensation cost of unvested options was $7.5 million, which is expected to be recognized over a weighted-average period of 2.1 years.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Service-Based Stock Options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estimated the fair value of service-based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6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r>
      <w:tr>
        <w:trPr>
          <w:trHeight w:val="210"/>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5.77 - 6.08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6.02 - 6.08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5.50 - 6.08</w:t>
            </w:r>
          </w:p>
        </w:tc>
        <w:tc>
          <w:tcPr>
            <w:tcW w:w="1500" w:type="dxa"/>
            <w:vAlign w:val="bottom"/>
            <w:gridSpan w:val="3"/>
            <w:shd w:val="clear" w:color="auto" w:fill="CFF0FC"/>
          </w:tcPr>
          <w:p>
            <w:pPr>
              <w:jc w:val="center"/>
              <w:ind w:left="39"/>
              <w:spacing w:after="0"/>
              <w:rPr>
                <w:sz w:val="20"/>
                <w:szCs w:val="20"/>
                <w:color w:val="auto"/>
              </w:rPr>
            </w:pPr>
            <w:r>
              <w:rPr>
                <w:rFonts w:ascii="Arial" w:cs="Arial" w:eastAsia="Arial" w:hAnsi="Arial"/>
                <w:sz w:val="16"/>
                <w:szCs w:val="16"/>
                <w:color w:val="auto"/>
              </w:rPr>
              <w:t>5.50 - 6.08</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60" w:type="dxa"/>
            <w:vAlign w:val="bottom"/>
          </w:tcPr>
          <w:p>
            <w:pPr>
              <w:jc w:val="right"/>
              <w:spacing w:after="0"/>
              <w:rPr>
                <w:sz w:val="20"/>
                <w:szCs w:val="20"/>
                <w:color w:val="auto"/>
              </w:rPr>
            </w:pPr>
            <w:r>
              <w:rPr>
                <w:rFonts w:ascii="Arial" w:cs="Arial" w:eastAsia="Arial" w:hAnsi="Arial"/>
                <w:sz w:val="16"/>
                <w:szCs w:val="16"/>
                <w:color w:val="auto"/>
              </w:rPr>
              <w:t>82.57</w:t>
            </w:r>
          </w:p>
        </w:tc>
        <w:tc>
          <w:tcPr>
            <w:tcW w:w="820" w:type="dxa"/>
            <w:vAlign w:val="bottom"/>
          </w:tcPr>
          <w:p>
            <w:pPr>
              <w:ind w:left="40"/>
              <w:spacing w:after="0"/>
              <w:rPr>
                <w:sz w:val="20"/>
                <w:szCs w:val="20"/>
                <w:color w:val="auto"/>
              </w:rPr>
            </w:pPr>
            <w:r>
              <w:rPr>
                <w:rFonts w:ascii="Arial" w:cs="Arial" w:eastAsia="Arial" w:hAnsi="Arial"/>
                <w:sz w:val="16"/>
                <w:szCs w:val="16"/>
                <w:color w:val="auto"/>
              </w:rPr>
              <w:t>- 83.59%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78.67</w:t>
            </w:r>
          </w:p>
        </w:tc>
        <w:tc>
          <w:tcPr>
            <w:tcW w:w="820" w:type="dxa"/>
            <w:vAlign w:val="bottom"/>
          </w:tcPr>
          <w:p>
            <w:pPr>
              <w:ind w:left="40"/>
              <w:spacing w:after="0"/>
              <w:rPr>
                <w:sz w:val="20"/>
                <w:szCs w:val="20"/>
                <w:color w:val="auto"/>
              </w:rPr>
            </w:pPr>
            <w:r>
              <w:rPr>
                <w:rFonts w:ascii="Arial" w:cs="Arial" w:eastAsia="Arial" w:hAnsi="Arial"/>
                <w:sz w:val="16"/>
                <w:szCs w:val="16"/>
                <w:color w:val="auto"/>
              </w:rPr>
              <w:t>- 78.73%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72.61</w:t>
            </w:r>
          </w:p>
        </w:tc>
        <w:tc>
          <w:tcPr>
            <w:tcW w:w="820" w:type="dxa"/>
            <w:vAlign w:val="bottom"/>
          </w:tcPr>
          <w:p>
            <w:pPr>
              <w:ind w:left="40"/>
              <w:spacing w:after="0"/>
              <w:rPr>
                <w:sz w:val="20"/>
                <w:szCs w:val="20"/>
                <w:color w:val="auto"/>
              </w:rPr>
            </w:pPr>
            <w:r>
              <w:rPr>
                <w:rFonts w:ascii="Arial" w:cs="Arial" w:eastAsia="Arial" w:hAnsi="Arial"/>
                <w:sz w:val="16"/>
                <w:szCs w:val="16"/>
                <w:color w:val="auto"/>
              </w:rPr>
              <w:t>- 83.59%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78.47</w:t>
            </w:r>
          </w:p>
        </w:tc>
        <w:tc>
          <w:tcPr>
            <w:tcW w:w="820" w:type="dxa"/>
            <w:vAlign w:val="bottom"/>
          </w:tcPr>
          <w:p>
            <w:pPr>
              <w:ind w:left="40"/>
              <w:spacing w:after="0"/>
              <w:rPr>
                <w:sz w:val="20"/>
                <w:szCs w:val="20"/>
                <w:color w:val="auto"/>
              </w:rPr>
            </w:pPr>
            <w:r>
              <w:rPr>
                <w:rFonts w:ascii="Arial" w:cs="Arial" w:eastAsia="Arial" w:hAnsi="Arial"/>
                <w:sz w:val="16"/>
                <w:szCs w:val="16"/>
                <w:color w:val="auto"/>
              </w:rPr>
              <w:t>- 79.31%</w:t>
            </w:r>
          </w:p>
        </w:tc>
      </w:tr>
      <w:tr>
        <w:trPr>
          <w:trHeight w:val="217"/>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- 4.15%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- 4.43%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- 4.65%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- 4.43%</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60" w:type="dxa"/>
            <w:vAlign w:val="bottom"/>
          </w:tcPr>
          <w:p>
            <w:pPr>
              <w:spacing w:after="0"/>
              <w:rPr>
                <w:sz w:val="18"/>
                <w:szCs w:val="18"/>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ind w:right="479"/>
              <w:spacing w:after="0"/>
              <w:rPr>
                <w:sz w:val="20"/>
                <w:szCs w:val="20"/>
                <w:color w:val="auto"/>
              </w:rPr>
            </w:pPr>
            <w:r>
              <w:rPr>
                <w:rFonts w:ascii="Arial" w:cs="Arial" w:eastAsia="Arial" w:hAnsi="Arial"/>
                <w:sz w:val="16"/>
                <w:szCs w:val="16"/>
                <w:color w:val="auto"/>
                <w:w w:val="94"/>
              </w:rPr>
              <w:t>–%</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7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During 2024, the Company granted performance-based stock options ("PSOs") to the executive leadership team. Vesting of the PSOs is based upon attainment of certain Medicare reimbursement coverages by the end of 2025 and subject to continuous service by the executives. Fair value was estimated using the Black-Scholes option-pricing model. Total grant-date fair value of the PSOs was $0.3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performance-based stock option activity for the nine months ended September 30, 2024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Outstanding Performance-Based Options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0"/>
        </w:trPr>
        <w:tc>
          <w:tcPr>
            <w:tcW w:w="5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26"/>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6"/>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6"/>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2"/>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26"/>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60" w:type="dxa"/>
            <w:vAlign w:val="bottom"/>
          </w:tcPr>
          <w:p>
            <w:pPr>
              <w:spacing w:after="0"/>
              <w:rPr>
                <w:sz w:val="14"/>
                <w:szCs w:val="14"/>
                <w:color w:val="auto"/>
              </w:rPr>
            </w:pPr>
          </w:p>
        </w:tc>
        <w:tc>
          <w:tcPr>
            <w:tcW w:w="1240" w:type="dxa"/>
            <w:vAlign w:val="bottom"/>
          </w:tcPr>
          <w:p>
            <w:pPr>
              <w:jc w:val="right"/>
              <w:ind w:right="20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182"/>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26"/>
              <w:spacing w:after="0"/>
              <w:rPr>
                <w:sz w:val="20"/>
                <w:szCs w:val="20"/>
                <w:color w:val="auto"/>
              </w:rPr>
            </w:pPr>
            <w:r>
              <w:rPr>
                <w:rFonts w:ascii="Arial" w:cs="Arial" w:eastAsia="Arial" w:hAnsi="Arial"/>
                <w:sz w:val="14"/>
                <w:szCs w:val="14"/>
                <w:b w:val="1"/>
                <w:bCs w:val="1"/>
                <w:color w:val="auto"/>
              </w:rPr>
              <w:t>Term (in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4"/>
              <w:spacing w:after="0"/>
              <w:rPr>
                <w:sz w:val="20"/>
                <w:szCs w:val="20"/>
                <w:color w:val="auto"/>
              </w:rPr>
            </w:pPr>
            <w:r>
              <w:rPr>
                <w:rFonts w:ascii="Arial" w:cs="Arial" w:eastAsia="Arial" w:hAnsi="Arial"/>
                <w:sz w:val="14"/>
                <w:szCs w:val="14"/>
                <w:b w:val="1"/>
                <w:bCs w:val="1"/>
                <w:color w:val="auto"/>
              </w:rPr>
              <w:t>Intrinsic</w:t>
            </w:r>
          </w:p>
        </w:tc>
      </w:tr>
      <w:tr>
        <w:trPr>
          <w:trHeight w:val="185"/>
        </w:trPr>
        <w:tc>
          <w:tcPr>
            <w:tcW w:w="576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Value</w:t>
            </w: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215"/>
        </w:trPr>
        <w:tc>
          <w:tcPr>
            <w:tcW w:w="57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Options granted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271,500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ind w:right="42"/>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2024</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271,500</w:t>
            </w:r>
          </w:p>
        </w:tc>
        <w:tc>
          <w:tcPr>
            <w:tcW w:w="1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1.61</w:t>
            </w:r>
          </w:p>
        </w:tc>
        <w:tc>
          <w:tcPr>
            <w:tcW w:w="1400" w:type="dxa"/>
            <w:vAlign w:val="bottom"/>
            <w:tcBorders>
              <w:bottom w:val="single" w:sz="8" w:color="CFF0FC"/>
            </w:tcBorders>
            <w:gridSpan w:val="2"/>
            <w:shd w:val="clear" w:color="auto" w:fill="CFF0FC"/>
          </w:tcPr>
          <w:p>
            <w:pPr>
              <w:jc w:val="right"/>
              <w:ind w:right="46"/>
              <w:spacing w:after="0"/>
              <w:rPr>
                <w:sz w:val="20"/>
                <w:szCs w:val="20"/>
                <w:color w:val="auto"/>
              </w:rPr>
            </w:pPr>
            <w:r>
              <w:rPr>
                <w:rFonts w:ascii="Arial" w:cs="Arial" w:eastAsia="Arial" w:hAnsi="Arial"/>
                <w:sz w:val="16"/>
                <w:szCs w:val="16"/>
                <w:color w:val="auto"/>
              </w:rPr>
              <w:t>9.45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1,024,675</w:t>
            </w:r>
          </w:p>
        </w:tc>
      </w:tr>
      <w:tr>
        <w:trPr>
          <w:trHeight w:val="197"/>
        </w:trPr>
        <w:tc>
          <w:tcPr>
            <w:tcW w:w="5760" w:type="dxa"/>
            <w:vAlign w:val="bottom"/>
          </w:tcPr>
          <w:p>
            <w:pPr>
              <w:ind w:left="20"/>
              <w:spacing w:after="0"/>
              <w:rPr>
                <w:sz w:val="20"/>
                <w:szCs w:val="20"/>
                <w:color w:val="auto"/>
              </w:rPr>
            </w:pPr>
            <w:r>
              <w:rPr>
                <w:rFonts w:ascii="Arial" w:cs="Arial" w:eastAsia="Arial" w:hAnsi="Arial"/>
                <w:sz w:val="16"/>
                <w:szCs w:val="16"/>
                <w:color w:val="auto"/>
              </w:rPr>
              <w:t>Options vested and exercisable as of September 30, 2024</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0"/>
        </w:trPr>
        <w:tc>
          <w:tcPr>
            <w:tcW w:w="5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93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-334010</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("RSU") Activity and Valuation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for the nine months ended September 30, 2024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4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Unvested Restricted Stock Units</w:t>
            </w:r>
          </w:p>
        </w:tc>
        <w:tc>
          <w:tcPr>
            <w:tcW w:w="1200" w:type="dxa"/>
            <w:vAlign w:val="bottom"/>
            <w:tcBorders>
              <w:bottom w:val="single" w:sz="8" w:color="auto"/>
            </w:tcBorders>
          </w:tcPr>
          <w:p>
            <w:pPr>
              <w:spacing w:after="0"/>
              <w:rPr>
                <w:sz w:val="16"/>
                <w:szCs w:val="16"/>
                <w:color w:val="auto"/>
              </w:rPr>
            </w:pPr>
          </w:p>
        </w:tc>
      </w:tr>
      <w:tr>
        <w:trPr>
          <w:trHeight w:val="160"/>
        </w:trPr>
        <w:tc>
          <w:tcPr>
            <w:tcW w:w="6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223"/>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6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263"/>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43"/>
              <w:spacing w:after="0"/>
              <w:rPr>
                <w:sz w:val="20"/>
                <w:szCs w:val="20"/>
                <w:color w:val="auto"/>
              </w:rPr>
            </w:pPr>
            <w:r>
              <w:rPr>
                <w:rFonts w:ascii="Arial" w:cs="Arial" w:eastAsia="Arial" w:hAnsi="Arial"/>
                <w:sz w:val="14"/>
                <w:szCs w:val="14"/>
                <w:b w:val="1"/>
                <w:bCs w:val="1"/>
                <w:color w:val="auto"/>
              </w:rPr>
              <w:t>Aggregate</w:t>
            </w:r>
          </w:p>
        </w:tc>
      </w:tr>
      <w:tr>
        <w:trPr>
          <w:trHeight w:val="185"/>
        </w:trPr>
        <w:tc>
          <w:tcPr>
            <w:tcW w:w="65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5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2023</w:t>
            </w:r>
          </w:p>
        </w:tc>
        <w:tc>
          <w:tcPr>
            <w:tcW w:w="15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1,253,826</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8.99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2,633</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RSUs granted</w:t>
            </w:r>
          </w:p>
        </w:tc>
        <w:tc>
          <w:tcPr>
            <w:tcW w:w="15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 vested</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(340,079 )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11.92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639</w:t>
            </w:r>
          </w:p>
        </w:tc>
      </w:tr>
      <w:tr>
        <w:trPr>
          <w:trHeight w:val="216"/>
        </w:trPr>
        <w:tc>
          <w:tcPr>
            <w:tcW w:w="6580" w:type="dxa"/>
            <w:vAlign w:val="bottom"/>
          </w:tcPr>
          <w:p>
            <w:pPr>
              <w:ind w:left="20"/>
              <w:spacing w:after="0"/>
              <w:rPr>
                <w:sz w:val="20"/>
                <w:szCs w:val="20"/>
                <w:color w:val="auto"/>
              </w:rPr>
            </w:pPr>
            <w:r>
              <w:rPr>
                <w:rFonts w:ascii="Arial" w:cs="Arial" w:eastAsia="Arial" w:hAnsi="Arial"/>
                <w:sz w:val="16"/>
                <w:szCs w:val="16"/>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(212,153 )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Balance—September 30, 2024</w:t>
            </w:r>
          </w:p>
        </w:tc>
        <w:tc>
          <w:tcPr>
            <w:tcW w:w="15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701,594</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7.20</w:t>
            </w:r>
          </w:p>
        </w:tc>
        <w:tc>
          <w:tcPr>
            <w:tcW w:w="3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16"/>
                <w:szCs w:val="16"/>
                <w:color w:val="auto"/>
              </w:rPr>
              <w:t>3,775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1" w:lineRule="exact"/>
        <w:rPr>
          <w:sz w:val="20"/>
          <w:szCs w:val="20"/>
          <w:color w:val="auto"/>
        </w:rPr>
      </w:pPr>
    </w:p>
    <w:p>
      <w:pPr>
        <w:jc w:val="both"/>
        <w:ind w:right="60" w:firstLine="749"/>
        <w:spacing w:after="0" w:line="286" w:lineRule="auto"/>
        <w:rPr>
          <w:sz w:val="20"/>
          <w:szCs w:val="20"/>
          <w:color w:val="auto"/>
        </w:rPr>
      </w:pPr>
      <w:r>
        <w:rPr>
          <w:rFonts w:ascii="Arial" w:cs="Arial" w:eastAsia="Arial" w:hAnsi="Arial"/>
          <w:sz w:val="16"/>
          <w:szCs w:val="16"/>
          <w:color w:val="auto"/>
        </w:rPr>
        <w:t>As of September 30, 2024, the unrecognized stock-based compensation cost of unvested RSUs was $3.3 million, which is expected to be recognized over a weighted-average period of 1.3 years.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nine months ended September 30, 2024 and 2023, 391,415 and 468,643 shares of common stock were purchased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Purchase Plan ("ESPP"). The fair value of stock purchase rights granted under the ESPP was estimated using the following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3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and Nine Months Ended September 30,</w:t>
            </w:r>
          </w:p>
        </w:tc>
      </w:tr>
      <w:tr>
        <w:trPr>
          <w:trHeight w:val="183"/>
        </w:trPr>
        <w:tc>
          <w:tcPr>
            <w:tcW w:w="73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0.50</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0.50</w:t>
            </w:r>
          </w:p>
        </w:tc>
        <w:tc>
          <w:tcPr>
            <w:tcW w:w="40" w:type="dxa"/>
            <w:vAlign w:val="bottom"/>
          </w:tcPr>
          <w:p>
            <w:pPr>
              <w:spacing w:after="0"/>
              <w:rPr>
                <w:sz w:val="18"/>
                <w:szCs w:val="18"/>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61.35 %</w:t>
            </w: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84.88 %</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5.43 %</w:t>
            </w: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5.14 %</w:t>
            </w:r>
          </w:p>
        </w:tc>
      </w:tr>
      <w:tr>
        <w:trPr>
          <w:trHeight w:val="217"/>
        </w:trPr>
        <w:tc>
          <w:tcPr>
            <w:tcW w:w="73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2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Grant-date fair value per share</w:t>
            </w:r>
          </w:p>
        </w:tc>
        <w:tc>
          <w:tcPr>
            <w:tcW w:w="1200" w:type="dxa"/>
            <w:vAlign w:val="bottom"/>
            <w:shd w:val="clear" w:color="auto" w:fill="CFF0FC"/>
          </w:tcPr>
          <w:p>
            <w:pPr>
              <w:jc w:val="right"/>
              <w:ind w:right="1025"/>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0.51</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0.91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r>
      <w:tr>
        <w:trPr>
          <w:trHeight w:val="210"/>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Service-based stock options</w:t>
            </w:r>
          </w:p>
        </w:tc>
        <w:tc>
          <w:tcPr>
            <w:tcW w:w="220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1,267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1,458</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3,719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4,306</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Performance-based stock options</w:t>
            </w: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17"/>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w:t>
            </w:r>
          </w:p>
        </w:tc>
        <w:tc>
          <w:tcPr>
            <w:tcW w:w="1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1,324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1,840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4,056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5,720</w:t>
            </w: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color w:val="auto"/>
              </w:rPr>
              <w:t>ESPP</w:t>
            </w:r>
          </w:p>
        </w:tc>
        <w:tc>
          <w:tcPr>
            <w:tcW w:w="14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636</w:t>
            </w:r>
          </w:p>
        </w:tc>
      </w:tr>
      <w:tr>
        <w:trPr>
          <w:trHeight w:val="250"/>
        </w:trPr>
        <w:tc>
          <w:tcPr>
            <w:tcW w:w="4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stock-based compensation expense</w:t>
            </w:r>
          </w:p>
        </w:tc>
        <w:tc>
          <w:tcPr>
            <w:tcW w:w="2200" w:type="dxa"/>
            <w:vAlign w:val="bottom"/>
            <w:gridSpan w:val="2"/>
            <w:shd w:val="clear" w:color="auto" w:fill="CFF0FC"/>
          </w:tcPr>
          <w:p>
            <w:pPr>
              <w:jc w:val="right"/>
              <w:ind w:right="5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2,677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3,482</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8,017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10,662</w:t>
            </w:r>
          </w:p>
        </w:tc>
      </w:tr>
      <w:tr>
        <w:trPr>
          <w:trHeight w:val="613"/>
        </w:trPr>
        <w:tc>
          <w:tcPr>
            <w:tcW w:w="436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20</w:t>
            </w:r>
          </w:p>
        </w:tc>
        <w:tc>
          <w:tcPr>
            <w:tcW w:w="7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751"/>
        </w:trPr>
        <w:tc>
          <w:tcPr>
            <w:tcW w:w="4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-916305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-899160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-916305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-899160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-899160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78" w:right="29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740" w:type="dxa"/>
            <w:vAlign w:val="bottom"/>
            <w:shd w:val="clear" w:color="auto" w:fill="CFF0FC"/>
          </w:tcPr>
          <w:p>
            <w:pPr>
              <w:jc w:val="right"/>
              <w:ind w:right="544"/>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428</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463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1,354</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74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2,999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3,698</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7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1,515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1,842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4,555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5,610</w:t>
            </w:r>
          </w:p>
        </w:tc>
      </w:tr>
      <w:tr>
        <w:trPr>
          <w:trHeight w:val="209"/>
        </w:trPr>
        <w:tc>
          <w:tcPr>
            <w:tcW w:w="5820" w:type="dxa"/>
            <w:vAlign w:val="bottom"/>
          </w:tcPr>
          <w:p>
            <w:pPr>
              <w:ind w:left="200"/>
              <w:spacing w:after="0"/>
              <w:rPr>
                <w:sz w:val="20"/>
                <w:szCs w:val="20"/>
                <w:color w:val="auto"/>
              </w:rPr>
            </w:pPr>
            <w:r>
              <w:rPr>
                <w:rFonts w:ascii="Arial" w:cs="Arial" w:eastAsia="Arial" w:hAnsi="Arial"/>
                <w:sz w:val="16"/>
                <w:szCs w:val="16"/>
                <w:color w:val="auto"/>
              </w:rPr>
              <w:t>Total stock-based compensation expense</w:t>
            </w:r>
          </w:p>
        </w:tc>
        <w:tc>
          <w:tcPr>
            <w:tcW w:w="740" w:type="dxa"/>
            <w:vAlign w:val="bottom"/>
          </w:tcPr>
          <w:p>
            <w:pPr>
              <w:jc w:val="right"/>
              <w:ind w:right="544"/>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2,677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3,482</w:t>
            </w:r>
          </w:p>
        </w:tc>
        <w:tc>
          <w:tcPr>
            <w:tcW w:w="40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8,017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10,662</w:t>
            </w:r>
          </w:p>
        </w:tc>
      </w:tr>
      <w:tr>
        <w:trPr>
          <w:trHeight w:val="20"/>
        </w:trPr>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-170815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Contingencies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 xml:space="preserve">In June 2024, the Company and Foresight Diagnostics Inc. ("Foresight") entered into a Settlement and License Agreement (the "S&amp;L Agreement") to settle litigation related to alleged patent infringement by Foresight. The Company filed complaints against Foresight—one in August 2022 and a second in June 2023—for infringement of certain of the Company's patents relating to detection of MRD. Foresight filed counterclaims and alleged that its solid tumor recurrence test does not infringe the Company's patents and invalidated two of the Company's patents, and sought to invalidate certain of the Company's other patents, through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with the U.S. Patent Trial and Appeal Board ("PTAB"). Pursuant to the S&amp;L Agreement, Foresight and the Company agreed to dismiss the pending claims of infringement and related defenses and counterclaims, and to end the remaining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S&amp;L Agreement, the Company granted Foresight a non-exclusive, worldwide license under certain patents of the Company to develop, manufacture, commercialize and otherwise exploit products and services that use whole genome sequencing and a variable content minimal/molecular residual disease panel that utilizes phased variants in consideration for which Foresight agreed to pay the Company a low single-digit tiered royalty on sales of products and services covered by patents licensed by the Company, subject to customary reductions. The license is perpetual and irrevocable, except in certain limited circumstances, which apply on a patent-by-patent basis. Upon the occurrence of certain specified change of control events with respect to Foresight, the highest percentage of the royalty tiers is subject to a low single-digit increase and Foresight will pay a one-time fee in the low single-digit millions. The term of the S&amp;L Agreement runs through expiration of the patents licensed by the Company to Foresight.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Basic and Diluted Net Loss Per Common Share</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assumed release of outstanding RSUs, assumed issuance of common stock under the ESPP, and the assumed exercise of Tempus Warrants. The Company incurred net losses in the periods presented, and as a result, potential common shares from stock options, RSUs, ESPP issuances, and the Tempus Warrants were not included in the diluted shares used to calculate net loss per share, as their inclusion would have been anti-dilutive.</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10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(39,089 )</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(64,859 )</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(81,712 )</w:t>
            </w:r>
          </w:p>
        </w:tc>
      </w:tr>
      <w:tr>
        <w:trPr>
          <w:trHeight w:val="215"/>
        </w:trPr>
        <w:tc>
          <w:tcPr>
            <w:tcW w:w="582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outstanding—basic and diluted</w:t>
            </w:r>
          </w:p>
        </w:tc>
        <w:tc>
          <w:tcPr>
            <w:tcW w:w="2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61,051,350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48,694,324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54,708,205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47,701,369</w:t>
            </w:r>
          </w:p>
        </w:tc>
      </w:tr>
      <w:tr>
        <w:trPr>
          <w:trHeight w:val="25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common share—basic and diluted</w:t>
            </w: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(0.64 )</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(0.60 )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0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to purchase common stock</w:t>
            </w:r>
          </w:p>
        </w:tc>
        <w:tc>
          <w:tcPr>
            <w:tcW w:w="302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8,918,477</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7,731,587</w:t>
            </w:r>
          </w:p>
        </w:tc>
        <w:tc>
          <w:tcPr>
            <w:tcW w:w="138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8,918,477</w:t>
            </w:r>
          </w:p>
        </w:tc>
        <w:tc>
          <w:tcPr>
            <w:tcW w:w="14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7,731,587</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Unvested RSUs</w:t>
            </w:r>
          </w:p>
        </w:tc>
        <w:tc>
          <w:tcPr>
            <w:tcW w:w="3020" w:type="dxa"/>
            <w:vAlign w:val="bottom"/>
            <w:gridSpan w:val="2"/>
          </w:tcPr>
          <w:p>
            <w:pPr>
              <w:jc w:val="right"/>
              <w:ind w:right="45"/>
              <w:spacing w:after="0"/>
              <w:rPr>
                <w:sz w:val="20"/>
                <w:szCs w:val="20"/>
                <w:color w:val="auto"/>
              </w:rPr>
            </w:pPr>
            <w:r>
              <w:rPr>
                <w:rFonts w:ascii="Arial" w:cs="Arial" w:eastAsia="Arial" w:hAnsi="Arial"/>
                <w:sz w:val="16"/>
                <w:szCs w:val="16"/>
                <w:color w:val="auto"/>
              </w:rPr>
              <w:t>701,594</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1,611,229</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701,594</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1,611,229</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17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192,341</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413,450</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192,341</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413,450</w:t>
            </w:r>
          </w:p>
        </w:tc>
        <w:tc>
          <w:tcPr>
            <w:tcW w:w="0" w:type="dxa"/>
            <w:vAlign w:val="bottom"/>
          </w:tcPr>
          <w:p>
            <w:pPr>
              <w:spacing w:after="0"/>
              <w:rPr>
                <w:sz w:val="1"/>
                <w:szCs w:val="1"/>
                <w:color w:val="auto"/>
              </w:rPr>
            </w:pPr>
          </w:p>
        </w:tc>
      </w:tr>
      <w:tr>
        <w:trPr>
          <w:trHeight w:val="209"/>
        </w:trPr>
        <w:tc>
          <w:tcPr>
            <w:tcW w:w="4040" w:type="dxa"/>
            <w:vAlign w:val="bottom"/>
          </w:tcPr>
          <w:p>
            <w:pPr>
              <w:ind w:left="200"/>
              <w:spacing w:after="0"/>
              <w:rPr>
                <w:sz w:val="20"/>
                <w:szCs w:val="20"/>
                <w:color w:val="auto"/>
              </w:rPr>
            </w:pPr>
            <w:r>
              <w:rPr>
                <w:rFonts w:ascii="Arial" w:cs="Arial" w:eastAsia="Arial" w:hAnsi="Arial"/>
                <w:sz w:val="16"/>
                <w:szCs w:val="16"/>
                <w:color w:val="auto"/>
              </w:rPr>
              <w:t>Total</w:t>
            </w:r>
          </w:p>
        </w:tc>
        <w:tc>
          <w:tcPr>
            <w:tcW w:w="3020" w:type="dxa"/>
            <w:vAlign w:val="bottom"/>
            <w:gridSpan w:val="2"/>
          </w:tcPr>
          <w:p>
            <w:pPr>
              <w:jc w:val="right"/>
              <w:ind w:right="45"/>
              <w:spacing w:after="0"/>
              <w:rPr>
                <w:sz w:val="20"/>
                <w:szCs w:val="20"/>
                <w:color w:val="auto"/>
              </w:rPr>
            </w:pPr>
            <w:r>
              <w:rPr>
                <w:rFonts w:ascii="Arial" w:cs="Arial" w:eastAsia="Arial" w:hAnsi="Arial"/>
                <w:sz w:val="16"/>
                <w:szCs w:val="16"/>
                <w:color w:val="auto"/>
              </w:rPr>
              <w:t>9,812,412</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9,756,266</w:t>
            </w:r>
          </w:p>
        </w:tc>
        <w:tc>
          <w:tcPr>
            <w:tcW w:w="1380" w:type="dxa"/>
            <w:vAlign w:val="bottom"/>
            <w:gridSpan w:val="2"/>
          </w:tcPr>
          <w:p>
            <w:pPr>
              <w:jc w:val="right"/>
              <w:ind w:right="45"/>
              <w:spacing w:after="0"/>
              <w:rPr>
                <w:sz w:val="20"/>
                <w:szCs w:val="20"/>
                <w:color w:val="auto"/>
              </w:rPr>
            </w:pPr>
            <w:r>
              <w:rPr>
                <w:rFonts w:ascii="Arial" w:cs="Arial" w:eastAsia="Arial" w:hAnsi="Arial"/>
                <w:sz w:val="16"/>
                <w:szCs w:val="16"/>
                <w:color w:val="auto"/>
              </w:rPr>
              <w:t>9,812,412</w:t>
            </w:r>
          </w:p>
        </w:tc>
        <w:tc>
          <w:tcPr>
            <w:tcW w:w="1400" w:type="dxa"/>
            <w:vAlign w:val="bottom"/>
            <w:gridSpan w:val="2"/>
          </w:tcPr>
          <w:p>
            <w:pPr>
              <w:jc w:val="right"/>
              <w:ind w:right="44"/>
              <w:spacing w:after="0"/>
              <w:rPr>
                <w:sz w:val="20"/>
                <w:szCs w:val="20"/>
                <w:color w:val="auto"/>
              </w:rPr>
            </w:pPr>
            <w:r>
              <w:rPr>
                <w:rFonts w:ascii="Arial" w:cs="Arial" w:eastAsia="Arial" w:hAnsi="Arial"/>
                <w:sz w:val="16"/>
                <w:szCs w:val="16"/>
                <w:color w:val="auto"/>
              </w:rPr>
              <w:t>9,756,266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0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0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-1062355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-1062355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-1062355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the related notes and other financial information included elsewhere in this Quarterly Report on Form 10-Q and our Annual Report on Form 10-K for the fiscal year ended December 31, 2023 filed with the Securities and Exchange Commission (the “SEC”) on February 28, 2024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develop and market advanced cancer genomic tests. Our tests are used by pharmaceutical companies for translational research, biomarker discovery, the development of personalized cancer therapies, and, we expect in the near future, for clinical trial enrollment. Our tests are used by physicians to detect cancer recurrence, monitor cancer evolution, and uncover insights for therapy selection. We also provide sequencing and data analysis services to support population sequencing initiatives.</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AI, Inc. ("Tempus") to commercialize our NeXT Personal Dx test.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15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primarily focusing on three indications: breast cancer, lung cancer, and immunotherapy (IO) monitoring. We have collaborations with Cancer Research UK, University College London, and the Francis Crick Institute (the TRACERx study); The Royal Marsden; the Vall d'Hebron Institute of Oncology (VHIO); Duke University; Vanderbilt University and Johns Hopkins University (the PREDICT study); the Dana-Farber Cancer Institute; University Medical Center Hamburg-Eppendorf (also known as UKE); and Criterium and the Academic Breast Cancer Consortium that will focus on building the evidence-base for our technology and these indications. If the key opinion leaders ("KOLs") we are collaborating with have a positive experience using our products, we are optimistic this will support broader use of our products by other KOLs, as well as clinicians in the future.</w:t>
      </w:r>
    </w:p>
    <w:p>
      <w:pPr>
        <w:spacing w:after="0" w:line="3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more than 475,000 human samples, of which more than 190,000 were whole human genomes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2024 Highlights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Total revenue increased 41%, or $7.5 million, during the third quarter of 2024 compared to the third quarter of 2023, driven by higher revenue from pharma tests. Revenue from pharma tests was $15.7 million in the third quarter of 2024 compared to $8.0 million in the third quarter of 2023, an increase of 96%. This increase was partially offset by lower revenue from enterprise sales, which declined $2.5 million, or 33%.</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Key business accomplishments and financial updates in the third quarter of 2024 include:</w:t>
      </w:r>
    </w:p>
    <w:p>
      <w:pPr>
        <w:spacing w:after="0" w:line="181" w:lineRule="exact"/>
        <w:rPr>
          <w:sz w:val="20"/>
          <w:szCs w:val="20"/>
          <w:color w:val="auto"/>
        </w:rPr>
      </w:pPr>
    </w:p>
    <w:p>
      <w:pPr>
        <w:jc w:val="both"/>
        <w:ind w:left="1140" w:hanging="383"/>
        <w:spacing w:after="0" w:line="266" w:lineRule="auto"/>
        <w:tabs>
          <w:tab w:leader="none" w:pos="11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Raised approximately $35.0 million in net financing proceeds from Tempus AI, Inc. (Tempus), consisting of $18.4 million from Tempus’ exercise of all its common stock warrants, at an average price of $2.00 per share, and $16.6 million net of expenses, from Tempus' purchase of common stock at a price of $5.07 per share.</w:t>
      </w:r>
    </w:p>
    <w:p>
      <w:pPr>
        <w:spacing w:after="0" w:line="14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Raised an additional $27.2 million in net proceeds from selling common stock under our At-The-Market (ATM) program at a weighted-average price of $5.84 per share.</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Delivered 945 total molecular tests in the third quarter of 2024, a 68% increase compared with the prior quarter.</w:t>
      </w:r>
    </w:p>
    <w:p>
      <w:pPr>
        <w:spacing w:after="0" w:line="193" w:lineRule="exact"/>
        <w:rPr>
          <w:rFonts w:ascii="Times New Roman" w:cs="Times New Roman" w:eastAsia="Times New Roman" w:hAnsi="Times New Roman"/>
          <w:sz w:val="16"/>
          <w:szCs w:val="16"/>
          <w:color w:val="auto"/>
        </w:rPr>
      </w:pPr>
    </w:p>
    <w:p>
      <w:pPr>
        <w:ind w:left="1140" w:hanging="383"/>
        <w:spacing w:after="0" w:line="262" w:lineRule="auto"/>
        <w:tabs>
          <w:tab w:leader="none" w:pos="11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Highlighted clinical performance of NeXT Personal at the European Society of Medical Oncology (ESMO) Congress 2024 in Barcelona, Spain: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ind w:left="1540" w:hanging="514"/>
        <w:spacing w:after="0" w:line="266" w:lineRule="auto"/>
        <w:tabs>
          <w:tab w:leader="none" w:pos="1540" w:val="left"/>
        </w:tabs>
        <w:numPr>
          <w:ilvl w:val="1"/>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results from the TRACERx study presented by Professor Charles Swanton of University College London and the Francis Crick Institute with an expanded study cohort of non-small cell lung cancer (NSCLC) patients with strong detection rates for residual cancer in the challenging landmark period (first 10 to 120 days immediately after surgery).</w:t>
      </w:r>
    </w:p>
    <w:p>
      <w:pPr>
        <w:spacing w:after="0" w:line="143" w:lineRule="exact"/>
        <w:rPr>
          <w:rFonts w:ascii="Times New Roman" w:cs="Times New Roman" w:eastAsia="Times New Roman" w:hAnsi="Times New Roman"/>
          <w:sz w:val="16"/>
          <w:szCs w:val="16"/>
          <w:color w:val="auto"/>
        </w:rPr>
      </w:pPr>
    </w:p>
    <w:p>
      <w:pPr>
        <w:jc w:val="both"/>
        <w:ind w:left="1540" w:hanging="514"/>
        <w:spacing w:after="0" w:line="266" w:lineRule="auto"/>
        <w:tabs>
          <w:tab w:leader="none" w:pos="1540" w:val="left"/>
        </w:tabs>
        <w:numPr>
          <w:ilvl w:val="1"/>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Compelling data for late-stage cancer patients on immunotherapy presented by Dr. Rodrigo Toledo of the Vall d’Hebron Institute of Oncology that accurately linked significant decreases in ctDNA levels in response to immunotherapy to longer overall survival than patients who did not respond well.</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Received a new task order in the amount of $7.5 million from the VA MVP.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primarily from sales of advanced sequencing and analytics to the following four groups of customers:</w:t>
      </w:r>
    </w:p>
    <w:p>
      <w:pPr>
        <w:spacing w:after="0" w:line="181" w:lineRule="exact"/>
        <w:rPr>
          <w:sz w:val="20"/>
          <w:szCs w:val="20"/>
          <w:color w:val="auto"/>
        </w:rPr>
      </w:pPr>
    </w:p>
    <w:p>
      <w:pPr>
        <w:ind w:left="1140" w:hanging="383"/>
        <w:spacing w:after="0" w:line="285" w:lineRule="auto"/>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other businesses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 currently makes up substantially all of the revenue in this category.</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All of the revenue in this category is from our partnership with the VA MVP.</w:t>
      </w:r>
    </w:p>
    <w:p>
      <w:pPr>
        <w:spacing w:after="0" w:line="115"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This category also includes sales of diagnostics tests</w:t>
      </w:r>
      <w:r>
        <w:rPr>
          <w:rFonts w:ascii="Arial" w:cs="Arial" w:eastAsia="Arial" w:hAnsi="Arial"/>
          <w:sz w:val="16"/>
          <w:szCs w:val="16"/>
          <w:b w:val="1"/>
          <w:bCs w:val="1"/>
          <w:color w:val="auto"/>
        </w:rPr>
        <w:t xml:space="preserve"> </w:t>
      </w:r>
      <w:r>
        <w:rPr>
          <w:rFonts w:ascii="Arial" w:cs="Arial" w:eastAsia="Arial" w:hAnsi="Arial"/>
          <w:sz w:val="16"/>
          <w:szCs w:val="16"/>
          <w:color w:val="auto"/>
        </w:rPr>
        <w:t>ordered by healthcare providers for cancer patients.</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expand our customer base within each group, and expand our business in the clinical diagnostics market. To do this, we are developing a growing set of state-of-the-art services and products; advancing our operational infrastructure; building our regulatory credentials; focusing our marketing efforts on large pharmaceutical companies; developing and publishing the clinical evidence-base to support our products and our key indications, as well as working to obtain reimbursement coverage from Medicare and other payors; and seeking additional partnerships such as ours with Natera. We sell through a small direct sales force. In late 2023, we entered into an agreement with Tempus to commercialize NeXT Personal Dx in the clinical diagnostics market and will be leveraging Tempus' significantly larger sales force.</w:t>
      </w:r>
    </w:p>
    <w:p>
      <w:pPr>
        <w:spacing w:after="0" w:line="33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one reportable segment from the sale of sequencing and data analysis services. Most of our revenue to date has been derived from sales in the United States.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Fremont facility. Over the long-term, we anticipate higher gross margins as growing revenue leads to economies of scale.</w:t>
      </w:r>
    </w:p>
    <w:p>
      <w:pPr>
        <w:spacing w:after="0" w:line="33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9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3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expense our research and development costs in the period in which they are incurred. We expect research and development expenses to remain fairly flat in the short-term since the completion of our reductions in workforce in 2023. Research and development expenses may decrease in the medium-term after investments in developing and publishing the clinical evidence-base to support our products and our key indications conclude.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Selling, general and administrative expenses have decreased significantly since the completion of our reductions in workforce in 2023. We expect expenses to remain around this lower level over the short-term, but may increase in the medium-term to support future growth of our clinical diagnostic offerings.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Restructuring and other charges consists of charges in connection with our reductions in workforce and charges in connection with the closure of our China operations.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Interest income consists primarily of interest earned on our cash, cash equivalents, and short-term investments. Interest expense is the recognition of imputed interest on noninterest bearing loans.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connection with our November 2023 agreement with Tempus, we issued two warrants to Tempus to purchase, in the aggregate, up to 9,218,800 shares of our common stock (the “Tempus Warrants”). Other income (expense), net consists primarily of a noncash loss related to the remeasurement and settlement of the Tempus Warrants. Other income (expense), net also includes foreign currency exchange gains and losses.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sets forth, for the periods presented, our unaudited consolidated statements of operations and selected financial data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60" w:type="dxa"/>
            <w:vAlign w:val="bottom"/>
            <w:tcBorders>
              <w:bottom w:val="single" w:sz="8" w:color="auto"/>
            </w:tcBorders>
            <w:gridSpan w:val="6"/>
          </w:tcPr>
          <w:p>
            <w:pPr>
              <w:jc w:val="right"/>
              <w:ind w:right="84"/>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20" w:type="dxa"/>
            <w:vAlign w:val="bottom"/>
            <w:tcBorders>
              <w:bottom w:val="single" w:sz="8" w:color="auto"/>
            </w:tcBorders>
            <w:gridSpan w:val="8"/>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25,709</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18,247</w:t>
            </w:r>
          </w:p>
        </w:tc>
        <w:tc>
          <w:tcPr>
            <w:tcW w:w="700" w:type="dxa"/>
            <w:vAlign w:val="bottom"/>
            <w:gridSpan w:val="2"/>
            <w:shd w:val="clear" w:color="auto" w:fill="CFF0FC"/>
          </w:tcPr>
          <w:p>
            <w:pPr>
              <w:jc w:val="right"/>
              <w:ind w:right="384"/>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67,814</w:t>
            </w: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53,806</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16,964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14,766</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45,539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40,803</w:t>
            </w:r>
          </w:p>
        </w:tc>
      </w:tr>
      <w:tr>
        <w:trPr>
          <w:trHeight w:val="215"/>
        </w:trPr>
        <w:tc>
          <w:tcPr>
            <w:tcW w:w="58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11,683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
              <w:spacing w:after="0"/>
              <w:rPr>
                <w:sz w:val="20"/>
                <w:szCs w:val="20"/>
                <w:color w:val="auto"/>
              </w:rPr>
            </w:pPr>
            <w:r>
              <w:rPr>
                <w:rFonts w:ascii="Arial" w:cs="Arial" w:eastAsia="Arial" w:hAnsi="Arial"/>
                <w:sz w:val="16"/>
                <w:szCs w:val="16"/>
                <w:color w:val="auto"/>
              </w:rPr>
              <w:t>16,738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4"/>
          </w:tcPr>
          <w:p>
            <w:pPr>
              <w:jc w:val="right"/>
              <w:ind w:right="48"/>
              <w:spacing w:after="0"/>
              <w:rPr>
                <w:sz w:val="20"/>
                <w:szCs w:val="20"/>
                <w:color w:val="auto"/>
              </w:rPr>
            </w:pPr>
            <w:r>
              <w:rPr>
                <w:rFonts w:ascii="Arial" w:cs="Arial" w:eastAsia="Arial" w:hAnsi="Arial"/>
                <w:sz w:val="16"/>
                <w:szCs w:val="16"/>
                <w:color w:val="auto"/>
              </w:rPr>
              <w:t>37,411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51,163</w:t>
            </w:r>
          </w:p>
        </w:tc>
      </w:tr>
      <w:tr>
        <w:trPr>
          <w:trHeight w:val="217"/>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11,444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11,971</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6"/>
                <w:szCs w:val="16"/>
                <w:color w:val="auto"/>
              </w:rPr>
              <w:t>35,019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38,202</w:t>
            </w:r>
          </w:p>
        </w:tc>
      </w:tr>
      <w:tr>
        <w:trPr>
          <w:trHeight w:val="215"/>
        </w:trPr>
        <w:tc>
          <w:tcPr>
            <w:tcW w:w="582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
              <w:spacing w:after="0"/>
              <w:rPr>
                <w:sz w:val="20"/>
                <w:szCs w:val="20"/>
                <w:color w:val="auto"/>
              </w:rPr>
            </w:pPr>
            <w:r>
              <w:rPr>
                <w:rFonts w:ascii="Arial" w:cs="Arial" w:eastAsia="Arial" w:hAnsi="Arial"/>
                <w:sz w:val="16"/>
                <w:szCs w:val="16"/>
                <w:color w:val="auto"/>
              </w:rPr>
              <w:t>5,565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5,565</w:t>
            </w:r>
          </w:p>
        </w:tc>
      </w:tr>
      <w:tr>
        <w:trPr>
          <w:trHeight w:val="217"/>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4,037</w:t>
            </w:r>
          </w:p>
        </w:tc>
      </w:tr>
      <w:tr>
        <w:trPr>
          <w:trHeight w:val="210"/>
        </w:trPr>
        <w:tc>
          <w:tcPr>
            <w:tcW w:w="5820" w:type="dxa"/>
            <w:vAlign w:val="bottom"/>
          </w:tcPr>
          <w:p>
            <w:pPr>
              <w:ind w:left="380"/>
              <w:spacing w:after="0"/>
              <w:rPr>
                <w:sz w:val="20"/>
                <w:szCs w:val="20"/>
                <w:color w:val="auto"/>
              </w:rPr>
            </w:pPr>
            <w:r>
              <w:rPr>
                <w:rFonts w:ascii="Arial" w:cs="Arial" w:eastAsia="Arial" w:hAnsi="Arial"/>
                <w:sz w:val="16"/>
                <w:szCs w:val="16"/>
                <w:color w:val="auto"/>
              </w:rPr>
              <w:t>Total costs and expenses</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
              <w:spacing w:after="0"/>
              <w:rPr>
                <w:sz w:val="20"/>
                <w:szCs w:val="20"/>
                <w:color w:val="auto"/>
              </w:rPr>
            </w:pPr>
            <w:r>
              <w:rPr>
                <w:rFonts w:ascii="Arial" w:cs="Arial" w:eastAsia="Arial" w:hAnsi="Arial"/>
                <w:sz w:val="16"/>
                <w:szCs w:val="16"/>
                <w:color w:val="auto"/>
              </w:rPr>
              <w:t>49,040</w:t>
            </w:r>
          </w:p>
        </w:tc>
        <w:tc>
          <w:tcPr>
            <w:tcW w:w="1380" w:type="dxa"/>
            <w:vAlign w:val="bottom"/>
            <w:gridSpan w:val="6"/>
          </w:tcPr>
          <w:p>
            <w:pPr>
              <w:jc w:val="right"/>
              <w:ind w:right="48"/>
              <w:spacing w:after="0"/>
              <w:rPr>
                <w:sz w:val="20"/>
                <w:szCs w:val="20"/>
                <w:color w:val="auto"/>
              </w:rPr>
            </w:pPr>
            <w:r>
              <w:rPr>
                <w:rFonts w:ascii="Arial" w:cs="Arial" w:eastAsia="Arial" w:hAnsi="Arial"/>
                <w:sz w:val="16"/>
                <w:szCs w:val="16"/>
                <w:color w:val="auto"/>
              </w:rPr>
              <w:t>117,969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139,770</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(14,382 )</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(30,793 )</w:t>
            </w:r>
          </w:p>
        </w:tc>
        <w:tc>
          <w:tcPr>
            <w:tcW w:w="14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6"/>
              </w:rPr>
              <w:t>(50,155 )</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(85,964 )</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
              <w:spacing w:after="0"/>
              <w:rPr>
                <w:sz w:val="20"/>
                <w:szCs w:val="20"/>
                <w:color w:val="auto"/>
              </w:rPr>
            </w:pPr>
            <w:r>
              <w:rPr>
                <w:rFonts w:ascii="Arial" w:cs="Arial" w:eastAsia="Arial" w:hAnsi="Arial"/>
                <w:sz w:val="16"/>
                <w:szCs w:val="16"/>
                <w:color w:val="auto"/>
              </w:rPr>
              <w:t>1,706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6"/>
                <w:szCs w:val="16"/>
                <w:color w:val="auto"/>
                <w:w w:val="99"/>
              </w:rPr>
              <w:t>3,879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4,424</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(101 )</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(26,081 )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96"/>
              </w:rPr>
              <w:t>(18,544 )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(39,086 )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(29,070 )</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w w:val="96"/>
              </w:rPr>
              <w:t>(64,845 )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(81,634 )</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r>
      <w:tr>
        <w:trPr>
          <w:trHeight w:val="250"/>
        </w:trPr>
        <w:tc>
          <w:tcPr>
            <w:tcW w:w="58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(39,089 )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(29,098 )</w:t>
            </w: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8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w w:val="96"/>
              </w:rPr>
              <w:t>(64,859 )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(81,712 )</w:t>
            </w:r>
          </w:p>
        </w:tc>
      </w:tr>
      <w:tr>
        <w:trPr>
          <w:trHeight w:val="197"/>
        </w:trPr>
        <w:tc>
          <w:tcPr>
            <w:tcW w:w="582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(0.64 )</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(0.60 )</w:t>
            </w:r>
          </w:p>
        </w:tc>
        <w:tc>
          <w:tcPr>
            <w:tcW w:w="700" w:type="dxa"/>
            <w:vAlign w:val="bottom"/>
            <w:gridSpan w:val="2"/>
          </w:tcPr>
          <w:p>
            <w:pPr>
              <w:jc w:val="right"/>
              <w:ind w:right="38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(1.19 )</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Weighted-average shares outstanding,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61,051,350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48,694,324</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gridSpan w:val="5"/>
            <w:shd w:val="clear" w:color="auto" w:fill="CFF0FC"/>
          </w:tcPr>
          <w:p>
            <w:pPr>
              <w:jc w:val="right"/>
              <w:ind w:right="48"/>
              <w:spacing w:after="0"/>
              <w:rPr>
                <w:sz w:val="20"/>
                <w:szCs w:val="20"/>
                <w:color w:val="auto"/>
              </w:rPr>
            </w:pPr>
            <w:r>
              <w:rPr>
                <w:rFonts w:ascii="Arial" w:cs="Arial" w:eastAsia="Arial" w:hAnsi="Arial"/>
                <w:sz w:val="16"/>
                <w:szCs w:val="16"/>
                <w:color w:val="auto"/>
              </w:rPr>
              <w:t>54,708,205</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47,701,369</w:t>
            </w:r>
          </w:p>
        </w:tc>
      </w:tr>
      <w:tr>
        <w:trPr>
          <w:trHeight w:val="359"/>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December 31, 2023</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4"/>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143,651</w:t>
            </w:r>
          </w:p>
        </w:tc>
        <w:tc>
          <w:tcPr>
            <w:tcW w:w="540" w:type="dxa"/>
            <w:vAlign w:val="bottom"/>
            <w:gridSpan w:val="3"/>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114,179</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133,864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99,510</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239,887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225,099</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2,880</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obligations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36,713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48,424</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73,126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95,658</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166,761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-2691130</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-2691130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-2691130</wp:posOffset>
            </wp:positionV>
            <wp:extent cx="85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-1559560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-1542415</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-1559560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-1542415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-1559560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-1542415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-1233805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-1216660</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-1216660</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-1233805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-1216660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480" w:type="dxa"/>
            <w:vAlign w:val="bottom"/>
            <w:gridSpan w:val="6"/>
          </w:tcPr>
          <w:p>
            <w:pPr>
              <w:jc w:val="center"/>
              <w:ind w:right="8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81"/>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0"/>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Pharma tests and services</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15,698</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7,997</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96%</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38,707</w:t>
            </w: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20,413</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90%</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7,812</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24,656</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(14%)</w:t>
            </w:r>
          </w:p>
        </w:tc>
      </w:tr>
      <w:tr>
        <w:trPr>
          <w:trHeight w:val="217"/>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2,400</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85%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8,405</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(14%)</w:t>
            </w: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38</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332</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50"/>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25,709</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18,247</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41%</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67,814</w:t>
            </w: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53,806</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26%</w:t>
            </w:r>
          </w:p>
        </w:tc>
      </w:tr>
      <w:tr>
        <w:trPr>
          <w:trHeight w:val="175"/>
        </w:trPr>
        <w:tc>
          <w:tcPr>
            <w:tcW w:w="37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 Not meaningful</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-148590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-131445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-148590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-131445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-148590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-131445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-148590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-131445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each period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Moderna, Inc.</w:t>
            </w:r>
          </w:p>
        </w:tc>
        <w:tc>
          <w:tcPr>
            <w:tcW w:w="1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33%</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c>
          <w:tcPr>
            <w:tcW w:w="13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28%</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5"/>
              </w:rPr>
              <w:t>*</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Natera, Inc.</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rPr>
              <w:t>43%</w:t>
            </w:r>
          </w:p>
        </w:tc>
        <w:tc>
          <w:tcPr>
            <w:tcW w:w="13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31%</w:t>
            </w:r>
          </w:p>
        </w:tc>
        <w:tc>
          <w:tcPr>
            <w:tcW w:w="140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46%</w:t>
            </w:r>
          </w:p>
        </w:tc>
      </w:tr>
      <w:tr>
        <w:trPr>
          <w:trHeight w:val="217"/>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 MVP</w:t>
            </w:r>
          </w:p>
        </w:tc>
        <w:tc>
          <w:tcPr>
            <w:tcW w:w="12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17%</w:t>
            </w:r>
          </w:p>
        </w:tc>
        <w:tc>
          <w:tcPr>
            <w:tcW w:w="140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13%</w:t>
            </w:r>
          </w:p>
        </w:tc>
        <w:tc>
          <w:tcPr>
            <w:tcW w:w="13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99"/>
              </w:rPr>
              <w:t>11%</w:t>
            </w:r>
          </w:p>
        </w:tc>
        <w:tc>
          <w:tcPr>
            <w:tcW w:w="140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w w:val="99"/>
              </w:rPr>
              <w:t>16%</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Merck &amp; Co., Inc.</w:t>
            </w:r>
          </w:p>
        </w:tc>
        <w:tc>
          <w:tcPr>
            <w:tcW w:w="1240" w:type="dxa"/>
            <w:vAlign w:val="bottom"/>
          </w:tcPr>
          <w:p>
            <w:pPr>
              <w:jc w:val="center"/>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rPr>
              <w:t>12%</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5"/>
              </w:rPr>
              <w:t>*</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w:t>
            </w:r>
          </w:p>
        </w:tc>
      </w:tr>
    </w:tbl>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Less than 10% of revenue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Revenue from pharma tests and services increased 96%, or $7.5 million, in the third quarter of 2024, and increased 90%, or $18.3 million, in the first nine months of 2024. The primary driver was increases in revenue from one of our personalized cancer therapy customers that ramped up clinical trial patient enrollments. Revenue from this customer increased $7.9 million in the third quarter of 2024 and $15.6 million in the first nine months of 2024. Revenue from this customer is expected to decline over the next few quarters until this customer enrolls patients in its next set of clinical trials. The remainder of revenue increases in the first nine months of 2024 came from a small number of our largest pharmaceutical customers.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Revenue from enterprise sales decreased 33%, or $2.5 million, in the third quarter of 2024 due to a decrease in the number of samples we processed for Natera and lower selling prices. The number of samples we processed decreased by approximately 10%, with lower selling prices accounting for the remainder of the revenue decrease.</w:t>
      </w:r>
    </w:p>
    <w:p>
      <w:pPr>
        <w:spacing w:after="0" w:line="13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Revenue from enterprise sales decreased 14%, or $3.5 million, in the first nine months of 2024 due to lower selling prices. The number of samples we processed for Natera increased by over 18%, but such increase was offset by lower selling prices.</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launched a reduced-cost version of our exome product offering for Natera near the end of the first quarter of 2024 to support their requirement for an overall reduction in cost. Our total revenue from Natera in 2024 is expected to decline from comparable periods in 2023 due to their use of the reduced-cost version of our exome product offering. Our agreement with Natera includes minimum volume commitments through the end of 2024. We do not expect our commercial relationship with Natera to extend beyond 2024.</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Population sequencing revenue is made up entirely of sales to the VA MVP. Revenue recognized each period is impacted by timing of our fulfillment of samples under each annual task order. The increase in revenue of 85%, or $2.0 million, in the third quarter of 2024 was due to an increase in the number of samples we processed because we fulfilled the VA MVP's 2023 annual task order in alignment with the VA MVP's fiscal year-end (September 2024), partially offset by a slight drop in selling prices. The decrease in revenue of 14%, or $1.2 million, in the first nine months of 2024 was due to a decrease in the number of samples we processed in addition to a slight drop in selling prices.</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annual task orders from the VA MVP in 2024, 2023, and 2022 were $7.5 million, $7.5 million, and $10.0 million, respectively. Our contract with the VA MVP does not include specific testing turnaround times. Therefore, we may modulate the volume of samples processed from the VA MVP to accommodate sample volumes from other customers, which can vary from period to period. We anticipate fulfilling the new task order received in September 2024 during the first three quarters of 2025.</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revenue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Other revenue increased $0.3 million in the third quarter of 2024 and $0.4 million in the first nine months of 2024, primarily due to increased sales of our NeXT Dx diagnostic test.</w:t>
      </w:r>
    </w:p>
    <w:p>
      <w:pPr>
        <w:sectPr>
          <w:pgSz w:w="11900" w:h="16838" w:orient="portrait"/>
          <w:cols w:equalWidth="0" w:num="1">
            <w:col w:w="11240"/>
          </w:cols>
          <w:pgMar w:left="320" w:top="77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30,</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30,</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5"/>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4"/>
          </w:tcPr>
          <w:p>
            <w:pPr>
              <w:jc w:val="center"/>
              <w:ind w:left="381"/>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4"/>
          </w:tcPr>
          <w:p>
            <w:pPr>
              <w:jc w:val="center"/>
              <w:ind w:left="402"/>
              <w:spacing w:after="0"/>
              <w:rPr>
                <w:sz w:val="20"/>
                <w:szCs w:val="20"/>
                <w:color w:val="auto"/>
              </w:rPr>
            </w:pPr>
            <w:r>
              <w:rPr>
                <w:rFonts w:ascii="Arial" w:cs="Arial" w:eastAsia="Arial" w:hAnsi="Arial"/>
                <w:sz w:val="13"/>
                <w:szCs w:val="13"/>
                <w:color w:val="auto"/>
              </w:rPr>
              <w:t>(in thousands)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16,964</w:t>
            </w:r>
          </w:p>
        </w:tc>
        <w:tc>
          <w:tcPr>
            <w:tcW w:w="60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14,766</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15%</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45,539</w:t>
            </w:r>
          </w:p>
        </w:tc>
        <w:tc>
          <w:tcPr>
            <w:tcW w:w="5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40,803</w:t>
            </w:r>
          </w:p>
        </w:tc>
        <w:tc>
          <w:tcPr>
            <w:tcW w:w="126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9"/>
              </w:rPr>
              <w:t>12%</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16,738</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51,163</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(27%)</w:t>
            </w:r>
          </w:p>
        </w:tc>
      </w:tr>
      <w:tr>
        <w:trPr>
          <w:trHeight w:val="217"/>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11,971</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35,019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38,202</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rPr>
              <w:t>(8%)</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Lease impairment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5,565</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5,565</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color w:val="auto"/>
              </w:rPr>
              <w:t>(100%)</w:t>
            </w:r>
          </w:p>
        </w:tc>
      </w:tr>
      <w:tr>
        <w:trPr>
          <w:trHeight w:val="217"/>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Restructuring and other charges</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4,037</w:t>
            </w:r>
          </w:p>
        </w:tc>
        <w:tc>
          <w:tcPr>
            <w:tcW w:w="1260" w:type="dxa"/>
            <w:vAlign w:val="bottom"/>
            <w:tcBorders>
              <w:bottom w:val="single" w:sz="8" w:color="CFF0FC"/>
            </w:tcBorders>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(100%)</w:t>
            </w: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Total costs and expenses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40,091</w:t>
            </w:r>
          </w:p>
        </w:tc>
        <w:tc>
          <w:tcPr>
            <w:tcW w:w="6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49,040</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(18%)</w:t>
            </w:r>
          </w:p>
        </w:tc>
        <w:tc>
          <w:tcPr>
            <w:tcW w:w="34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117,969</w:t>
            </w:r>
          </w:p>
        </w:tc>
        <w:tc>
          <w:tcPr>
            <w:tcW w:w="5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139,770</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(16%)</w:t>
            </w:r>
          </w:p>
        </w:tc>
      </w:tr>
      <w:tr>
        <w:trPr>
          <w:trHeight w:val="20"/>
        </w:trPr>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-170815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Cost of revenue increased 15%, or $2.2 million, in the third quarter of 2024, and increased 12%, or $4.7 million, in the first nine months of 2024, due to higher revenue levels. The corresponding revenue increases were 41% and 26%, respectively. Cost of revenue increased at a lesser rate as compared to the corresponding revenue increases primarily because of lower labor costs resulting from workforce reductions and operational efficiencies.</w:t>
      </w:r>
    </w:p>
    <w:p>
      <w:pPr>
        <w:spacing w:after="0" w:line="144"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Specific components of the increase in the third quarter of 2024 were a $2.4 million increase in direct material costs to support higher revenue levels and a $0.3 million increase in allocated facilities and equipment costs, partially offset by a $0.5 million decrease in labor costs.</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Specific components of the increase in the nine months of 2024 were a $5.8 million increase in direct material costs to support higher revenue levels and a $1.9 million increase in allocated facilities and equipment costs (mainly due to moving our laboratory from our prior Menlo Park facility to our Fremont facility), partially offset by a $2.1 million decrease in labor costs and a $0.9 million decrease in shared laboratory costs due to greater usage of our laboratory capacity for R&amp;D projects.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decreases in research and development expenses of 30%, or $5.1 million, in the third quarter of 2024, and 27%, or $13.8 million, in the first nine months of 2024 were primarily due to cost savings from our workforce reductions in 2023 and lower sample processing costs for product development, collaborations, and clinical evidence generation.</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Specific components of the decrease in the third quarter of 2024 were a $2.9 million decrease in sample processing costs incurred in our laboratory for product development, collaborations, and clinical evidence generation; a $1.4 million decrease in personnel-related costs driven by our workforce reductions; and a $0.8 million decrease in allocated facilities costs.</w:t>
      </w:r>
    </w:p>
    <w:p>
      <w:pPr>
        <w:spacing w:after="0" w:line="13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Specific components of the decrease in the first nine months of 2024 were a $5.8 million decrease in personnel-related costs driven by our workforce reductions, a $4.4 million decrease in allocated facilities costs (primarily due to a reduction in R&amp;D usage of our facilities relative to other functions, as well as lower facilities costs in general), and a $3.6 million decrease in sample processing costs incurred in our laboratory for product development, collaborations, and clinical evidence generation.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decreases in selling, general and administrative expenses of 4%, or $0.5 million, in the third quarter of 2024, and 8%, or $3.2 million, in the first nine months of 2024 were primarily due to lower professional outside services expenses and cost savings from our workforce reductions in 2023.</w:t>
      </w:r>
    </w:p>
    <w:p>
      <w:pPr>
        <w:spacing w:after="0" w:line="11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Specific components of the decrease in the third quarter of 2024 were a $1.1 million decrease in professional outside services and a $0.6 million decrease in office equipment costs, partially offset by a $0.7 million increase in allocated facilities costs and $0.5 million in other miscellaneous costs.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Specific components of the decrease in the first nine months of 2024 were a $2.3 million decrease in personnel-related costs, a $2.3 million decrease in professional outside services, and a $0.6 million decrease in office equipment costs; partially offset by a $1.4 million increase in allocated facilities costs and $0.6 million increase in marketing costs such as trade shows expenses.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During the third quarter of 2023, we completed the move of our laboratory operations from our Menlo Park facility to our Fremont facility and began actively marketing the Menlo Park space for sublease. Accordingly, we evaluated the ongoing value of the operating lease right-of-use asset associated with the Menlo Park facility. Based on this evaluation, we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(derived from a third-party real estate broker), net of brokerage commissions and estimated tenant incentives, discounted at a market</w:t>
      </w:r>
    </w:p>
    <w:p>
      <w:pPr>
        <w:sectPr>
          <w:pgSz w:w="11900" w:h="16838" w:orient="portrait"/>
          <w:cols w:equalWidth="0" w:num="1">
            <w:col w:w="11240"/>
          </w:cols>
          <w:pgMar w:left="320" w:top="77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rate of return on similar assets. The estimation of fair value also included expected downtime prior to the commencement of a future sublease.</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reduced our workforce during the first quarter of 2023 to reduce cash burn and increase operating efficiencies, which affected about 100 employees. We also closed our China operations.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$4.0 million charge recognized in the first nine months of 2023 was comprised of $3.4 million in one-time employee termination benefits (including costs related to termination of our former China employees) and $0.6 million of other noncash charges (primarily asset disposals and impairments in connection with the closure of our China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center"/>
              <w:ind w:right="161"/>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center"/>
              <w:ind w:right="61"/>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3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183"/>
        </w:trPr>
        <w:tc>
          <w:tcPr>
            <w:tcW w:w="3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1,384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1,706</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(19%)</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3,879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4,424</w:t>
            </w:r>
          </w:p>
        </w:tc>
        <w:tc>
          <w:tcPr>
            <w:tcW w:w="126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8"/>
              </w:rPr>
              <w:t>(12%)</w:t>
            </w: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(15 )</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(101 )</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(75%)</w:t>
            </w:r>
          </w:p>
        </w:tc>
      </w:tr>
      <w:tr>
        <w:trPr>
          <w:trHeight w:val="216"/>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(26,081 )</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32</w:t>
            </w:r>
          </w:p>
        </w:tc>
        <w:tc>
          <w:tcPr>
            <w:tcW w:w="1260" w:type="dxa"/>
            <w:vAlign w:val="bottom"/>
            <w:tcBorders>
              <w:bottom w:val="single" w:sz="8" w:color="CFF0FC"/>
            </w:tcBorders>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(18,544 )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CFF0FC"/>
            </w:tcBorders>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3680" w:type="dxa"/>
            <w:vAlign w:val="bottom"/>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(24,704 )</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(14,690 )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-170815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 Not meaningful</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decreases in interest income were due to lower average investment balances, partially offset by increased yields.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November 2023, we issued the Tempus Warrants. The Tempus Warrants included a provision under which the total number of shares issuable upon settlement were subject to adjustment. Consequently, the Tempus Warrants were classified as liability instruments while outstanding and subject to remeasurement at each balance sheet date, with changes in fair value recognized as other income (expense). We recognized noncash losses of $26.0 million and $18.3 million in the third quarter of 2024 and the first nine months of 2024, respectively, as a result of increases in the fair value of the Tempus Warrants since December 31, 2023. In August 2024, Tempus exercised in full the Tempus Warrants for $18.4 million in cash. There will be no further noncash gains or losses associated with the Tempus Warrants going forward.</w:t>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Separately, upon dissolution of our China entity (Personalis (Shanghai) Ltd) during the first quarter of 2024, we reclassified an accumulated foreign currency translation loss of $0.2 million to other income (expense).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selected financial information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December 31, 2023</w:t>
            </w: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143,651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114,179</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50,231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57,366</w:t>
            </w: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Contract liabilities</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3,578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7,216</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14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133,864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99,510</w:t>
            </w:r>
          </w:p>
        </w:tc>
      </w:tr>
    </w:tbl>
    <w:p>
      <w:pPr>
        <w:spacing w:after="0" w:line="16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From our inception through September 30, 2024, we have funded our operations primarily from $279.8 million in net proceeds from our follow-on equity offerings in August 2020 and January 2021, $144.0 million in net proceeds from our IPO in June 2019, $89.6 million from issuance of redeemable convertible preferred stock, $36.2 million from Tempus exercising warrants and purchasing additional shares under an investment agreement (see Note 8, "Related Party Transactions" in our unaudited consolidated financial statements for additional information), $33.6 million in net proceeds from our at-the-market ("ATM") sales facility (see Note 2, "Summary of Significant Accounting Policies" in our unaudited consolidated financial statements for additional information), as well as cash from operations and debt financings. As of September 30, 2024, we had cash and cash equivalents of $75.8 million and short-term investments of $67.9 million.</w:t>
      </w:r>
    </w:p>
    <w:p>
      <w:pPr>
        <w:spacing w:after="0" w:line="14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w:t>
      </w:r>
    </w:p>
    <w:p>
      <w:pPr>
        <w:sectPr>
          <w:pgSz w:w="11900" w:h="16838" w:orient="portrait"/>
          <w:cols w:equalWidth="0" w:num="1">
            <w:col w:w="11240"/>
          </w:cols>
          <w:pgMar w:left="320" w:top="778"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in December 2023 pursuant to which we may offer and sell up to an aggregate amount of $50.0 million of shares of our common stock through our ATM facility. As of September 30, 2024, $19.3 million in common stock remained available for future issuance under the ATM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56"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2023</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shd w:val="clear" w:color="auto" w:fill="CFF0FC"/>
          </w:tcPr>
          <w:p>
            <w:pPr>
              <w:jc w:val="right"/>
              <w:ind w:right="785"/>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(37,354 )   $</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(42,840 )</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(8,886 )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24,737</w:t>
            </w: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65,071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1,215</w:t>
            </w:r>
          </w:p>
        </w:tc>
      </w:tr>
    </w:tbl>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$5.5 million decrease in cash used in operating activities was due to lower operating expenses, particularly as a result of our 2023 reductions in workforce, and higher gross margin (due to a combination of higher revenue levels and higher gross margin percentage). These increases in operating cash flow were partially offset by changes in working capital. Notably, during the first half of 2023 we received a significant customer deposit in connection with our agreement with Moderna to support its ongoing clinical trials project for development of a personalized cancer vaccine and the customer deposit did not repeat in 2024. We also paid more in rent during the first nine months of 2024 as compared to 2023 for our Fremont headquarters due to the end of a free rent period plus escalating rent payments. Furthermore, we paid more to vendors during the first nine months of 2024 as compared to 2023 due to timing of vendor shipments and billings.</w:t>
      </w:r>
    </w:p>
    <w:p>
      <w:pPr>
        <w:spacing w:after="0" w:line="15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$33.6 million decrease in cash provided by investing activities was due to investment of our cash into short-term investments, partially offset by a $7.0 million reduction in capital expenditures.</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$63.9 million increase in cash provided by financing activities was due to $27.5 million higher net proceeds from sales of common stock under our ATM facility, $36.2 million from Tempus exercising warrants and purchasing additional shares under an investment agreement, and $1.5 million lower repayments of loans; partially offset by $0.8 million payments of costs associated with the Tempus investment, and $0.5 million lower proceeds from our employee stock 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spend. We plan to fund our material cash requirements with our existing cash and cash equivalents and short-term investments, which amounted to $143.7 million as of September 30, 2024,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be higher in 2024 relative to 2023 primarily to support future growth in sales of our clinical diagnostics tests.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employee compensation, spend on professional services, spend related to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projects, and other costs to support our research and development, selling, general and administrative functions. We currently expect our spend in these areas to be lower in 2024 relative to 2023 as a result of our workforce reductions in 2023. On a long-term basis, we manage future cash requirements relative to our long-term business plans.</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be lower in 2024 from 2023 levels as we completed our planned significant laboratory</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additions in 2023. Going forward, our capital expenditures are expected to consist primarily of laboratory equipment and computer equipment. We currently expect capital expenditures to be approximately $1 million in 2024 and between $5 million to $6 million in each of the years 2025 and 2026.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 xml:space="preserve">Property leases. </w:t>
      </w:r>
      <w:r>
        <w:rPr>
          <w:rFonts w:ascii="Arial" w:cs="Arial" w:eastAsia="Arial" w:hAnsi="Arial"/>
          <w:sz w:val="16"/>
          <w:szCs w:val="16"/>
          <w:color w:val="auto"/>
        </w:rPr>
        <w:t>Our noncancelable operating lease payments were $72.6 million as of September 30, 2024.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Part I, Item 1 of this Form 10-Q in the Notes to Unaudited Consolidated Financial Statements in Note 7, “Leases.”</w:t>
      </w:r>
    </w:p>
    <w:p>
      <w:pPr>
        <w:spacing w:after="0" w:line="12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As of September 30, 2024, we have an outstanding noninterest bearing loan that was used to finance the purchase of equipment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laboratory. We owe a total of $1.6 million, of which the majority is payable in 2025. Further discussion of the loan can be found in Part I, Item 1 of this Form 10-Q in the Notes to Unaudited Consolidated Financial Statements in Note 6, “Loans.”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financial statements are prepared in accordance with U.S. GAAP. The preparation of our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financial statements. Therefore, we consider these to be our critical accounting policies and estimates.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2023 under the caption “Critical Accounting Policies and Estimates” in Management’s Discussion and Analysis of Financial Condition and Results of Operations, set forth in Part II, Item 7.</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See the section titled “Summary of Significant Accounting Policies—Recent Accounting Pronouncements” in Note 2 to our unaudited consolidated financial statements for additional information.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September 30, 2024,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From time to time, we may be a party or subject to various legal proceedings and claims which arise in the ordinary course of business. The outcome of any legal proceeding or claim is inherently uncertain and subject to unascertainable damages or other remedies.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section titled “Contingencies” in Note 11 to our unaudited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96"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13" w:lineRule="exact"/>
        <w:rPr>
          <w:sz w:val="20"/>
          <w:szCs w:val="20"/>
          <w:color w:val="auto"/>
        </w:rPr>
      </w:pPr>
    </w:p>
    <w:p>
      <w:pPr>
        <w:ind w:left="760" w:right="2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62"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another of our largest customers, the VA MVP.</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When we grow our business by developing in vitro diagnostic tests, we may be subject to reimbursement challenges.</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62"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13" w:lineRule="exact"/>
        <w:rPr>
          <w:sz w:val="20"/>
          <w:szCs w:val="20"/>
          <w:color w:val="auto"/>
        </w:rPr>
      </w:pPr>
    </w:p>
    <w:p>
      <w:pPr>
        <w:ind w:left="76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69" w:lineRule="exact"/>
        <w:rPr>
          <w:rFonts w:ascii="Times New Roman" w:cs="Times New Roman" w:eastAsia="Times New Roman" w:hAnsi="Times New Roman"/>
          <w:sz w:val="16"/>
          <w:szCs w:val="16"/>
          <w:color w:val="auto"/>
        </w:rPr>
      </w:pPr>
    </w:p>
    <w:p>
      <w:pPr>
        <w:jc w:val="both"/>
        <w:ind w:left="760" w:hanging="378"/>
        <w:spacing w:after="0" w:line="274" w:lineRule="auto"/>
        <w:tabs>
          <w:tab w:leader="none" w:pos="7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73" w:lineRule="exact"/>
        <w:rPr>
          <w:sz w:val="20"/>
          <w:szCs w:val="20"/>
          <w:color w:val="auto"/>
        </w:rPr>
      </w:pPr>
    </w:p>
    <w:p>
      <w:pPr>
        <w:ind w:left="760" w:right="20" w:hanging="378"/>
        <w:spacing w:after="0" w:line="285" w:lineRule="auto"/>
        <w:tabs>
          <w:tab w:leader="none" w:pos="7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13" w:lineRule="exact"/>
        <w:rPr>
          <w:sz w:val="20"/>
          <w:szCs w:val="20"/>
          <w:color w:val="auto"/>
        </w:rPr>
      </w:pPr>
    </w:p>
    <w:p>
      <w:pPr>
        <w:ind w:left="760" w:hanging="378"/>
        <w:spacing w:after="0" w:line="285" w:lineRule="auto"/>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125"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13" w:lineRule="exact"/>
        <w:rPr>
          <w:sz w:val="20"/>
          <w:szCs w:val="20"/>
          <w:color w:val="auto"/>
        </w:rPr>
      </w:pPr>
    </w:p>
    <w:p>
      <w:pPr>
        <w:ind w:left="76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8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2023 (Annual Report), which was filed with the SEC on February 28, 2024; provided, however, no asterisk is included if the only changes are to reflect our most recently reported financial information and/or one or more insignificant changes.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incurred net losses since our inception. For the years ended December 31, 2023, 2022, and 2021 we had net losses of $108 million, $113 million and $65 million, respectively. For the nine months ended September 30, 2024, we had a net loss of $64.9 million. As of September 30, 2024, we had an accumulated deficit of $534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58"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the recruitment, hiring, and retention of our commercial team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educate our customers and potential customers of the utility of the comprehensiveness of our services and of testing patients at multiple time points;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continue to fund sales and marketing activities;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services are considered superior to those of our competitors;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73"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enforcing and defending intellectual property rights and claims.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Some of our present or potential competitors, including Adela, Inc., BostonGene Corporation, Caris Life Sciences, Inc., Foresight Diagnostics Inc. (“Foresight”), Freenome, Inc., Fulgent Genetics, Inc., Geneseeq Technology Inc., GRAIL, Guardant Health, Inc., Haystack Oncology, Inc., which was acquired by Quest Diagnostics Incorporated in June 2023, Invitae Corporation, MedGenome Inc., Myriad Genetics, Inc., Natera, NeoGenomics, Inc., Novogene Corporation, Predicine, Inc., Roche Molecular Systems, Inc., Tempus,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nine months ended September 30, 2024, revenue under our agreement accounted for 31% of our total revenue, respectively. See “—We currently derive a substantial portion of our revenue from DNA sequencing and data analysis services that we provide to Natera. We expect our commercial relationship with Natera to wind down by the end of 2024 and, if we are unable to grow our customer base and diversify our revenue concentration,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2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1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34" w:lineRule="exact"/>
        <w:rPr>
          <w:sz w:val="20"/>
          <w:szCs w:val="20"/>
          <w:color w:val="auto"/>
        </w:rPr>
      </w:pPr>
    </w:p>
    <w:p>
      <w:pPr>
        <w:jc w:val="both"/>
        <w:ind w:left="760"/>
        <w:spacing w:after="0" w:line="265"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another of our largest customers, the VA MVP.*</w:t>
      </w:r>
    </w:p>
    <w:p>
      <w:pPr>
        <w:spacing w:after="0" w:line="3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Natera, which accounted for 31% of our revenue for the nine months ended September 30, 2024. We also derive a significant portion of our revenue from Moderna, which accounted for 28% of our revenue for the nine months ended September 30, 2024. We previously derived a significant portion of our revenue from the VA MVP, which more recently accounted for 11% of our revenue for the nine months ended September 30, 2024. Our top five customers, including Natera, Moderna, and the VA MVP, accounted for 84% of our revenue for the nine months ended September 30, 2024. There are inherent risks whenever a large percentage of revenue is concentrated with a limited number of customers. While we have attempted to grow our customer base and diversify our revenue concentration beyond Natera, Moderna, and the VA MVP,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Moderna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358"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We expect our commercial relationship with Natera to wind down by the end of 2024 and, if we are unable to grow our customer base and diversify our revenue concentration, our business, financial condition, revenue and other operating results, and cash flows may be materially harmed.*</w:t>
      </w:r>
    </w:p>
    <w:p>
      <w:pPr>
        <w:spacing w:after="0" w:line="12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revenue under our agreement accounted for 31% of our total revenue for the nine months ended September 30, 2024. In November 2023, we amended our agreement to extend minimum volume commitments through the end of 2024. Upon expiration of the term of the amended agreement, we expect our commercial relationship with Natera to terminate as we are aware that Natera plans to bring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Our agreement with Natera requires us to achieve certain quality and turnaround time metrics for Natera samples. Recently, the volumes of samples sent to us by Natera have fluctuated significantly and may continue to do so for the remainder of the term of the agreement, which could cause us to experience difficulty in achieving such metrics from time to time, or to meet our other obligations under our agreement.</w:t>
      </w:r>
    </w:p>
    <w:p>
      <w:pPr>
        <w:spacing w:after="0" w:line="14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Additionally, Natera or other customers may allege that any failures to achieve the required metrics are a breach of our agreement and seek to terminate our agreement prior to its expiration and/or pursue any remedies available to it under the agreement, at law or in equity. Relatedly, we have incurred expenses in connection with our scale-up activities under our agreement with Natera, and we may incur additional expenses in the future to increase our laboratory’s capacity to process increased sample volumes from our other customers. Our activities under our agreement with Natera have had, and activities with our other customers may in the future have, an impact on our business, including diversion of our resources and the attention of our management, including with respect to our internal research and development objectives and projects for our other customers, collaborators and/or partners. If we are unable to successfully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or not renewed after expiration, and we are unable to grow our customer base and diversify our revenue concentration timely, our business, financial condition, revenue and other operating results, and cash flows may be materially harmed.</w:t>
      </w:r>
    </w:p>
    <w:p>
      <w:pPr>
        <w:spacing w:after="0" w:line="160"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2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September 2024, we received a third task order with a value of up to $7.5 million, subject to the receipt of samples from the VA MVP. There is no guarantee that the VA MVP will exercise any subsequent renewal option.</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annual orders received in subsequent years had values of $10.0 million or less,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a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contracted orders received in 2021 and later years compared to the September 2020 contract order, as the VA MVP delayed new enrollment and also may have needed to divert resources to respond to the pandemic. A health epidemic or pandemic may negatively impact the value of any potential new VA MVP contract or order.</w:t>
      </w:r>
    </w:p>
    <w:p>
      <w:pPr>
        <w:spacing w:after="0" w:line="148"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5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When we grow our business by developing in vitro diagnostic tests, we may be subject to reimbursement challenges.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spacing w:after="0" w:line="139"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spacing w:after="0" w:line="16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facilities are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Furthermore, our facilities and the equipment we use to perform our services and our research and development work could be costly and time-consuming to repair or replace.</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4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3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1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customers require timely turnaround of high-quality genomic data and analyses, and if we were not able to meet our customers’ specific requirements, it could also have a significant adverse effect on our business.</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51"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57"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2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46"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spacing w:after="0" w:line="144"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1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6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undertaken in the past, and may in the future undertake, internal restructuring activities that could result in disruptions to our business or otherwise harm our results of operations or financial condition.</w:t>
      </w:r>
    </w:p>
    <w:p>
      <w:pPr>
        <w:spacing w:after="0" w:line="1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4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may need to continue to invest in our infrastructure in advance of increased demand for our services; our failure to accurately forecast demand would have a negative impact on our business and our ability to achieve and sustain profitability.</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Fremont facility expanded our laboratory capacity and, in order to execute our business model, we may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expanded our laboratory facilities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39"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1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collaborations with Tempus; Myriad; ClearNote Health, Inc.;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spacing w:after="0" w:line="141" w:lineRule="exact"/>
        <w:rPr>
          <w:sz w:val="20"/>
          <w:szCs w:val="20"/>
          <w:color w:val="auto"/>
        </w:rPr>
      </w:pPr>
    </w:p>
    <w:p>
      <w:pPr>
        <w:jc w:val="both"/>
        <w:ind w:left="1140" w:right="20" w:hanging="383"/>
        <w:spacing w:after="0" w:line="266"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4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93"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36"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114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15"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1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1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1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1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spacing w:after="0" w:line="14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spacing w:after="0" w:line="13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May 6, 2024, the FDA issued final regulations under which it intends to phase out its enforcement discretion approach to LDTs over a period of four years (the "Final Rule"). We anticipate that we may be required to obtain PMA approval for certain of our tests by October 1, 2027. We may also be subject to device registration and listing requirements, medical device reporting requirements and the requirements of the FDA’s Quality System Regulation. We may be required to conduct clinical trials to support any premarket notification or applications to FDA, which would increase the costs to our business and impair our profitability.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implementation of the Final Rule exposes us to additional regulatory controls and submissions for our tests or the possibility of enforcement action, both of which would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believe that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337"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2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under the FDA's Final Rule or otherwise,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15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6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actions and obligations may be imposed by the competent authorities of a European Union ("EU") Member State, or a foreign regulatory authority.</w:t>
      </w:r>
    </w:p>
    <w:p>
      <w:pPr>
        <w:spacing w:after="0" w:line="19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110"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service or product marketing;</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services or products from the market;</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5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6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adversely affected. Similarly, a finding that any of our other suppliers failed to comply with applicable requirements could result in interruptions in our ability to supply our services to the market and adversely affect our operations.</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2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4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any of our services or products fail to comply with FDA regulatory requirements as enforced, including the Final Rule,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public announcement that we are being investigated for possible violations of these laws could adversely affect our business, financial condition, results of operations, and prospects.</w:t>
      </w:r>
    </w:p>
    <w:p>
      <w:pPr>
        <w:spacing w:after="0" w:line="13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2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our business, we, and the third parties with whom we work,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with whom we work, may be vulnerable to a heightened risk of these attacks, including retaliatory cyberattacks, that could materially disrupt our systems and operations, supply chain, and ability to produce, sell, and distribute our platform, products, and services.</w:t>
      </w:r>
    </w:p>
    <w:p>
      <w:pPr>
        <w:spacing w:after="0" w:line="158"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4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rely on third-parties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the third-parties with whom we work experience a security incident or other interruption, we could experience adverse consequences. While we may be entitled to damages if the third-parties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that of the third-parties with whom we work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platform, products, and services.</w:t>
      </w:r>
    </w:p>
    <w:p>
      <w:pPr>
        <w:spacing w:after="0" w:line="15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3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with whom we work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tests and services and otherwise conduct our business in the ordinary course.</w:t>
      </w:r>
    </w:p>
    <w:p>
      <w:pPr>
        <w:spacing w:after="0" w:line="14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5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as well as public company disclosure obligations, may require us, or we may voluntarily choose, to notify relevant stakeholders, including affected individuals, regulatory authorities and our stockholders, of certain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platform, products, and services, deter new customers or partners from using our platform,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jc w:val="both"/>
        <w:ind w:left="760"/>
        <w:spacing w:after="0" w:line="258"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4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spacing w:after="0" w:line="14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spacing w:after="0" w:line="14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The U.S. is also increasingly scrutinizing certain personal data transfers and may impose data localization requirements, for example, the Biden Administration’s executive order Preventing Access to Americans’ Bulk Sensitive Personal Data and United States Government-Related Data by Countries of Concern.</w:t>
      </w:r>
    </w:p>
    <w:p>
      <w:pPr>
        <w:spacing w:after="0" w:line="16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34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If we or the third parties with whom we work fail, or are perceived to have failed, to address or comply with applicable data privacy and security obligations, we could face significant consequences, including but not limited to: government enforcement actions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(e.g., investigations, fines, penalties, audits, inspections, and similar); litigation (including class-action claims) and mass arbitration demands; additional reporting requirements and/or oversight; bans or restrictions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3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0"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165" w:lineRule="exact"/>
        <w:rPr>
          <w:sz w:val="20"/>
          <w:szCs w:val="20"/>
          <w:color w:val="auto"/>
        </w:rPr>
      </w:pPr>
    </w:p>
    <w:p>
      <w:pPr>
        <w:jc w:val="both"/>
        <w:ind w:left="1140" w:hanging="383"/>
        <w:spacing w:after="0" w:line="254"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ind w:left="1140" w:hanging="383"/>
        <w:spacing w:after="0" w:line="249"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354"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335"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38" w:lineRule="exact"/>
        <w:rPr>
          <w:rFonts w:ascii="Times New Roman" w:cs="Times New Roman" w:eastAsia="Times New Roman" w:hAnsi="Times New Roman"/>
          <w:sz w:val="16"/>
          <w:szCs w:val="16"/>
          <w:color w:val="auto"/>
        </w:rPr>
      </w:pPr>
    </w:p>
    <w:p>
      <w:pPr>
        <w:jc w:val="both"/>
        <w:ind w:left="1140" w:hanging="383"/>
        <w:spacing w:after="0" w:line="253"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40" w:lineRule="exact"/>
        <w:rPr>
          <w:rFonts w:ascii="Times New Roman" w:cs="Times New Roman" w:eastAsia="Times New Roman" w:hAnsi="Times New Roman"/>
          <w:sz w:val="16"/>
          <w:szCs w:val="16"/>
          <w:color w:val="auto"/>
        </w:rPr>
      </w:pPr>
    </w:p>
    <w:p>
      <w:pPr>
        <w:jc w:val="both"/>
        <w:ind w:left="1140" w:hanging="383"/>
        <w:spacing w:after="0" w:line="250"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161"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ind w:left="1140" w:right="2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7"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331"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94" w:lineRule="exact"/>
        <w:rPr>
          <w:sz w:val="20"/>
          <w:szCs w:val="20"/>
          <w:color w:val="auto"/>
        </w:rPr>
      </w:pPr>
    </w:p>
    <w:p>
      <w:pPr>
        <w:jc w:val="both"/>
        <w:ind w:left="1140" w:hanging="383"/>
        <w:spacing w:after="0" w:line="266"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ind w:left="1140" w:hanging="383"/>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2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3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6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the Consolidated Appropriations Act, the statutory phase-in of the payment reductions has been extended through 2026 with a 0% reduction cap for 2021-2023 and a 15% reduction cap for 2024 through 2026.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17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19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spacing w:after="0" w:line="14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spacing w:after="0" w:line="15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early 2024.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spacing w:after="0" w:line="15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recently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0565" cy="8890"/>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4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spacing w:after="0" w:line="155"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2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4"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4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4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149" w:lineRule="exact"/>
        <w:rPr>
          <w:sz w:val="20"/>
          <w:szCs w:val="20"/>
          <w:color w:val="auto"/>
        </w:rPr>
      </w:pPr>
    </w:p>
    <w:p>
      <w:pPr>
        <w:ind w:left="114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1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proceedings, or other post-grant proceedings declared by the USPTO or a foreign patent office that have resulted, and could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71"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3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6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1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33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0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48" w:lineRule="exact"/>
        <w:rPr>
          <w:sz w:val="20"/>
          <w:szCs w:val="20"/>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operating results;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tests or new tests that may emerge;</w:t>
      </w:r>
    </w:p>
    <w:p>
      <w:pPr>
        <w:spacing w:after="0" w:line="125"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Moderna, and Natera, as our largest customers;</w:t>
      </w:r>
    </w:p>
    <w:p>
      <w:pPr>
        <w:spacing w:after="0" w:line="48"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amount of our investments in the growth of our business;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or departures of key management or other personnel;</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additional funding;</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sales of our common stock by us or our stockholders in the future;</w:t>
      </w:r>
    </w:p>
    <w:p>
      <w:pPr>
        <w:spacing w:after="0" w:line="125" w:lineRule="exact"/>
        <w:rPr>
          <w:rFonts w:ascii="Times New Roman" w:cs="Times New Roman" w:eastAsia="Times New Roman" w:hAnsi="Times New Roman"/>
          <w:sz w:val="16"/>
          <w:szCs w:val="16"/>
          <w:color w:val="auto"/>
        </w:rPr>
      </w:pPr>
    </w:p>
    <w:p>
      <w:pPr>
        <w:ind w:left="1500" w:hanging="369"/>
        <w:spacing w:after="0"/>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25"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48" w:lineRule="exact"/>
        <w:rPr>
          <w:rFonts w:ascii="Times New Roman" w:cs="Times New Roman" w:eastAsia="Times New Roman" w:hAnsi="Times New Roman"/>
          <w:sz w:val="16"/>
          <w:szCs w:val="16"/>
          <w:color w:val="auto"/>
        </w:rPr>
      </w:pPr>
    </w:p>
    <w:p>
      <w:pPr>
        <w:ind w:left="1500" w:hanging="369"/>
        <w:spacing w:after="0" w:line="285" w:lineRule="auto"/>
        <w:tabs>
          <w:tab w:leader="none" w:pos="15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4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now a larger regional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33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1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4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 insured limits.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Our directors, executive officers and their affiliates, and holders of greater than five percent of our outstanding common stock, if they were to act together, would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 In addition, pursuant to the Tempus Agreement (see Note 8 to our consolidated financial statements included in this report), Tempus has agreed to certain voting commitments that require Tempus to vote the shares it acquired from exercising the Tempus Warrants in accordance with the recommendations of the majority of our board of directors with respect to director nominations for any meeting of our stockholders occurring on or before December 31, 2025, as well as various compensation-related matters. These voting commitments terminate on when the parties’ exclusivity obligations expire or terminate under the Tempus Agreement.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9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September 30, 2024, we had 70,638,190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September 30, 2024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effect on the market price of our common stock.</w:t>
      </w:r>
    </w:p>
    <w:p>
      <w:pPr>
        <w:spacing w:after="0" w:line="147"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spacing w:after="0" w:line="1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9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2023, we had federal and state net operating loss carryforwards of approximately $285.5 million and approximately $274.7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1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44"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directors may only be removed for cause;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9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forum for certain litigation against us to Delaware; and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20"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15"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any derivative action or proceeding brought on our behalf;</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breach of fiduciary duty;</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20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3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4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are a smaller reporting company, and any decision on our part to avail ourselves of certain reduced reporting and disclosure requirements applicable to smaller reporting companies could make our common stock less attractive to investors.</w:t>
      </w:r>
    </w:p>
    <w:p>
      <w:pPr>
        <w:spacing w:after="0" w:line="10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control over financial reporting could also cause investors to lose confidence in our reported financial information, which could have a negative effect on the trading price of our common stock.</w:t>
      </w:r>
    </w:p>
    <w:p>
      <w:pPr>
        <w:spacing w:after="0" w:line="1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During our last fiscal quarter, certain of our officers (as defined in Rule 16a-1(f) under the Exchange Act) adopted written plans for the sale of our securities set forth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Type of Trading Arrangement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0"/>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88"/>
              <w:spacing w:after="0" w:line="160" w:lineRule="exact"/>
              <w:rPr>
                <w:sz w:val="20"/>
                <w:szCs w:val="20"/>
                <w:color w:val="auto"/>
              </w:rPr>
            </w:pPr>
            <w:r>
              <w:rPr>
                <w:rFonts w:ascii="Arial" w:cs="Arial" w:eastAsia="Arial" w:hAnsi="Arial"/>
                <w:sz w:val="14"/>
                <w:szCs w:val="14"/>
                <w:b w:val="1"/>
                <w:bCs w:val="1"/>
                <w:color w:val="auto"/>
                <w:w w:val="99"/>
              </w:rPr>
              <w:t>Total Shares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of Common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Non-Rule</w:t>
            </w:r>
          </w:p>
        </w:tc>
        <w:tc>
          <w:tcPr>
            <w:tcW w:w="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Stock to be</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r>
      <w:tr>
        <w:trPr>
          <w:trHeight w:val="18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Position</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Action</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Adoption Date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Rule 10b5-1*</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10b5-1**</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Sold</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182"/>
        </w:trPr>
        <w:tc>
          <w:tcPr>
            <w:tcW w:w="454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 xml:space="preserve">Aaron Tachibana, </w:t>
            </w:r>
            <w:r>
              <w:rPr>
                <w:rFonts w:ascii="Arial" w:cs="Arial" w:eastAsia="Arial" w:hAnsi="Arial"/>
                <w:sz w:val="16"/>
                <w:szCs w:val="16"/>
                <w:i w:val="1"/>
                <w:iCs w:val="1"/>
                <w:color w:val="auto"/>
              </w:rPr>
              <w:t>Chief Financial Officer and Chief Operating</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center"/>
              <w:ind w:right="180"/>
              <w:spacing w:after="0" w:line="182" w:lineRule="exact"/>
              <w:rPr>
                <w:sz w:val="20"/>
                <w:szCs w:val="20"/>
                <w:color w:val="auto"/>
              </w:rPr>
            </w:pPr>
            <w:r>
              <w:rPr>
                <w:rFonts w:ascii="Arial" w:cs="Arial" w:eastAsia="Arial" w:hAnsi="Arial"/>
                <w:sz w:val="16"/>
                <w:szCs w:val="16"/>
                <w:color w:val="auto"/>
              </w:rPr>
              <w:t>September</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line="182" w:lineRule="exact"/>
              <w:rPr>
                <w:sz w:val="20"/>
                <w:szCs w:val="20"/>
                <w:color w:val="auto"/>
              </w:rPr>
            </w:pPr>
            <w:r>
              <w:rPr>
                <w:rFonts w:ascii="Arial" w:cs="Arial" w:eastAsia="Arial" w:hAnsi="Arial"/>
                <w:sz w:val="16"/>
                <w:szCs w:val="16"/>
                <w:color w:val="auto"/>
              </w:rPr>
              <w:t>September</w:t>
            </w:r>
          </w:p>
        </w:tc>
      </w:tr>
      <w:tr>
        <w:trPr>
          <w:trHeight w:val="217"/>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Adoption</w:t>
            </w:r>
          </w:p>
        </w:tc>
        <w:tc>
          <w:tcPr>
            <w:tcW w:w="114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99"/>
              </w:rPr>
              <w:t>11, 2024</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269,901</w:t>
            </w:r>
          </w:p>
        </w:tc>
        <w:tc>
          <w:tcPr>
            <w:tcW w:w="1100" w:type="dxa"/>
            <w:vAlign w:val="bottom"/>
            <w:gridSpan w:val="2"/>
            <w:shd w:val="clear" w:color="auto" w:fill="CFF0FC"/>
          </w:tcPr>
          <w:p>
            <w:pPr>
              <w:jc w:val="right"/>
              <w:ind w:right="124"/>
              <w:spacing w:after="0"/>
              <w:rPr>
                <w:sz w:val="20"/>
                <w:szCs w:val="20"/>
                <w:color w:val="auto"/>
              </w:rPr>
            </w:pPr>
            <w:r>
              <w:rPr>
                <w:rFonts w:ascii="Arial" w:cs="Arial" w:eastAsia="Arial" w:hAnsi="Arial"/>
                <w:sz w:val="16"/>
                <w:szCs w:val="16"/>
                <w:color w:val="auto"/>
              </w:rPr>
              <w:t>11, 2025</w:t>
            </w:r>
          </w:p>
        </w:tc>
      </w:tr>
      <w:tr>
        <w:trPr>
          <w:trHeight w:val="188"/>
        </w:trPr>
        <w:tc>
          <w:tcPr>
            <w:tcW w:w="4540" w:type="dxa"/>
            <w:vAlign w:val="bottom"/>
          </w:tcPr>
          <w:p>
            <w:pPr>
              <w:ind w:left="20"/>
              <w:spacing w:after="0"/>
              <w:rPr>
                <w:sz w:val="20"/>
                <w:szCs w:val="20"/>
                <w:color w:val="auto"/>
              </w:rPr>
            </w:pPr>
            <w:r>
              <w:rPr>
                <w:rFonts w:ascii="Arial" w:cs="Arial" w:eastAsia="Arial" w:hAnsi="Arial"/>
                <w:sz w:val="16"/>
                <w:szCs w:val="16"/>
                <w:color w:val="auto"/>
              </w:rPr>
              <w:t xml:space="preserve">Richard Chen, </w:t>
            </w:r>
            <w:r>
              <w:rPr>
                <w:rFonts w:ascii="Arial" w:cs="Arial" w:eastAsia="Arial" w:hAnsi="Arial"/>
                <w:sz w:val="16"/>
                <w:szCs w:val="16"/>
                <w:i w:val="1"/>
                <w:iCs w:val="1"/>
                <w:color w:val="auto"/>
              </w:rPr>
              <w:t>Executive Vice President, Research and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color w:val="auto"/>
              </w:rPr>
              <w:t>September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December 2,</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i w:val="1"/>
                <w:iCs w:val="1"/>
                <w:color w:val="auto"/>
              </w:rPr>
              <w:t>Development, and Chief Medical Officer</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Adoption</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23, 2024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658,505</w:t>
            </w:r>
          </w:p>
        </w:tc>
        <w:tc>
          <w:tcPr>
            <w:tcW w:w="1100" w:type="dxa"/>
            <w:vAlign w:val="bottom"/>
            <w:gridSpan w:val="2"/>
          </w:tcPr>
          <w:p>
            <w:pPr>
              <w:jc w:val="right"/>
              <w:ind w:right="244"/>
              <w:spacing w:after="0"/>
              <w:rPr>
                <w:sz w:val="20"/>
                <w:szCs w:val="20"/>
                <w:color w:val="auto"/>
              </w:rPr>
            </w:pPr>
            <w:r>
              <w:rPr>
                <w:rFonts w:ascii="Arial" w:cs="Arial" w:eastAsia="Arial" w:hAnsi="Arial"/>
                <w:sz w:val="16"/>
                <w:szCs w:val="16"/>
                <w:color w:val="auto"/>
              </w:rPr>
              <w:t>2025</w:t>
            </w:r>
          </w:p>
        </w:tc>
      </w:tr>
    </w:tbl>
    <w:p>
      <w:pPr>
        <w:spacing w:after="0" w:line="195" w:lineRule="exact"/>
        <w:rPr>
          <w:sz w:val="20"/>
          <w:szCs w:val="20"/>
          <w:color w:val="auto"/>
        </w:rPr>
      </w:pPr>
    </w:p>
    <w:p>
      <w:pPr>
        <w:ind w:left="20" w:right="2760" w:firstLine="1"/>
        <w:spacing w:after="0" w:line="325" w:lineRule="auto"/>
        <w:tabs>
          <w:tab w:leader="none" w:pos="1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15"/>
          </w:tcPr>
          <w:p>
            <w:pPr>
              <w:ind w:left="640"/>
              <w:spacing w:after="0"/>
              <w:rPr>
                <w:sz w:val="20"/>
                <w:szCs w:val="20"/>
                <w:color w:val="auto"/>
              </w:rPr>
            </w:pPr>
            <w:r>
              <w:rPr>
                <w:rFonts w:ascii="Arial" w:cs="Arial" w:eastAsia="Arial" w:hAnsi="Arial"/>
                <w:sz w:val="16"/>
                <w:szCs w:val="16"/>
                <w:b w:val="1"/>
                <w:bCs w:val="1"/>
                <w:color w:val="auto"/>
              </w:rPr>
              <w:t>Description</w:t>
            </w:r>
          </w:p>
        </w:tc>
      </w:tr>
      <w:tr>
        <w:trPr>
          <w:trHeight w:val="277"/>
        </w:trPr>
        <w:tc>
          <w:tcPr>
            <w:tcW w:w="820" w:type="dxa"/>
            <w:vAlign w:val="bottom"/>
          </w:tcPr>
          <w:p>
            <w:pPr>
              <w:ind w:lef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6"/>
          </w:tcPr>
          <w:p>
            <w:pPr>
              <w:spacing w:after="0"/>
              <w:rPr>
                <w:rFonts w:ascii="Arial" w:cs="Arial" w:eastAsia="Arial" w:hAnsi="Arial"/>
                <w:sz w:val="16"/>
                <w:szCs w:val="16"/>
                <w:color w:val="0000FF"/>
              </w:rPr>
            </w:pPr>
            <w:hyperlink r:id="rId328">
              <w:r>
                <w:rPr>
                  <w:rFonts w:ascii="Arial" w:cs="Arial" w:eastAsia="Arial" w:hAnsi="Arial"/>
                  <w:sz w:val="16"/>
                  <w:szCs w:val="16"/>
                  <w:color w:val="0000FF"/>
                </w:rPr>
                <w:t>Amended and Restated Certificate of Incorporation of the Registrant.</w:t>
              </w:r>
            </w:hyperlink>
          </w:p>
        </w:tc>
        <w:tc>
          <w:tcPr>
            <w:tcW w:w="800" w:type="dxa"/>
            <w:vAlign w:val="bottom"/>
            <w:gridSpan w:val="12"/>
          </w:tcPr>
          <w:p>
            <w:pPr>
              <w:spacing w:after="0"/>
              <w:rPr>
                <w:sz w:val="24"/>
                <w:szCs w:val="24"/>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5"/>
          </w:tcPr>
          <w:p>
            <w:pPr>
              <w:spacing w:after="0"/>
              <w:rPr>
                <w:rFonts w:ascii="Arial" w:cs="Arial" w:eastAsia="Arial" w:hAnsi="Arial"/>
                <w:sz w:val="16"/>
                <w:szCs w:val="16"/>
                <w:color w:val="0000FF"/>
              </w:rPr>
            </w:pPr>
            <w:hyperlink r:id="rId329">
              <w:r>
                <w:rPr>
                  <w:rFonts w:ascii="Arial" w:cs="Arial" w:eastAsia="Arial" w:hAnsi="Arial"/>
                  <w:sz w:val="16"/>
                  <w:szCs w:val="16"/>
                  <w:color w:val="0000FF"/>
                </w:rPr>
                <w:t>Amended and Restated Bylaws of the Registrant.</w:t>
              </w:r>
            </w:hyperlink>
          </w:p>
        </w:tc>
        <w:tc>
          <w:tcPr>
            <w:tcW w:w="2180" w:type="dxa"/>
            <w:vAlign w:val="bottom"/>
            <w:gridSpan w:val="13"/>
          </w:tcPr>
          <w:p>
            <w:pPr>
              <w:spacing w:after="0"/>
              <w:rPr>
                <w:sz w:val="17"/>
                <w:szCs w:val="17"/>
                <w:color w:val="auto"/>
              </w:rPr>
            </w:pPr>
          </w:p>
        </w:tc>
      </w:tr>
      <w:tr>
        <w:trPr>
          <w:trHeight w:val="196"/>
        </w:trPr>
        <w:tc>
          <w:tcPr>
            <w:tcW w:w="820" w:type="dxa"/>
            <w:vAlign w:val="bottom"/>
          </w:tcPr>
          <w:p>
            <w:pPr>
              <w:ind w:left="20"/>
              <w:spacing w:after="0"/>
              <w:rPr>
                <w:sz w:val="20"/>
                <w:szCs w:val="20"/>
                <w:color w:val="auto"/>
              </w:rPr>
            </w:pPr>
            <w:r>
              <w:rPr>
                <w:rFonts w:ascii="Arial" w:cs="Arial" w:eastAsia="Arial" w:hAnsi="Arial"/>
                <w:sz w:val="16"/>
                <w:szCs w:val="16"/>
                <w:color w:val="auto"/>
              </w:rPr>
              <w:t>4.1Ω</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18"/>
          </w:tcPr>
          <w:p>
            <w:pPr>
              <w:spacing w:after="0"/>
              <w:rPr>
                <w:rFonts w:ascii="Arial" w:cs="Arial" w:eastAsia="Arial" w:hAnsi="Arial"/>
                <w:sz w:val="16"/>
                <w:szCs w:val="16"/>
                <w:color w:val="0000FF"/>
              </w:rPr>
            </w:pPr>
            <w:hyperlink r:id="rId330">
              <w:r>
                <w:rPr>
                  <w:rFonts w:ascii="Arial" w:cs="Arial" w:eastAsia="Arial" w:hAnsi="Arial"/>
                  <w:sz w:val="16"/>
                  <w:szCs w:val="16"/>
                  <w:color w:val="0000FF"/>
                </w:rPr>
                <w:t>Investment Agreement, dated August 16, 2024, by and between Personalis,</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330">
              <w:r>
                <w:rPr>
                  <w:rFonts w:ascii="Arial" w:cs="Arial" w:eastAsia="Arial" w:hAnsi="Arial"/>
                  <w:sz w:val="16"/>
                  <w:szCs w:val="16"/>
                  <w:color w:val="0000FF"/>
                  <w:w w:val="99"/>
                </w:rPr>
                <w:t>Inc. and Tempus AI, Inc.</w:t>
              </w:r>
            </w:hyperlink>
          </w:p>
        </w:tc>
        <w:tc>
          <w:tcPr>
            <w:tcW w:w="20" w:type="dxa"/>
            <w:vAlign w:val="bottom"/>
            <w:tcBorders>
              <w:top w:val="single" w:sz="8" w:color="0000FF"/>
              <w:bottom w:val="single" w:sz="8" w:color="0000EE"/>
            </w:tcBorders>
          </w:tcPr>
          <w:p>
            <w:pPr>
              <w:spacing w:after="0"/>
              <w:rPr>
                <w:sz w:val="14"/>
                <w:szCs w:val="14"/>
                <w:color w:val="auto"/>
              </w:rPr>
            </w:pPr>
          </w:p>
        </w:tc>
        <w:tc>
          <w:tcPr>
            <w:tcW w:w="3700" w:type="dxa"/>
            <w:vAlign w:val="bottom"/>
            <w:tcBorders>
              <w:top w:val="single" w:sz="8" w:color="0000FF"/>
            </w:tcBorders>
            <w:gridSpan w:val="9"/>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10.1Ω‡</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00" w:type="dxa"/>
            <w:vAlign w:val="bottom"/>
            <w:tcBorders>
              <w:bottom w:val="single" w:sz="8" w:color="0000FF"/>
            </w:tcBorders>
            <w:gridSpan w:val="7"/>
          </w:tcPr>
          <w:p>
            <w:pPr>
              <w:spacing w:after="0" w:line="183" w:lineRule="exact"/>
              <w:rPr>
                <w:rFonts w:ascii="Arial" w:cs="Arial" w:eastAsia="Arial" w:hAnsi="Arial"/>
                <w:sz w:val="16"/>
                <w:szCs w:val="16"/>
                <w:color w:val="0000FF"/>
              </w:rPr>
            </w:pPr>
            <w:hyperlink r:id="rId331">
              <w:r>
                <w:rPr>
                  <w:rFonts w:ascii="Arial" w:cs="Arial" w:eastAsia="Arial" w:hAnsi="Arial"/>
                  <w:sz w:val="16"/>
                  <w:szCs w:val="16"/>
                  <w:color w:val="0000FF"/>
                </w:rPr>
                <w:t>Amendment No. 1 to the Commercialization and Reference Laboratory</w:t>
              </w:r>
            </w:hyperlink>
          </w:p>
        </w:tc>
        <w:tc>
          <w:tcPr>
            <w:tcW w:w="620" w:type="dxa"/>
            <w:vAlign w:val="bottom"/>
            <w:gridSpan w:val="11"/>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gridSpan w:val="18"/>
          </w:tcPr>
          <w:p>
            <w:pPr>
              <w:spacing w:after="0" w:line="169" w:lineRule="exact"/>
              <w:rPr>
                <w:rFonts w:ascii="Arial" w:cs="Arial" w:eastAsia="Arial" w:hAnsi="Arial"/>
                <w:sz w:val="16"/>
                <w:szCs w:val="16"/>
                <w:color w:val="0000FF"/>
              </w:rPr>
            </w:pPr>
            <w:hyperlink r:id="rId331">
              <w:r>
                <w:rPr>
                  <w:rFonts w:ascii="Arial" w:cs="Arial" w:eastAsia="Arial" w:hAnsi="Arial"/>
                  <w:sz w:val="16"/>
                  <w:szCs w:val="16"/>
                  <w:color w:val="0000FF"/>
                </w:rPr>
                <w:t>Agreement, dated August 16, 2024, by and between Personalis, Inc. and</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331">
              <w:r>
                <w:rPr>
                  <w:rFonts w:ascii="Arial" w:cs="Arial" w:eastAsia="Arial" w:hAnsi="Arial"/>
                  <w:sz w:val="16"/>
                  <w:szCs w:val="16"/>
                  <w:color w:val="0000FF"/>
                </w:rPr>
                <w:t>Tempus AI, Inc.</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0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6"/>
                <w:szCs w:val="16"/>
                <w:color w:val="0000FF"/>
              </w:rPr>
              <w:t>Amendment No. 2 to the Commercialization and Reference Laboratory</w:t>
            </w:r>
          </w:p>
        </w:tc>
        <w:tc>
          <w:tcPr>
            <w:tcW w:w="620" w:type="dxa"/>
            <w:vAlign w:val="bottom"/>
            <w:gridSpan w:val="11"/>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gridSpan w:val="18"/>
          </w:tcPr>
          <w:p>
            <w:pPr>
              <w:spacing w:after="0" w:line="169" w:lineRule="exact"/>
              <w:rPr>
                <w:sz w:val="20"/>
                <w:szCs w:val="20"/>
                <w:color w:val="auto"/>
              </w:rPr>
            </w:pPr>
            <w:r>
              <w:rPr>
                <w:rFonts w:ascii="Arial" w:cs="Arial" w:eastAsia="Arial" w:hAnsi="Arial"/>
                <w:sz w:val="16"/>
                <w:szCs w:val="16"/>
                <w:color w:val="0000FF"/>
              </w:rPr>
              <w:t>Agreement, dated September 20, 2024, by and between Personalis, Inc. and</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Tempus AI, Inc.</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8"/>
          </w:tcPr>
          <w:p>
            <w:pPr>
              <w:spacing w:after="0" w:line="183" w:lineRule="exact"/>
              <w:rPr>
                <w:sz w:val="20"/>
                <w:szCs w:val="20"/>
                <w:color w:val="auto"/>
              </w:rPr>
            </w:pPr>
            <w:r>
              <w:rPr>
                <w:rFonts w:ascii="Arial" w:cs="Arial" w:eastAsia="Arial" w:hAnsi="Arial"/>
                <w:sz w:val="16"/>
                <w:szCs w:val="16"/>
                <w:color w:val="0000FF"/>
              </w:rPr>
              <w:t>Certification of Principal Executive Officer Pursuant to Rules 13a-14(a) and</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15d-14(a) under the Securities Exchange Act of 1934, as Adopted Pursuant</w:t>
            </w:r>
          </w:p>
        </w:tc>
        <w:tc>
          <w:tcPr>
            <w:tcW w:w="320" w:type="dxa"/>
            <w:vAlign w:val="bottom"/>
            <w:gridSpan w:val="7"/>
          </w:tcPr>
          <w:p>
            <w:pPr>
              <w:ind w:left="60"/>
              <w:spacing w:after="0" w:line="169" w:lineRule="exact"/>
              <w:rPr>
                <w:sz w:val="20"/>
                <w:szCs w:val="20"/>
                <w:color w:val="auto"/>
              </w:rPr>
            </w:pPr>
            <w:r>
              <w:rPr>
                <w:rFonts w:ascii="Arial" w:cs="Arial" w:eastAsia="Arial" w:hAnsi="Arial"/>
                <w:sz w:val="16"/>
                <w:szCs w:val="16"/>
                <w:color w:val="0000FF"/>
              </w:rPr>
              <w:t>to</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Section 302 of the Sarbanes-Oxley Act of 2002.</w:t>
            </w:r>
          </w:p>
        </w:tc>
        <w:tc>
          <w:tcPr>
            <w:tcW w:w="22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8"/>
          </w:tcPr>
          <w:p>
            <w:pPr>
              <w:spacing w:after="0" w:line="183" w:lineRule="exact"/>
              <w:rPr>
                <w:sz w:val="20"/>
                <w:szCs w:val="20"/>
                <w:color w:val="auto"/>
              </w:rPr>
            </w:pPr>
            <w:r>
              <w:rPr>
                <w:rFonts w:ascii="Arial" w:cs="Arial" w:eastAsia="Arial" w:hAnsi="Arial"/>
                <w:sz w:val="16"/>
                <w:szCs w:val="16"/>
                <w:color w:val="0000FF"/>
              </w:rPr>
              <w:t>Certification of Principal Financial Officer Pursuant to Rules 13a-14(a) and 15d-</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6"/>
                <w:szCs w:val="16"/>
                <w:color w:val="0000FF"/>
              </w:rPr>
              <w:t>14(a) under the Securities Exchange Act of 1934, as Adopted Pursuant to</w:t>
            </w:r>
          </w:p>
        </w:tc>
        <w:tc>
          <w:tcPr>
            <w:tcW w:w="4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Section 302 of the Sarbanes-Oxley Act of 2002.</w:t>
            </w:r>
          </w:p>
        </w:tc>
        <w:tc>
          <w:tcPr>
            <w:tcW w:w="1900" w:type="dxa"/>
            <w:vAlign w:val="bottom"/>
            <w:tcBorders>
              <w:top w:val="single" w:sz="8" w:color="0000FF"/>
            </w:tcBorders>
            <w:gridSpan w:val="6"/>
          </w:tcPr>
          <w:p>
            <w:pPr>
              <w:spacing w:after="0"/>
              <w:rPr>
                <w:sz w:val="14"/>
                <w:szCs w:val="14"/>
                <w:color w:val="auto"/>
              </w:rPr>
            </w:pPr>
          </w:p>
        </w:tc>
        <w:tc>
          <w:tcPr>
            <w:tcW w:w="2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8"/>
          </w:tcPr>
          <w:p>
            <w:pPr>
              <w:spacing w:after="0" w:line="183" w:lineRule="exact"/>
              <w:rPr>
                <w:sz w:val="20"/>
                <w:szCs w:val="20"/>
                <w:color w:val="auto"/>
              </w:rPr>
            </w:pPr>
            <w:r>
              <w:rPr>
                <w:rFonts w:ascii="Arial" w:cs="Arial" w:eastAsia="Arial" w:hAnsi="Arial"/>
                <w:sz w:val="16"/>
                <w:szCs w:val="16"/>
                <w:color w:val="0000FF"/>
              </w:rPr>
              <w:t>Certification of Principal Executive Officer Pursuant to 18 U.S.C. Section 1350,</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500" w:type="dxa"/>
            <w:vAlign w:val="bottom"/>
            <w:tcBorders>
              <w:top w:val="single" w:sz="8" w:color="0000FF"/>
            </w:tcBorders>
            <w:gridSpan w:val="8"/>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83"/>
        </w:trPr>
        <w:tc>
          <w:tcPr>
            <w:tcW w:w="820" w:type="dxa"/>
            <w:vAlign w:val="bottom"/>
          </w:tcPr>
          <w:p>
            <w:pPr>
              <w:ind w:left="20"/>
              <w:spacing w:after="0" w:line="183" w:lineRule="exact"/>
              <w:rPr>
                <w:sz w:val="20"/>
                <w:szCs w:val="20"/>
                <w:color w:val="auto"/>
              </w:rPr>
            </w:pPr>
            <w:r>
              <w:rPr>
                <w:rFonts w:ascii="Arial" w:cs="Arial" w:eastAsia="Arial" w:hAnsi="Arial"/>
                <w:sz w:val="16"/>
                <w:szCs w:val="16"/>
                <w:color w:val="auto"/>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gridSpan w:val="18"/>
          </w:tcPr>
          <w:p>
            <w:pPr>
              <w:spacing w:after="0" w:line="183" w:lineRule="exact"/>
              <w:rPr>
                <w:sz w:val="20"/>
                <w:szCs w:val="20"/>
                <w:color w:val="auto"/>
              </w:rPr>
            </w:pPr>
            <w:r>
              <w:rPr>
                <w:rFonts w:ascii="Arial" w:cs="Arial" w:eastAsia="Arial" w:hAnsi="Arial"/>
                <w:sz w:val="16"/>
                <w:szCs w:val="16"/>
                <w:color w:val="0000FF"/>
              </w:rPr>
              <w:t>Certification of Principal Financial Officer Pursuant to 18 U.S.C. Section 1350,</w:t>
            </w: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as Adopted Pursuant to Section 906 of the Sarbanes-Oxley Act of 2002.</w:t>
            </w:r>
          </w:p>
        </w:tc>
        <w:tc>
          <w:tcPr>
            <w:tcW w:w="440" w:type="dxa"/>
            <w:vAlign w:val="bottom"/>
            <w:tcBorders>
              <w:top w:val="single" w:sz="8" w:color="0000FF"/>
            </w:tcBorders>
            <w:gridSpan w:val="6"/>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195"/>
        </w:trPr>
        <w:tc>
          <w:tcPr>
            <w:tcW w:w="820" w:type="dxa"/>
            <w:vAlign w:val="bottom"/>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18"/>
          </w:tcPr>
          <w:p>
            <w:pPr>
              <w:spacing w:after="0"/>
              <w:rPr>
                <w:sz w:val="20"/>
                <w:szCs w:val="20"/>
                <w:color w:val="auto"/>
              </w:rPr>
            </w:pPr>
            <w:r>
              <w:rPr>
                <w:rFonts w:ascii="Arial" w:cs="Arial" w:eastAsia="Arial" w:hAnsi="Arial"/>
                <w:sz w:val="16"/>
                <w:szCs w:val="16"/>
                <w:color w:val="auto"/>
              </w:rPr>
              <w:t>Inline XBRL Document Set for the consolidated financial statements and</w:t>
            </w:r>
          </w:p>
        </w:tc>
      </w:tr>
      <w:tr>
        <w:trPr>
          <w:trHeight w:val="189"/>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18"/>
          </w:tcPr>
          <w:p>
            <w:pPr>
              <w:spacing w:after="0"/>
              <w:rPr>
                <w:sz w:val="20"/>
                <w:szCs w:val="20"/>
                <w:color w:val="auto"/>
              </w:rPr>
            </w:pPr>
            <w:r>
              <w:rPr>
                <w:rFonts w:ascii="Arial" w:cs="Arial" w:eastAsia="Arial" w:hAnsi="Arial"/>
                <w:sz w:val="16"/>
                <w:szCs w:val="16"/>
                <w:color w:val="auto"/>
              </w:rPr>
              <w:t>accompanying notes in Part I, Item 1, “Financial Statements” of this Quarterly</w:t>
            </w:r>
          </w:p>
        </w:tc>
      </w:tr>
      <w:tr>
        <w:trPr>
          <w:trHeight w:val="203"/>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18"/>
          </w:tcPr>
          <w:p>
            <w:pPr>
              <w:spacing w:after="0"/>
              <w:rPr>
                <w:sz w:val="20"/>
                <w:szCs w:val="20"/>
                <w:color w:val="auto"/>
              </w:rPr>
            </w:pPr>
            <w:r>
              <w:rPr>
                <w:rFonts w:ascii="Arial" w:cs="Arial" w:eastAsia="Arial" w:hAnsi="Arial"/>
                <w:sz w:val="16"/>
                <w:szCs w:val="16"/>
                <w:color w:val="auto"/>
              </w:rPr>
              <w:t>Report on Form 10-Q.</w:t>
            </w:r>
          </w:p>
        </w:tc>
      </w:tr>
      <w:tr>
        <w:trPr>
          <w:trHeight w:val="189"/>
        </w:trPr>
        <w:tc>
          <w:tcPr>
            <w:tcW w:w="82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18"/>
          </w:tcPr>
          <w:p>
            <w:pPr>
              <w:spacing w:after="0"/>
              <w:rPr>
                <w:sz w:val="20"/>
                <w:szCs w:val="20"/>
                <w:color w:val="auto"/>
              </w:rPr>
            </w:pPr>
            <w:r>
              <w:rPr>
                <w:rFonts w:ascii="Arial" w:cs="Arial" w:eastAsia="Arial" w:hAnsi="Arial"/>
                <w:sz w:val="16"/>
                <w:szCs w:val="16"/>
                <w:color w:val="auto"/>
              </w:rPr>
              <w:t>Inline XBRL for the cover page of this Quarterly Report on Form 10-Q, included</w:t>
            </w:r>
          </w:p>
        </w:tc>
      </w:tr>
      <w:tr>
        <w:trPr>
          <w:trHeight w:val="215"/>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20" w:type="dxa"/>
            <w:vAlign w:val="bottom"/>
            <w:gridSpan w:val="18"/>
          </w:tcPr>
          <w:p>
            <w:pPr>
              <w:spacing w:after="0"/>
              <w:rPr>
                <w:sz w:val="20"/>
                <w:szCs w:val="20"/>
                <w:color w:val="auto"/>
              </w:rPr>
            </w:pPr>
            <w:r>
              <w:rPr>
                <w:rFonts w:ascii="Arial" w:cs="Arial" w:eastAsia="Arial" w:hAnsi="Arial"/>
                <w:sz w:val="16"/>
                <w:szCs w:val="16"/>
                <w:color w:val="auto"/>
              </w:rPr>
              <w:t>in the Exhibit 101 Inline XBRL Document 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9512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Filing</w:t>
            </w:r>
          </w:p>
        </w:tc>
      </w:tr>
      <w:tr>
        <w:trPr>
          <w:trHeight w:val="217"/>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29"/>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6/24/2019</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10/31/2022</w:t>
            </w: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8/16/2024</w:t>
            </w:r>
          </w:p>
        </w:tc>
      </w:tr>
      <w:tr>
        <w:trPr>
          <w:trHeight w:val="392"/>
        </w:trPr>
        <w:tc>
          <w:tcPr>
            <w:tcW w:w="10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60" w:type="dxa"/>
            <w:vAlign w:val="bottom"/>
            <w:gridSpan w:val="2"/>
          </w:tcPr>
          <w:p>
            <w:pPr>
              <w:jc w:val="center"/>
              <w:ind w:left="39"/>
              <w:spacing w:after="0"/>
              <w:rPr>
                <w:sz w:val="20"/>
                <w:szCs w:val="20"/>
                <w:color w:val="auto"/>
              </w:rPr>
            </w:pPr>
            <w:r>
              <w:rPr>
                <w:rFonts w:ascii="Arial" w:cs="Arial" w:eastAsia="Arial" w:hAnsi="Arial"/>
                <w:sz w:val="16"/>
                <w:szCs w:val="16"/>
                <w:color w:val="auto"/>
              </w:rPr>
              <w:t>001-38943</w:t>
            </w: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10.1</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rPr>
              <w:t>8/16/2024</w:t>
            </w:r>
          </w:p>
        </w:tc>
      </w:tr>
    </w:tbl>
    <w:p>
      <w:pPr>
        <w:spacing w:after="0" w:line="3989" w:lineRule="exact"/>
        <w:rPr>
          <w:sz w:val="20"/>
          <w:szCs w:val="20"/>
          <w:color w:val="auto"/>
        </w:rPr>
      </w:pPr>
    </w:p>
    <w:p>
      <w:pPr>
        <w:sectPr>
          <w:pgSz w:w="11900" w:h="16838" w:orient="portrait"/>
          <w:cols w:equalWidth="0" w:num="2">
            <w:col w:w="6680" w:space="120"/>
            <w:col w:w="4440"/>
          </w:cols>
          <w:pgMar w:left="320" w:top="778" w:right="339" w:bottom="1440" w:gutter="0" w:footer="0" w:header="0"/>
        </w:sectPr>
      </w:pPr>
    </w:p>
    <w:p>
      <w:pPr>
        <w:spacing w:after="0"/>
        <w:tabs>
          <w:tab w:leader="none" w:pos="160" w:val="left"/>
        </w:tabs>
        <w:rPr>
          <w:sz w:val="20"/>
          <w:szCs w:val="20"/>
          <w:color w:val="auto"/>
        </w:rPr>
      </w:pPr>
      <w:r>
        <w:rPr>
          <w:rFonts w:ascii="Arial" w:cs="Arial" w:eastAsia="Arial" w:hAnsi="Arial"/>
          <w:sz w:val="14"/>
          <w:szCs w:val="14"/>
          <w:color w:val="auto"/>
        </w:rPr>
        <w:t>*</w:t>
        <w:tab/>
        <w:t>Filed herewith.</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42" w:lineRule="exact"/>
        <w:rPr>
          <w:sz w:val="20"/>
          <w:szCs w:val="20"/>
          <w:color w:val="auto"/>
        </w:rPr>
      </w:pPr>
    </w:p>
    <w:p>
      <w:pPr>
        <w:ind w:left="200" w:hanging="192"/>
        <w:spacing w:after="0" w:line="262" w:lineRule="auto"/>
        <w:tabs>
          <w:tab w:leader="none" w:pos="17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Pursuant to Item 601(a)(5) of Regulation S-K promulgated by the SEC, certain schedules and attachments to this exhibit have been omitted because they do not contain information material to an investment or voting decision and that information is not otherwise disclosed in the exhibit.</w:t>
      </w:r>
    </w:p>
    <w:p>
      <w:pPr>
        <w:spacing w:after="0" w:line="1" w:lineRule="exact"/>
        <w:rPr>
          <w:sz w:val="20"/>
          <w:szCs w:val="20"/>
          <w:color w:val="auto"/>
        </w:rPr>
      </w:pPr>
    </w:p>
    <w:p>
      <w:pPr>
        <w:ind w:left="200" w:hanging="192"/>
        <w:spacing w:after="0" w:line="283" w:lineRule="auto"/>
        <w:tabs>
          <w:tab w:leader="none" w:pos="1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5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6"/>
          <w:szCs w:val="16"/>
          <w:color w:val="auto"/>
        </w:rPr>
        <w:t>Date: November 6, 2024</w:t>
      </w:r>
      <w:r>
        <w:rPr>
          <w:sz w:val="20"/>
          <w:szCs w:val="20"/>
          <w:color w:val="auto"/>
        </w:rPr>
        <w:tab/>
      </w:r>
      <w:r>
        <w:rPr>
          <w:rFonts w:ascii="Arial" w:cs="Arial" w:eastAsia="Arial" w:hAnsi="Arial"/>
          <w:sz w:val="16"/>
          <w:szCs w:val="16"/>
          <w:color w:val="auto"/>
        </w:rPr>
        <w:t>Personalis, Inc.</w:t>
      </w:r>
    </w:p>
    <w:p>
      <w:pPr>
        <w:spacing w:after="0" w:line="22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By: /s/ Aaron Tachibana</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-115570</wp:posOffset>
            </wp:positionV>
            <wp:extent cx="32746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 and Chief Operating Officer</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No. 2 to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Commercialization and Reference Laboratory Agreement</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Amendment No. 2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the date of the last signature below (“</w:t>
      </w:r>
      <w:r>
        <w:rPr>
          <w:rFonts w:ascii="Times New Roman" w:cs="Times New Roman" w:eastAsia="Times New Roman" w:hAnsi="Times New Roman"/>
          <w:sz w:val="20"/>
          <w:szCs w:val="20"/>
          <w:u w:val="single" w:color="auto"/>
          <w:color w:val="auto"/>
        </w:rPr>
        <w:t>Amendment Date</w:t>
      </w:r>
      <w:r>
        <w:rPr>
          <w:rFonts w:ascii="Times New Roman" w:cs="Times New Roman" w:eastAsia="Times New Roman" w:hAnsi="Times New Roman"/>
          <w:sz w:val="20"/>
          <w:szCs w:val="20"/>
          <w:color w:val="auto"/>
        </w:rPr>
        <w:t>”) between Personalis, Inc. (“</w:t>
      </w:r>
      <w:r>
        <w:rPr>
          <w:rFonts w:ascii="Times New Roman" w:cs="Times New Roman" w:eastAsia="Times New Roman" w:hAnsi="Times New Roman"/>
          <w:sz w:val="20"/>
          <w:szCs w:val="20"/>
          <w:u w:val="single" w:color="auto"/>
          <w:color w:val="auto"/>
        </w:rPr>
        <w:t>Personalis</w:t>
      </w:r>
      <w:r>
        <w:rPr>
          <w:rFonts w:ascii="Times New Roman" w:cs="Times New Roman" w:eastAsia="Times New Roman" w:hAnsi="Times New Roman"/>
          <w:sz w:val="20"/>
          <w:szCs w:val="20"/>
          <w:color w:val="auto"/>
        </w:rPr>
        <w:t xml:space="preserve">”) and Tempus AI, Inc. f/k/a </w:t>
      </w:r>
      <w:r>
        <w:rPr>
          <w:rFonts w:ascii="Times New Roman" w:cs="Times New Roman" w:eastAsia="Times New Roman" w:hAnsi="Times New Roman"/>
          <w:sz w:val="20"/>
          <w:szCs w:val="20"/>
          <w:u w:val="single" w:color="auto"/>
          <w:color w:val="auto"/>
        </w:rPr>
        <w:t>Tempus</w:t>
      </w:r>
      <w:r>
        <w:rPr>
          <w:rFonts w:ascii="Times New Roman" w:cs="Times New Roman" w:eastAsia="Times New Roman" w:hAnsi="Times New Roman"/>
          <w:sz w:val="20"/>
          <w:szCs w:val="20"/>
          <w:color w:val="auto"/>
        </w:rPr>
        <w:t xml:space="preserve"> Labs, Inc. (“</w:t>
      </w:r>
      <w:r>
        <w:rPr>
          <w:rFonts w:ascii="Times New Roman" w:cs="Times New Roman" w:eastAsia="Times New Roman" w:hAnsi="Times New Roman"/>
          <w:sz w:val="20"/>
          <w:szCs w:val="20"/>
          <w:u w:val="single" w:color="auto"/>
          <w:color w:val="auto"/>
        </w:rPr>
        <w:t>Tempus</w:t>
      </w:r>
      <w:r>
        <w:rPr>
          <w:rFonts w:ascii="Times New Roman" w:cs="Times New Roman" w:eastAsia="Times New Roman" w:hAnsi="Times New Roman"/>
          <w:sz w:val="20"/>
          <w:szCs w:val="20"/>
          <w:color w:val="auto"/>
        </w:rPr>
        <w:t>”) and amends that certain Commercialization and Reference Laboratory Agreement with the effective date of November 25, 2023 (as previously amended,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Tempus and Personalis are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Parties wish to modify the terms of Exhibit B (Reference Laboratory Services) to the Agreement to provide for additional terms related to Test reimbursement.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herein, the Parties, intending to be legally bound, hereby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u w:val="single" w:color="auto"/>
          <w:color w:val="auto"/>
        </w:rPr>
        <w:t>1.Section 2 (Support Services)</w:t>
      </w:r>
      <w:r>
        <w:rPr>
          <w:rFonts w:ascii="Times New Roman" w:cs="Times New Roman" w:eastAsia="Times New Roman" w:hAnsi="Times New Roman"/>
          <w:sz w:val="19"/>
          <w:szCs w:val="19"/>
          <w:color w:val="auto"/>
        </w:rPr>
        <w:t>. Exhibit B, Section 2(c) (Customer Support) is amended to add the following as a new subsection 2(c)(i):</w:t>
      </w:r>
    </w:p>
    <w:p>
      <w:pPr>
        <w:spacing w:after="0" w:line="241"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color w:val="auto"/>
        </w:rPr>
        <w:t>If Personalis intends to change its Test price, Personalis will use commercially reasonable efforts to provide Tempus with at least thirty (30) days’ written notice prior to implementing the price change.</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2.Section 3 (Reimbursement of Tests)</w:t>
      </w:r>
      <w:r>
        <w:rPr>
          <w:rFonts w:ascii="Times New Roman" w:cs="Times New Roman" w:eastAsia="Times New Roman" w:hAnsi="Times New Roman"/>
          <w:sz w:val="20"/>
          <w:szCs w:val="20"/>
          <w:color w:val="auto"/>
        </w:rPr>
        <w:t>. Exhibit B, Section 3 is amended to add the following as a new subsection (d):</w:t>
      </w:r>
    </w:p>
    <w:p>
      <w:pPr>
        <w:spacing w:after="0" w:line="229" w:lineRule="exact"/>
        <w:rPr>
          <w:sz w:val="20"/>
          <w:szCs w:val="20"/>
          <w:color w:val="auto"/>
        </w:rPr>
      </w:pPr>
    </w:p>
    <w:p>
      <w:pPr>
        <w:ind w:left="1500" w:hanging="690"/>
        <w:spacing w:after="0" w:line="241" w:lineRule="auto"/>
        <w:tabs>
          <w:tab w:leader="none" w:pos="120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Personalis and Tempus each maintain independent financial assistance programs (each a “ </w:t>
      </w:r>
      <w:r>
        <w:rPr>
          <w:rFonts w:ascii="Times New Roman" w:cs="Times New Roman" w:eastAsia="Times New Roman" w:hAnsi="Times New Roman"/>
          <w:sz w:val="20"/>
          <w:szCs w:val="20"/>
          <w:u w:val="single" w:color="auto"/>
          <w:color w:val="auto"/>
        </w:rPr>
        <w:t>FAP</w:t>
      </w:r>
      <w:r>
        <w:rPr>
          <w:rFonts w:ascii="Times New Roman" w:cs="Times New Roman" w:eastAsia="Times New Roman" w:hAnsi="Times New Roman"/>
          <w:sz w:val="20"/>
          <w:szCs w:val="20"/>
          <w:color w:val="auto"/>
        </w:rPr>
        <w:t>”) to help provide access to their respective tests for patients in financial need. Tests performed hereunder will be subject to the Personalis FAP. Personalis is solely responsible for administering its FAP, including making financial assistance determinations, for Tests performed hereunder. As part of its FAP, Personalis may decide, in its sole and independent discretion, to honor the financial assistance determination made by a third party provider, including but not limited to Tempus. In addition to the information provided pursuant to Section 3(b) above to support Personalis’ billing with respect to the Tests, Personalis requests and Tempus agrees to provide the financial assistance determination independently reached by Tempus according to its FAP policy for those patients who (i) apply for financial assistance through Tempus’ FAP and (ii) for whom a Personalis Test has been ordered. Tempus represents, warrants and covenants that the patients with respect to whom it provides Personalis the foregoing information have provided sufficient written authorization and consent (e.g., as part of Tempus’ FAP patient application process) for Tempus to lawfully share such information with laboratory partners, including but not limited to Personalis, for use as contemplated herein. Subject to the preceding sentence, Personalis is solely responsible for its use and further disclosure of such information, and Tempus disclaims any and all liability arising from or related to Personalis’ use or further disclosure of the Tempus financial assistance determination information, including any decisions made by Personalis based on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55"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u w:val="single" w:color="auto"/>
          <w:color w:val="auto"/>
        </w:rPr>
        <w:t>3.Incorporation</w:t>
      </w:r>
      <w:r>
        <w:rPr>
          <w:rFonts w:ascii="Times New Roman" w:cs="Times New Roman" w:eastAsia="Times New Roman" w:hAnsi="Times New Roman"/>
          <w:sz w:val="20"/>
          <w:szCs w:val="20"/>
          <w:color w:val="auto"/>
        </w:rPr>
        <w:t>. Except as otherwise provided in this Amendment, all terms and conditions previously set forth in the Agreement will remain in effect 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the Parties enter into this Amendment by signature of their authorized representatives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40" w:type="dxa"/>
            <w:vAlign w:val="bottom"/>
            <w:gridSpan w:val="7"/>
          </w:tcPr>
          <w:p>
            <w:pPr>
              <w:ind w:left="100"/>
              <w:spacing w:after="0"/>
              <w:rPr>
                <w:sz w:val="20"/>
                <w:szCs w:val="20"/>
                <w:color w:val="auto"/>
              </w:rPr>
            </w:pPr>
            <w:r>
              <w:rPr>
                <w:rFonts w:ascii="Times New Roman" w:cs="Times New Roman" w:eastAsia="Times New Roman" w:hAnsi="Times New Roman"/>
                <w:sz w:val="20"/>
                <w:szCs w:val="20"/>
                <w:b w:val="1"/>
                <w:bCs w:val="1"/>
                <w:color w:val="auto"/>
              </w:rPr>
              <w:t>Personalis, Inc.</w:t>
            </w:r>
          </w:p>
        </w:tc>
        <w:tc>
          <w:tcPr>
            <w:tcW w:w="6600" w:type="dxa"/>
            <w:vAlign w:val="bottom"/>
            <w:gridSpan w:val="8"/>
          </w:tcPr>
          <w:p>
            <w:pPr>
              <w:ind w:left="1080"/>
              <w:spacing w:after="0"/>
              <w:rPr>
                <w:sz w:val="20"/>
                <w:szCs w:val="20"/>
                <w:color w:val="auto"/>
              </w:rPr>
            </w:pPr>
            <w:r>
              <w:rPr>
                <w:rFonts w:ascii="Times New Roman" w:cs="Times New Roman" w:eastAsia="Times New Roman" w:hAnsi="Times New Roman"/>
                <w:sz w:val="20"/>
                <w:szCs w:val="20"/>
                <w:b w:val="1"/>
                <w:bCs w:val="1"/>
                <w:color w:val="auto"/>
              </w:rPr>
              <w:t>Tempus AI, Inc.</w:t>
            </w:r>
          </w:p>
        </w:tc>
      </w:tr>
      <w:tr>
        <w:trPr>
          <w:trHeight w:val="413"/>
        </w:trPr>
        <w:tc>
          <w:tcPr>
            <w:tcW w:w="464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By: /s/ Stephen Moore</w:t>
            </w:r>
          </w:p>
        </w:tc>
        <w:tc>
          <w:tcPr>
            <w:tcW w:w="6600" w:type="dxa"/>
            <w:vAlign w:val="bottom"/>
            <w:gridSpan w:val="8"/>
          </w:tcPr>
          <w:p>
            <w:pPr>
              <w:ind w:left="1080"/>
              <w:spacing w:after="0"/>
              <w:rPr>
                <w:sz w:val="20"/>
                <w:szCs w:val="20"/>
                <w:color w:val="auto"/>
              </w:rPr>
            </w:pPr>
            <w:r>
              <w:rPr>
                <w:rFonts w:ascii="Times New Roman" w:cs="Times New Roman" w:eastAsia="Times New Roman" w:hAnsi="Times New Roman"/>
                <w:sz w:val="20"/>
                <w:szCs w:val="20"/>
                <w:color w:val="auto"/>
              </w:rPr>
              <w:t>By: /s/ Ryan Bartolucci</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39"/>
        </w:trPr>
        <w:tc>
          <w:tcPr>
            <w:tcW w:w="9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Stephen Moore</w:t>
            </w:r>
          </w:p>
        </w:tc>
        <w:tc>
          <w:tcPr>
            <w:tcW w:w="2520" w:type="dxa"/>
            <w:vAlign w:val="bottom"/>
            <w:gridSpan w:val="2"/>
          </w:tcPr>
          <w:p>
            <w:pPr>
              <w:spacing w:after="0"/>
              <w:rPr>
                <w:sz w:val="24"/>
                <w:szCs w:val="24"/>
                <w:color w:val="auto"/>
              </w:rPr>
            </w:pPr>
          </w:p>
        </w:tc>
        <w:tc>
          <w:tcPr>
            <w:tcW w:w="1740" w:type="dxa"/>
            <w:vAlign w:val="bottom"/>
            <w:gridSpan w:val="2"/>
          </w:tcPr>
          <w:p>
            <w:pPr>
              <w:ind w:left="1080"/>
              <w:spacing w:after="0"/>
              <w:rPr>
                <w:sz w:val="20"/>
                <w:szCs w:val="20"/>
                <w:color w:val="auto"/>
              </w:rPr>
            </w:pPr>
            <w:r>
              <w:rPr>
                <w:rFonts w:ascii="Times New Roman" w:cs="Times New Roman" w:eastAsia="Times New Roman" w:hAnsi="Times New Roman"/>
                <w:sz w:val="20"/>
                <w:szCs w:val="20"/>
                <w:color w:val="auto"/>
              </w:rPr>
              <w:t>Name:</w:t>
            </w:r>
          </w:p>
        </w:tc>
        <w:tc>
          <w:tcPr>
            <w:tcW w:w="486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Ryan Bartolucci</w:t>
            </w:r>
          </w:p>
        </w:tc>
      </w:tr>
      <w:tr>
        <w:trPr>
          <w:trHeight w:val="20"/>
        </w:trPr>
        <w:tc>
          <w:tcPr>
            <w:tcW w:w="9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39"/>
        </w:trPr>
        <w:tc>
          <w:tcPr>
            <w:tcW w:w="9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268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SVP, CLO &amp; Corporate Secretary</w:t>
            </w:r>
          </w:p>
        </w:tc>
        <w:tc>
          <w:tcPr>
            <w:tcW w:w="1060" w:type="dxa"/>
            <w:vAlign w:val="bottom"/>
          </w:tcPr>
          <w:p>
            <w:pPr>
              <w:spacing w:after="0"/>
              <w:rPr>
                <w:sz w:val="24"/>
                <w:szCs w:val="24"/>
                <w:color w:val="auto"/>
              </w:rPr>
            </w:pPr>
          </w:p>
        </w:tc>
        <w:tc>
          <w:tcPr>
            <w:tcW w:w="1740" w:type="dxa"/>
            <w:vAlign w:val="bottom"/>
            <w:gridSpan w:val="2"/>
          </w:tcPr>
          <w:p>
            <w:pPr>
              <w:ind w:left="1080"/>
              <w:spacing w:after="0"/>
              <w:rPr>
                <w:sz w:val="20"/>
                <w:szCs w:val="20"/>
                <w:color w:val="auto"/>
              </w:rPr>
            </w:pPr>
            <w:r>
              <w:rPr>
                <w:rFonts w:ascii="Times New Roman" w:cs="Times New Roman" w:eastAsia="Times New Roman" w:hAnsi="Times New Roman"/>
                <w:sz w:val="20"/>
                <w:szCs w:val="20"/>
                <w:color w:val="auto"/>
              </w:rPr>
              <w:t>Title:</w:t>
            </w:r>
          </w:p>
        </w:tc>
        <w:tc>
          <w:tcPr>
            <w:tcW w:w="486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CAO</w:t>
            </w:r>
          </w:p>
        </w:tc>
      </w:tr>
      <w:tr>
        <w:trPr>
          <w:trHeight w:val="20"/>
        </w:trPr>
        <w:tc>
          <w:tcPr>
            <w:tcW w:w="9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39"/>
        </w:trPr>
        <w:tc>
          <w:tcPr>
            <w:tcW w:w="9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9/20/2024</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gridSpan w:val="2"/>
          </w:tcPr>
          <w:p>
            <w:pPr>
              <w:ind w:left="1080"/>
              <w:spacing w:after="0"/>
              <w:rPr>
                <w:sz w:val="20"/>
                <w:szCs w:val="20"/>
                <w:color w:val="auto"/>
              </w:rPr>
            </w:pPr>
            <w:r>
              <w:rPr>
                <w:rFonts w:ascii="Times New Roman" w:cs="Times New Roman" w:eastAsia="Times New Roman" w:hAnsi="Times New Roman"/>
                <w:sz w:val="20"/>
                <w:szCs w:val="20"/>
                <w:color w:val="auto"/>
              </w:rPr>
              <w:t>Date:</w:t>
            </w: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9/11/2024</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39"/>
        </w:trPr>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-1464945</wp:posOffset>
            </wp:positionV>
            <wp:extent cx="311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-1464945</wp:posOffset>
            </wp:positionV>
            <wp:extent cx="311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Christopher Hall, certify that:</w:t>
      </w:r>
    </w:p>
    <w:p>
      <w:pPr>
        <w:spacing w:after="0" w:line="221"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20" w:right="40" w:hanging="503"/>
        <w:spacing w:after="0" w:line="26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503"/>
        <w:spacing w:after="0" w:line="26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20" w:right="440" w:hanging="503"/>
        <w:spacing w:after="0" w:line="28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140" w:hanging="503"/>
        <w:spacing w:after="0" w:line="26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80" w:hanging="503"/>
        <w:spacing w:after="0" w:line="28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20" w:hanging="503"/>
        <w:spacing w:after="0" w:line="286"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6, 2024</w:t>
      </w:r>
    </w:p>
    <w:p>
      <w:pPr>
        <w:spacing w:after="0" w:line="32"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20955</wp:posOffset>
            </wp:positionV>
            <wp:extent cx="32746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Christopher Hall</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President and Chief Executive Officer</w:t>
      </w:r>
    </w:p>
    <w:p>
      <w:pPr>
        <w:spacing w:after="0" w:line="34"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jc w:val="both"/>
        <w:ind w:left="1020" w:right="40" w:hanging="503"/>
        <w:spacing w:after="0" w:line="266"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503"/>
        <w:spacing w:after="0" w:line="266"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jc w:val="both"/>
        <w:ind w:left="1020" w:right="440" w:hanging="503"/>
        <w:spacing w:after="0" w:line="286"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140" w:hanging="503"/>
        <w:spacing w:after="0" w:line="266"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380" w:right="460" w:hanging="372"/>
        <w:spacing w:after="0" w:line="28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80" w:hanging="503"/>
        <w:spacing w:after="0" w:line="286"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20" w:hanging="503"/>
        <w:spacing w:after="0" w:line="286"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6, 2024</w:t>
      </w:r>
    </w:p>
    <w:p>
      <w:pPr>
        <w:spacing w:after="0" w:line="32"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20955</wp:posOffset>
            </wp:positionV>
            <wp:extent cx="32746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Aaron Tachibana</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 and Chief Operating Officer</w:t>
      </w:r>
    </w:p>
    <w:p>
      <w:pPr>
        <w:spacing w:after="0" w:line="34"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32.1</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120" w:firstLine="509"/>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ended September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680" w:hanging="503"/>
        <w:spacing w:after="0" w:line="286"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6, 2024</w:t>
      </w:r>
    </w:p>
    <w:p>
      <w:pPr>
        <w:spacing w:after="0" w:line="31"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/s/ Christopher Hall</w:t>
      </w:r>
    </w:p>
    <w:p>
      <w:pPr>
        <w:spacing w:after="0" w:line="20"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-115570</wp:posOffset>
            </wp:positionV>
            <wp:extent cx="30429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32.2</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120" w:firstLine="509"/>
        <w:spacing w:after="0" w:line="266"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ended September 30,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20" w:right="680" w:hanging="503"/>
        <w:spacing w:after="0" w:line="286"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6, 2024</w:t>
      </w:r>
    </w:p>
    <w:p>
      <w:pPr>
        <w:spacing w:after="0" w:line="31"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-115570</wp:posOffset>
            </wp:positionV>
            <wp:extent cx="30429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Financial Officer and Chief Operating Officer</w:t>
      </w:r>
    </w:p>
    <w:p>
      <w:pPr>
        <w:spacing w:after="0" w:line="19" w:lineRule="exact"/>
        <w:rPr>
          <w:sz w:val="20"/>
          <w:szCs w:val="20"/>
          <w:color w:val="auto"/>
        </w:rPr>
      </w:pPr>
    </w:p>
    <w:p>
      <w:pPr>
        <w:ind w:left="64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lvl w:ilvl="1">
      <w:lvlJc w:val="left"/>
      <w:lvlText w:val="o"/>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Ω"/>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lowerLetter"/>
      <w:start w:val="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28" Type="http://schemas.openxmlformats.org/officeDocument/2006/relationships/hyperlink" Target="https://www.sec.gov/Archives/edgar/data/0001527753/000119312519180246/d750323dex31.htm" TargetMode="External"/><Relationship Id="rId329" Type="http://schemas.openxmlformats.org/officeDocument/2006/relationships/hyperlink" Target="https://www.sec.gov/Archives/edgar/data/1527753/000095017022020631/psnl-ex3_1.htm" TargetMode="External"/><Relationship Id="rId330" Type="http://schemas.openxmlformats.org/officeDocument/2006/relationships/hyperlink" Target="https://www.sec.gov/Archives/edgar/data/1527753/000119312524201697/d836724dex41.htm" TargetMode="External"/><Relationship Id="rId331" Type="http://schemas.openxmlformats.org/officeDocument/2006/relationships/hyperlink" Target="https://www.sec.gov/Archives/edgar/data/1527753/000119312524201697/d8367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2024-11-06T15:39:57Z</dcterms:created>
  <dcterms:modified xsi:type="dcterms:W3CDTF">2024-11-06T15:39:57Z</dcterms:modified>
</cp:coreProperties>
</file>