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3" w:lineRule="exact"/>
        <w:rPr>
          <w:sz w:val="24"/>
          <w:szCs w:val="24"/>
          <w:color w:val="auto"/>
        </w:rPr>
      </w:pPr>
    </w:p>
    <w:p>
      <w:pPr>
        <w:jc w:val="center"/>
        <w:ind w:right="60"/>
        <w:spacing w:after="0"/>
        <w:rPr>
          <w:sz w:val="20"/>
          <w:szCs w:val="20"/>
          <w:color w:val="auto"/>
        </w:rPr>
      </w:pPr>
      <w:r>
        <w:rPr>
          <w:rFonts w:ascii="Arial" w:cs="Arial" w:eastAsia="Arial" w:hAnsi="Arial"/>
          <w:sz w:val="23"/>
          <w:szCs w:val="23"/>
          <w:b w:val="1"/>
          <w:bCs w:val="1"/>
          <w:color w:val="auto"/>
        </w:rPr>
        <w:t>SECURITIES AND EXCHANGE COMMISSION</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45085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68580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8" w:lineRule="exact"/>
        <w:rPr>
          <w:sz w:val="24"/>
          <w:szCs w:val="24"/>
          <w:color w:val="auto"/>
        </w:rPr>
      </w:pPr>
    </w:p>
    <w:p>
      <w:pPr>
        <w:ind w:left="4000" w:right="1440" w:hanging="2556"/>
        <w:spacing w:after="0" w:line="290" w:lineRule="auto"/>
        <w:tabs>
          <w:tab w:leader="none" w:pos="1806"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2023</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or</w:t>
      </w:r>
    </w:p>
    <w:p>
      <w:pPr>
        <w:spacing w:after="0" w:line="46" w:lineRule="exact"/>
        <w:rPr>
          <w:sz w:val="24"/>
          <w:szCs w:val="24"/>
          <w:color w:val="auto"/>
        </w:rPr>
      </w:pPr>
    </w:p>
    <w:p>
      <w:pPr>
        <w:ind w:left="3800" w:right="1280" w:hanging="2508"/>
        <w:spacing w:after="0" w:line="290" w:lineRule="auto"/>
        <w:tabs>
          <w:tab w:leader="none" w:pos="1656"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 to _______.</w:t>
      </w:r>
    </w:p>
    <w:p>
      <w:pPr>
        <w:ind w:left="4300"/>
        <w:spacing w:after="0"/>
        <w:rPr>
          <w:rFonts w:ascii="MS PGothic" w:cs="MS PGothic" w:eastAsia="MS PGothic" w:hAnsi="MS PGothic"/>
          <w:sz w:val="16"/>
          <w:szCs w:val="16"/>
          <w:color w:val="auto"/>
          <w:highlight w:val="black"/>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55245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132080</wp:posOffset>
            </wp:positionV>
            <wp:extent cx="204851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851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Personalis,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34290</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2" w:lineRule="exact"/>
        <w:rPr>
          <w:sz w:val="24"/>
          <w:szCs w:val="24"/>
          <w:color w:val="auto"/>
        </w:rPr>
      </w:pPr>
    </w:p>
    <w:tbl>
      <w:tblPr>
        <w:tblLayout w:type="fixed"/>
        <w:tblInd w:w="960" w:type="dxa"/>
        <w:tblCellMar>
          <w:top w:w="0" w:type="dxa"/>
          <w:left w:w="0" w:type="dxa"/>
          <w:bottom w:w="0" w:type="dxa"/>
          <w:right w:w="0" w:type="dxa"/>
        </w:tblCellMar>
      </w:tblPr>
      <w:tr>
        <w:trPr>
          <w:trHeight w:val="189"/>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Delaware</w:t>
            </w:r>
          </w:p>
        </w:tc>
        <w:tc>
          <w:tcPr>
            <w:tcW w:w="3540" w:type="dxa"/>
            <w:vAlign w:val="bottom"/>
          </w:tcPr>
          <w:p>
            <w:pPr>
              <w:jc w:val="right"/>
              <w:ind w:right="648"/>
              <w:spacing w:after="0"/>
              <w:rPr>
                <w:sz w:val="20"/>
                <w:szCs w:val="20"/>
                <w:color w:val="auto"/>
              </w:rPr>
            </w:pPr>
            <w:r>
              <w:rPr>
                <w:rFonts w:ascii="Arial" w:cs="Arial" w:eastAsia="Arial" w:hAnsi="Arial"/>
                <w:sz w:val="14"/>
                <w:szCs w:val="14"/>
                <w:b w:val="1"/>
                <w:bCs w:val="1"/>
                <w:color w:val="auto"/>
              </w:rPr>
              <w:t>27-5411038</w:t>
            </w:r>
          </w:p>
        </w:tc>
      </w:tr>
      <w:tr>
        <w:trPr>
          <w:trHeight w:val="189"/>
        </w:trPr>
        <w:tc>
          <w:tcPr>
            <w:tcW w:w="5040" w:type="dxa"/>
            <w:vAlign w:val="bottom"/>
          </w:tcPr>
          <w:p>
            <w:pPr>
              <w:jc w:val="center"/>
              <w:ind w:right="1248"/>
              <w:spacing w:after="0"/>
              <w:rPr>
                <w:sz w:val="20"/>
                <w:szCs w:val="20"/>
                <w:color w:val="auto"/>
              </w:rPr>
            </w:pPr>
            <w:r>
              <w:rPr>
                <w:rFonts w:ascii="Arial" w:cs="Arial" w:eastAsia="Arial" w:hAnsi="Arial"/>
                <w:sz w:val="14"/>
                <w:szCs w:val="14"/>
                <w:color w:val="auto"/>
              </w:rPr>
              <w:t>(State or other jurisdiction of incorporation or organization)</w:t>
            </w:r>
          </w:p>
        </w:tc>
        <w:tc>
          <w:tcPr>
            <w:tcW w:w="3540" w:type="dxa"/>
            <w:vAlign w:val="bottom"/>
          </w:tcPr>
          <w:p>
            <w:pPr>
              <w:jc w:val="center"/>
              <w:ind w:left="1248"/>
              <w:spacing w:after="0"/>
              <w:rPr>
                <w:sz w:val="20"/>
                <w:szCs w:val="20"/>
                <w:color w:val="auto"/>
              </w:rPr>
            </w:pPr>
            <w:r>
              <w:rPr>
                <w:rFonts w:ascii="Arial" w:cs="Arial" w:eastAsia="Arial" w:hAnsi="Arial"/>
                <w:sz w:val="14"/>
                <w:szCs w:val="14"/>
                <w:color w:val="auto"/>
              </w:rPr>
              <w:t>(I.R.S. Employer Identification No.)</w:t>
            </w:r>
          </w:p>
        </w:tc>
      </w:tr>
      <w:tr>
        <w:trPr>
          <w:trHeight w:val="175"/>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212529"/>
              </w:rPr>
              <w:t>6600 Dumbarton Circle</w:t>
            </w:r>
          </w:p>
        </w:tc>
        <w:tc>
          <w:tcPr>
            <w:tcW w:w="3540" w:type="dxa"/>
            <w:vAlign w:val="bottom"/>
          </w:tcPr>
          <w:p>
            <w:pPr>
              <w:spacing w:after="0"/>
              <w:rPr>
                <w:sz w:val="15"/>
                <w:szCs w:val="15"/>
                <w:color w:val="auto"/>
              </w:rPr>
            </w:pPr>
          </w:p>
        </w:tc>
      </w:tr>
      <w:tr>
        <w:trPr>
          <w:trHeight w:val="189"/>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Fremont, California</w:t>
            </w:r>
          </w:p>
        </w:tc>
        <w:tc>
          <w:tcPr>
            <w:tcW w:w="3540" w:type="dxa"/>
            <w:vAlign w:val="bottom"/>
          </w:tcPr>
          <w:p>
            <w:pPr>
              <w:jc w:val="right"/>
              <w:ind w:right="828"/>
              <w:spacing w:after="0"/>
              <w:rPr>
                <w:sz w:val="20"/>
                <w:szCs w:val="20"/>
                <w:color w:val="auto"/>
              </w:rPr>
            </w:pPr>
            <w:r>
              <w:rPr>
                <w:rFonts w:ascii="Arial" w:cs="Arial" w:eastAsia="Arial" w:hAnsi="Arial"/>
                <w:sz w:val="14"/>
                <w:szCs w:val="14"/>
                <w:b w:val="1"/>
                <w:bCs w:val="1"/>
                <w:color w:val="auto"/>
              </w:rPr>
              <w:t>94555</w:t>
            </w:r>
          </w:p>
        </w:tc>
      </w:tr>
      <w:tr>
        <w:trPr>
          <w:trHeight w:val="190"/>
        </w:trPr>
        <w:tc>
          <w:tcPr>
            <w:tcW w:w="5040" w:type="dxa"/>
            <w:vAlign w:val="bottom"/>
          </w:tcPr>
          <w:p>
            <w:pPr>
              <w:jc w:val="center"/>
              <w:ind w:right="1268"/>
              <w:spacing w:after="0"/>
              <w:rPr>
                <w:sz w:val="20"/>
                <w:szCs w:val="20"/>
                <w:color w:val="auto"/>
              </w:rPr>
            </w:pPr>
            <w:r>
              <w:rPr>
                <w:rFonts w:ascii="Arial" w:cs="Arial" w:eastAsia="Arial" w:hAnsi="Arial"/>
                <w:sz w:val="14"/>
                <w:szCs w:val="14"/>
                <w:color w:val="auto"/>
              </w:rPr>
              <w:t>(Address of principal executive offices)</w:t>
            </w:r>
          </w:p>
        </w:tc>
        <w:tc>
          <w:tcPr>
            <w:tcW w:w="3540" w:type="dxa"/>
            <w:vAlign w:val="bottom"/>
          </w:tcPr>
          <w:p>
            <w:pPr>
              <w:jc w:val="center"/>
              <w:ind w:left="1268"/>
              <w:spacing w:after="0"/>
              <w:rPr>
                <w:sz w:val="20"/>
                <w:szCs w:val="20"/>
                <w:color w:val="auto"/>
              </w:rPr>
            </w:pPr>
            <w:r>
              <w:rPr>
                <w:rFonts w:ascii="Arial" w:cs="Arial" w:eastAsia="Arial" w:hAnsi="Arial"/>
                <w:sz w:val="14"/>
                <w:szCs w:val="14"/>
                <w:color w:val="auto"/>
              </w:rPr>
              <w:t>(Zip Code)</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6"/>
          <w:szCs w:val="16"/>
          <w:b w:val="1"/>
          <w:bCs w:val="1"/>
          <w:color w:val="auto"/>
        </w:rPr>
        <w:t>(650) 752-1300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55245</wp:posOffset>
            </wp:positionV>
            <wp:extent cx="2383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spacing w:after="0"/>
              <w:rPr>
                <w:sz w:val="16"/>
                <w:szCs w:val="16"/>
                <w:color w:val="auto"/>
              </w:rPr>
            </w:pPr>
          </w:p>
        </w:tc>
      </w:tr>
      <w:tr>
        <w:trPr>
          <w:trHeight w:val="210"/>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1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Symbol(s)</w:t>
            </w:r>
          </w:p>
        </w:tc>
        <w:tc>
          <w:tcPr>
            <w:tcW w:w="120" w:type="dxa"/>
            <w:vAlign w:val="bottom"/>
          </w:tcPr>
          <w:p>
            <w:pPr>
              <w:spacing w:after="0"/>
              <w:rPr>
                <w:sz w:val="18"/>
                <w:szCs w:val="18"/>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7"/>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rPr>
              <w:t>Common Stock, par value $0.0001</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8"/>
              </w:rPr>
              <w:t>PSNL</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b w:val="1"/>
                <w:bCs w:val="1"/>
                <w:color w:val="auto"/>
              </w:rPr>
              <w:t>The Nasdaq Global Market</w:t>
            </w:r>
          </w:p>
        </w:tc>
      </w:tr>
    </w:tbl>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51" w:lineRule="exact"/>
        <w:rPr>
          <w:sz w:val="24"/>
          <w:szCs w:val="24"/>
          <w:color w:val="auto"/>
        </w:rPr>
      </w:pPr>
    </w:p>
    <w:p>
      <w:pPr>
        <w:ind w:right="2900"/>
        <w:spacing w:after="0" w:line="24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2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28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p>
      <w:pPr>
        <w:ind w:left="20"/>
        <w:spacing w:after="0" w:line="161" w:lineRule="exact"/>
        <w:tabs>
          <w:tab w:leader="none" w:pos="1820" w:val="left"/>
          <w:tab w:leader="none" w:pos="2260" w:val="left"/>
          <w:tab w:leader="none" w:pos="3640" w:val="left"/>
          <w:tab w:leader="none" w:pos="4100" w:val="left"/>
          <w:tab w:leader="none" w:pos="5780" w:val="left"/>
          <w:tab w:leader="none" w:pos="6220" w:val="left"/>
          <w:tab w:leader="none" w:pos="8340" w:val="left"/>
          <w:tab w:leader="none" w:pos="8920" w:val="left"/>
          <w:tab w:leader="none" w:pos="110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40" w:lineRule="exact"/>
        <w:rPr>
          <w:sz w:val="24"/>
          <w:szCs w:val="24"/>
          <w:color w:val="auto"/>
        </w:rPr>
      </w:pPr>
    </w:p>
    <w:p>
      <w:pPr>
        <w:ind w:right="36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7" w:lineRule="exact"/>
        <w:rPr>
          <w:sz w:val="24"/>
          <w:szCs w:val="24"/>
          <w:color w:val="auto"/>
        </w:rPr>
      </w:pPr>
    </w:p>
    <w:p>
      <w:pPr>
        <w:ind w:right="56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3" w:lineRule="exact"/>
        <w:rPr>
          <w:sz w:val="24"/>
          <w:szCs w:val="24"/>
          <w:color w:val="auto"/>
        </w:rPr>
      </w:pPr>
    </w:p>
    <w:p>
      <w:pPr>
        <w:ind w:right="46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40"/>
        <w:spacing w:after="0" w:line="285" w:lineRule="auto"/>
        <w:rPr>
          <w:sz w:val="20"/>
          <w:szCs w:val="20"/>
          <w:color w:val="auto"/>
        </w:rPr>
      </w:pPr>
      <w:r>
        <w:rPr>
          <w:rFonts w:ascii="Arial" w:cs="Arial" w:eastAsia="Arial" w:hAnsi="Arial"/>
          <w:sz w:val="14"/>
          <w:szCs w:val="14"/>
          <w:color w:val="auto"/>
        </w:rPr>
        <w:t>The aggregate market value of the voting and non-voting common stock held by non-affiliates of the Registrant, as of June 30, 2023, the last business day of the Registrant’s most recently completed second fiscal quarter, was approximately $90,600,000 based on the closing price reported for such date on the Nasdaq Global Market.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50,503,889 shares of common stock were issued and outstanding as of February 22, 2024.</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 w:lineRule="exact"/>
        <w:rPr>
          <w:sz w:val="24"/>
          <w:szCs w:val="24"/>
          <w:color w:val="auto"/>
        </w:rPr>
      </w:pPr>
    </w:p>
    <w:p>
      <w:pPr>
        <w:spacing w:after="0" w:line="252" w:lineRule="auto"/>
        <w:rPr>
          <w:sz w:val="20"/>
          <w:szCs w:val="20"/>
          <w:color w:val="auto"/>
        </w:rPr>
      </w:pPr>
      <w:r>
        <w:rPr>
          <w:rFonts w:ascii="Arial" w:cs="Arial" w:eastAsia="Arial" w:hAnsi="Arial"/>
          <w:sz w:val="14"/>
          <w:szCs w:val="14"/>
          <w:color w:val="auto"/>
        </w:rPr>
        <w:t>Portions of the Registrant's definitive proxy statement relating to its 2024 annual meeting of shareholders are incorporated by reference into Part III of this Annual Report on Form 10-K where indicated. The Registrant's definitive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 w:name="page2"/>
    <w:bookmarkEnd w:id="1"/>
    <w:p>
      <w:pPr>
        <w:ind w:left="4800"/>
        <w:spacing w:after="0"/>
        <w:rPr>
          <w:sz w:val="20"/>
          <w:szCs w:val="20"/>
          <w:color w:val="auto"/>
        </w:rPr>
      </w:pPr>
      <w:r>
        <w:rPr>
          <w:rFonts w:ascii="Arial" w:cs="Arial" w:eastAsia="Arial" w:hAnsi="Arial"/>
          <w:sz w:val="18"/>
          <w:szCs w:val="18"/>
          <w:b w:val="1"/>
          <w:bCs w:val="1"/>
          <w:color w:val="auto"/>
        </w:rPr>
        <w:t>PERSONALIS, INC.</w:t>
      </w:r>
    </w:p>
    <w:p>
      <w:pPr>
        <w:spacing w:after="0" w:line="18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Page</w:t>
            </w:r>
          </w:p>
        </w:tc>
      </w:tr>
      <w:tr>
        <w:trPr>
          <w:trHeight w:val="176"/>
        </w:trPr>
        <w:tc>
          <w:tcPr>
            <w:tcW w:w="980" w:type="dxa"/>
            <w:vAlign w:val="bottom"/>
            <w:shd w:val="clear" w:color="auto" w:fill="CFF0FC"/>
          </w:tcPr>
          <w:p>
            <w:pPr>
              <w:spacing w:after="0"/>
              <w:rPr>
                <w:sz w:val="15"/>
                <w:szCs w:val="15"/>
                <w:color w:val="auto"/>
              </w:rPr>
            </w:pPr>
          </w:p>
        </w:tc>
        <w:tc>
          <w:tcPr>
            <w:tcW w:w="9700" w:type="dxa"/>
            <w:vAlign w:val="bottom"/>
            <w:gridSpan w:val="31"/>
            <w:shd w:val="clear" w:color="auto" w:fill="CFF0FC"/>
          </w:tcPr>
          <w:p>
            <w:pPr>
              <w:spacing w:after="0" w:line="155" w:lineRule="exact"/>
              <w:rPr>
                <w:sz w:val="20"/>
                <w:szCs w:val="20"/>
                <w:color w:val="auto"/>
              </w:rPr>
            </w:pPr>
            <w:r>
              <w:rPr>
                <w:rFonts w:ascii="Arial" w:cs="Arial" w:eastAsia="Arial" w:hAnsi="Arial"/>
                <w:sz w:val="16"/>
                <w:szCs w:val="16"/>
                <w:color w:val="0000FF"/>
              </w:rPr>
              <w:t>Note Regarding Forward-Looking Statements</w:t>
            </w:r>
          </w:p>
        </w:tc>
        <w:tc>
          <w:tcPr>
            <w:tcW w:w="560" w:type="dxa"/>
            <w:vAlign w:val="bottom"/>
            <w:shd w:val="clear" w:color="auto" w:fill="CFF0FC"/>
          </w:tcPr>
          <w:p>
            <w:pPr>
              <w:jc w:val="center"/>
              <w:spacing w:after="0" w:line="155" w:lineRule="exact"/>
              <w:rPr>
                <w:sz w:val="20"/>
                <w:szCs w:val="20"/>
                <w:color w:val="auto"/>
              </w:rPr>
            </w:pPr>
            <w:r>
              <w:rPr>
                <w:rFonts w:ascii="Arial" w:cs="Arial" w:eastAsia="Arial" w:hAnsi="Arial"/>
                <w:sz w:val="16"/>
                <w:szCs w:val="16"/>
                <w:color w:val="auto"/>
                <w:w w:val="89"/>
              </w:rPr>
              <w:t>3</w:t>
            </w:r>
          </w:p>
        </w:tc>
      </w:tr>
      <w:tr>
        <w:trPr>
          <w:trHeight w:val="203"/>
        </w:trPr>
        <w:tc>
          <w:tcPr>
            <w:tcW w:w="980" w:type="dxa"/>
            <w:vAlign w:val="bottom"/>
            <w:tcBorders>
              <w:top w:val="single" w:sz="8" w:color="CFF0FC"/>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4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92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80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1720" w:type="dxa"/>
            <w:vAlign w:val="bottom"/>
            <w:tcBorders>
              <w:top w:val="single" w:sz="8" w:color="CFF0FC"/>
            </w:tcBorders>
          </w:tcPr>
          <w:p>
            <w:pPr>
              <w:spacing w:after="0"/>
              <w:rPr>
                <w:sz w:val="17"/>
                <w:szCs w:val="17"/>
                <w:color w:val="auto"/>
              </w:rPr>
            </w:pPr>
          </w:p>
        </w:tc>
        <w:tc>
          <w:tcPr>
            <w:tcW w:w="560" w:type="dxa"/>
            <w:vAlign w:val="bottom"/>
            <w:tcBorders>
              <w:top w:val="single" w:sz="8" w:color="CFF0FC"/>
            </w:tcBorders>
          </w:tcPr>
          <w:p>
            <w:pPr>
              <w:spacing w:after="0"/>
              <w:rPr>
                <w:sz w:val="17"/>
                <w:szCs w:val="17"/>
                <w:color w:val="auto"/>
              </w:rPr>
            </w:pPr>
          </w:p>
        </w:tc>
      </w:tr>
      <w:tr>
        <w:trPr>
          <w:trHeight w:val="183"/>
        </w:trPr>
        <w:tc>
          <w:tcPr>
            <w:tcW w:w="9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320" w:type="dxa"/>
            <w:vAlign w:val="bottom"/>
            <w:gridSpan w:val="11"/>
            <w:shd w:val="clear" w:color="auto" w:fill="CFF0FC"/>
          </w:tcPr>
          <w:p>
            <w:pPr>
              <w:jc w:val="center"/>
              <w:ind w:right="4800"/>
              <w:spacing w:after="0" w:line="162" w:lineRule="exact"/>
              <w:rPr>
                <w:sz w:val="20"/>
                <w:szCs w:val="20"/>
                <w:color w:val="auto"/>
              </w:rPr>
            </w:pPr>
            <w:r>
              <w:rPr>
                <w:rFonts w:ascii="Arial" w:cs="Arial" w:eastAsia="Arial" w:hAnsi="Arial"/>
                <w:sz w:val="16"/>
                <w:szCs w:val="16"/>
                <w:b w:val="1"/>
                <w:bCs w:val="1"/>
                <w:color w:val="0000FF"/>
                <w:w w:val="99"/>
              </w:rPr>
              <w:t>PART I</w:t>
            </w:r>
          </w:p>
        </w:tc>
        <w:tc>
          <w:tcPr>
            <w:tcW w:w="560" w:type="dxa"/>
            <w:vAlign w:val="bottom"/>
            <w:shd w:val="clear" w:color="auto" w:fill="CFF0FC"/>
          </w:tcPr>
          <w:p>
            <w:pPr>
              <w:spacing w:after="0"/>
              <w:rPr>
                <w:sz w:val="15"/>
                <w:szCs w:val="15"/>
                <w:color w:val="auto"/>
              </w:rPr>
            </w:pPr>
          </w:p>
        </w:tc>
      </w:tr>
      <w:tr>
        <w:trPr>
          <w:trHeight w:val="162"/>
        </w:trPr>
        <w:tc>
          <w:tcPr>
            <w:tcW w:w="980" w:type="dxa"/>
            <w:vAlign w:val="bottom"/>
            <w:tcBorders>
              <w:top w:val="single" w:sz="8" w:color="CFF0FC"/>
            </w:tcBorders>
          </w:tcPr>
          <w:p>
            <w:pPr>
              <w:ind w:left="20"/>
              <w:spacing w:after="0" w:line="162" w:lineRule="exact"/>
              <w:rPr>
                <w:sz w:val="20"/>
                <w:szCs w:val="20"/>
                <w:color w:val="auto"/>
              </w:rPr>
            </w:pPr>
            <w:r>
              <w:rPr>
                <w:rFonts w:ascii="Arial" w:cs="Arial" w:eastAsia="Arial" w:hAnsi="Arial"/>
                <w:sz w:val="16"/>
                <w:szCs w:val="16"/>
                <w:color w:val="auto"/>
              </w:rPr>
              <w:t>Item 1.</w:t>
            </w:r>
          </w:p>
        </w:tc>
        <w:tc>
          <w:tcPr>
            <w:tcW w:w="4380" w:type="dxa"/>
            <w:vAlign w:val="bottom"/>
            <w:tcBorders>
              <w:top w:val="single" w:sz="8" w:color="CFF0FC"/>
            </w:tcBorders>
            <w:gridSpan w:val="20"/>
          </w:tcPr>
          <w:p>
            <w:pPr>
              <w:spacing w:after="0" w:line="162" w:lineRule="exact"/>
              <w:rPr>
                <w:sz w:val="20"/>
                <w:szCs w:val="20"/>
                <w:color w:val="auto"/>
              </w:rPr>
            </w:pPr>
            <w:r>
              <w:rPr>
                <w:rFonts w:ascii="Arial" w:cs="Arial" w:eastAsia="Arial" w:hAnsi="Arial"/>
                <w:sz w:val="16"/>
                <w:szCs w:val="16"/>
                <w:color w:val="0000FF"/>
              </w:rPr>
              <w:t>Business</w:t>
            </w:r>
          </w:p>
        </w:tc>
        <w:tc>
          <w:tcPr>
            <w:tcW w:w="520" w:type="dxa"/>
            <w:vAlign w:val="bottom"/>
            <w:tcBorders>
              <w:top w:val="single" w:sz="8" w:color="0000FF"/>
            </w:tcBorders>
            <w:gridSpan w:val="2"/>
          </w:tcPr>
          <w:p>
            <w:pPr>
              <w:spacing w:after="0"/>
              <w:rPr>
                <w:sz w:val="14"/>
                <w:szCs w:val="14"/>
                <w:color w:val="auto"/>
              </w:rPr>
            </w:pPr>
          </w:p>
        </w:tc>
        <w:tc>
          <w:tcPr>
            <w:tcW w:w="4800" w:type="dxa"/>
            <w:vAlign w:val="bottom"/>
            <w:tcBorders>
              <w:top w:val="single" w:sz="8" w:color="CFF0FC"/>
            </w:tcBorders>
            <w:gridSpan w:val="9"/>
          </w:tcPr>
          <w:p>
            <w:pPr>
              <w:spacing w:after="0"/>
              <w:rPr>
                <w:sz w:val="14"/>
                <w:szCs w:val="14"/>
                <w:color w:val="auto"/>
              </w:rPr>
            </w:pPr>
          </w:p>
        </w:tc>
        <w:tc>
          <w:tcPr>
            <w:tcW w:w="5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w w:val="89"/>
              </w:rPr>
              <w:t>4</w:t>
            </w:r>
          </w:p>
        </w:tc>
      </w:tr>
      <w:tr>
        <w:trPr>
          <w:trHeight w:val="21"/>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4"/>
            <w:shd w:val="clear" w:color="auto" w:fill="CFF0FC"/>
          </w:tcPr>
          <w:p>
            <w:pPr>
              <w:spacing w:after="0" w:line="162" w:lineRule="exact"/>
              <w:rPr>
                <w:sz w:val="20"/>
                <w:szCs w:val="20"/>
                <w:color w:val="auto"/>
              </w:rPr>
            </w:pPr>
            <w:r>
              <w:rPr>
                <w:rFonts w:ascii="Arial" w:cs="Arial" w:eastAsia="Arial" w:hAnsi="Arial"/>
                <w:sz w:val="16"/>
                <w:szCs w:val="16"/>
                <w:color w:val="0000FF"/>
                <w:w w:val="98"/>
              </w:rPr>
              <w:t>Risk Factors</w:t>
            </w:r>
          </w:p>
        </w:tc>
        <w:tc>
          <w:tcPr>
            <w:tcW w:w="8800" w:type="dxa"/>
            <w:vAlign w:val="bottom"/>
            <w:tcBorders>
              <w:bottom w:val="single" w:sz="8" w:color="CFF0FC"/>
            </w:tcBorders>
            <w:gridSpan w:val="27"/>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13</w:t>
            </w: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1B.</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Unresolved Staff Comments</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53</w:t>
            </w:r>
          </w:p>
        </w:tc>
      </w:tr>
      <w:tr>
        <w:trPr>
          <w:trHeight w:val="21"/>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1C.</w:t>
            </w:r>
          </w:p>
        </w:tc>
        <w:tc>
          <w:tcPr>
            <w:tcW w:w="1000" w:type="dxa"/>
            <w:vAlign w:val="bottom"/>
            <w:tcBorders>
              <w:bottom w:val="single" w:sz="8" w:color="0000FF"/>
            </w:tcBorders>
            <w:gridSpan w:val="5"/>
            <w:shd w:val="clear" w:color="auto" w:fill="CFF0FC"/>
          </w:tcPr>
          <w:p>
            <w:pPr>
              <w:spacing w:after="0" w:line="162" w:lineRule="exact"/>
              <w:rPr>
                <w:sz w:val="20"/>
                <w:szCs w:val="20"/>
                <w:color w:val="auto"/>
              </w:rPr>
            </w:pPr>
            <w:r>
              <w:rPr>
                <w:rFonts w:ascii="Arial" w:cs="Arial" w:eastAsia="Arial" w:hAnsi="Arial"/>
                <w:sz w:val="16"/>
                <w:szCs w:val="16"/>
                <w:color w:val="0000FF"/>
              </w:rPr>
              <w:t>Cybersecurity</w:t>
            </w:r>
          </w:p>
        </w:tc>
        <w:tc>
          <w:tcPr>
            <w:tcW w:w="8700" w:type="dxa"/>
            <w:vAlign w:val="bottom"/>
            <w:tcBorders>
              <w:bottom w:val="single" w:sz="8" w:color="CFF0FC"/>
            </w:tcBorders>
            <w:gridSpan w:val="26"/>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53</w:t>
            </w: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2.</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Properties</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54</w:t>
            </w:r>
          </w:p>
        </w:tc>
      </w:tr>
      <w:tr>
        <w:trPr>
          <w:trHeight w:val="21"/>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2"/>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3.</w:t>
            </w:r>
          </w:p>
        </w:tc>
        <w:tc>
          <w:tcPr>
            <w:tcW w:w="9700" w:type="dxa"/>
            <w:vAlign w:val="bottom"/>
            <w:gridSpan w:val="31"/>
            <w:shd w:val="clear" w:color="auto" w:fill="CFF0FC"/>
          </w:tcPr>
          <w:p>
            <w:pPr>
              <w:spacing w:after="0" w:line="162" w:lineRule="exact"/>
              <w:rPr>
                <w:sz w:val="20"/>
                <w:szCs w:val="20"/>
                <w:color w:val="auto"/>
              </w:rPr>
            </w:pPr>
            <w:r>
              <w:rPr>
                <w:rFonts w:ascii="Arial" w:cs="Arial" w:eastAsia="Arial" w:hAnsi="Arial"/>
                <w:sz w:val="16"/>
                <w:szCs w:val="16"/>
                <w:color w:val="0000FF"/>
              </w:rPr>
              <w:t>Legal Proceedings</w:t>
            </w: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54</w:t>
            </w:r>
          </w:p>
        </w:tc>
      </w:tr>
      <w:tr>
        <w:trPr>
          <w:trHeight w:val="21"/>
        </w:trPr>
        <w:tc>
          <w:tcPr>
            <w:tcW w:w="9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4.</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Mine Safety Disclosures</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54</w:t>
            </w:r>
          </w:p>
        </w:tc>
      </w:tr>
      <w:tr>
        <w:trPr>
          <w:trHeight w:val="21"/>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3"/>
        </w:trPr>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r>
      <w:tr>
        <w:trPr>
          <w:trHeight w:val="162"/>
        </w:trPr>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40" w:type="dxa"/>
            <w:vAlign w:val="bottom"/>
            <w:gridSpan w:val="12"/>
          </w:tcPr>
          <w:p>
            <w:pPr>
              <w:jc w:val="center"/>
              <w:ind w:right="4780"/>
              <w:spacing w:after="0" w:line="162" w:lineRule="exact"/>
              <w:rPr>
                <w:sz w:val="20"/>
                <w:szCs w:val="20"/>
                <w:color w:val="auto"/>
              </w:rPr>
            </w:pPr>
            <w:r>
              <w:rPr>
                <w:rFonts w:ascii="Arial" w:cs="Arial" w:eastAsia="Arial" w:hAnsi="Arial"/>
                <w:sz w:val="16"/>
                <w:szCs w:val="16"/>
                <w:b w:val="1"/>
                <w:bCs w:val="1"/>
                <w:color w:val="0000FF"/>
                <w:w w:val="98"/>
              </w:rPr>
              <w:t>PART II</w:t>
            </w:r>
          </w:p>
        </w:tc>
        <w:tc>
          <w:tcPr>
            <w:tcW w:w="560" w:type="dxa"/>
            <w:vAlign w:val="bottom"/>
          </w:tcPr>
          <w:p>
            <w:pPr>
              <w:spacing w:after="0"/>
              <w:rPr>
                <w:sz w:val="14"/>
                <w:szCs w:val="14"/>
                <w:color w:val="auto"/>
              </w:rPr>
            </w:pPr>
          </w:p>
        </w:tc>
      </w:tr>
      <w:tr>
        <w:trPr>
          <w:trHeight w:val="21"/>
        </w:trPr>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5.</w:t>
            </w:r>
          </w:p>
        </w:tc>
        <w:tc>
          <w:tcPr>
            <w:tcW w:w="9700" w:type="dxa"/>
            <w:vAlign w:val="bottom"/>
            <w:gridSpan w:val="31"/>
            <w:shd w:val="clear" w:color="auto" w:fill="CFF0FC"/>
          </w:tcPr>
          <w:p>
            <w:pPr>
              <w:spacing w:after="0" w:line="162" w:lineRule="exact"/>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55</w:t>
            </w:r>
          </w:p>
        </w:tc>
      </w:tr>
      <w:tr>
        <w:trPr>
          <w:trHeight w:val="162"/>
        </w:trPr>
        <w:tc>
          <w:tcPr>
            <w:tcW w:w="980" w:type="dxa"/>
            <w:vAlign w:val="bottom"/>
            <w:tcBorders>
              <w:top w:val="single" w:sz="8" w:color="CFF0FC"/>
            </w:tcBorders>
          </w:tcPr>
          <w:p>
            <w:pPr>
              <w:ind w:left="20"/>
              <w:spacing w:after="0" w:line="162" w:lineRule="exact"/>
              <w:rPr>
                <w:sz w:val="20"/>
                <w:szCs w:val="20"/>
                <w:color w:val="auto"/>
              </w:rPr>
            </w:pPr>
            <w:r>
              <w:rPr>
                <w:rFonts w:ascii="Arial" w:cs="Arial" w:eastAsia="Arial" w:hAnsi="Arial"/>
                <w:sz w:val="16"/>
                <w:szCs w:val="16"/>
                <w:color w:val="auto"/>
              </w:rPr>
              <w:t>Item 6.</w:t>
            </w:r>
          </w:p>
        </w:tc>
        <w:tc>
          <w:tcPr>
            <w:tcW w:w="7980" w:type="dxa"/>
            <w:vAlign w:val="bottom"/>
            <w:tcBorders>
              <w:top w:val="single" w:sz="8" w:color="0000FF"/>
            </w:tcBorders>
            <w:gridSpan w:val="30"/>
          </w:tcPr>
          <w:p>
            <w:pPr>
              <w:spacing w:after="0" w:line="162" w:lineRule="exact"/>
              <w:rPr>
                <w:sz w:val="20"/>
                <w:szCs w:val="20"/>
                <w:color w:val="auto"/>
              </w:rPr>
            </w:pPr>
            <w:r>
              <w:rPr>
                <w:rFonts w:ascii="Arial" w:cs="Arial" w:eastAsia="Arial" w:hAnsi="Arial"/>
                <w:sz w:val="16"/>
                <w:szCs w:val="16"/>
                <w:color w:val="0000FF"/>
              </w:rPr>
              <w:t>[Reserved]</w:t>
            </w:r>
          </w:p>
        </w:tc>
        <w:tc>
          <w:tcPr>
            <w:tcW w:w="1720" w:type="dxa"/>
            <w:vAlign w:val="bottom"/>
            <w:tcBorders>
              <w:top w:val="single" w:sz="8" w:color="CFF0FC"/>
            </w:tcBorders>
          </w:tcPr>
          <w:p>
            <w:pPr>
              <w:spacing w:after="0"/>
              <w:rPr>
                <w:sz w:val="14"/>
                <w:szCs w:val="14"/>
                <w:color w:val="auto"/>
              </w:rPr>
            </w:pPr>
          </w:p>
        </w:tc>
        <w:tc>
          <w:tcPr>
            <w:tcW w:w="5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55</w:t>
            </w:r>
          </w:p>
        </w:tc>
      </w:tr>
      <w:tr>
        <w:trPr>
          <w:trHeight w:val="21"/>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2"/>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7.</w:t>
            </w:r>
          </w:p>
        </w:tc>
        <w:tc>
          <w:tcPr>
            <w:tcW w:w="6380" w:type="dxa"/>
            <w:vAlign w:val="bottom"/>
            <w:tcBorders>
              <w:bottom w:val="single" w:sz="8" w:color="0000FF"/>
            </w:tcBorders>
            <w:gridSpan w:val="27"/>
            <w:shd w:val="clear" w:color="auto" w:fill="CFF0FC"/>
          </w:tcPr>
          <w:p>
            <w:pPr>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3320" w:type="dxa"/>
            <w:vAlign w:val="bottom"/>
            <w:tcBorders>
              <w:bottom w:val="single" w:sz="8" w:color="CFF0FC"/>
            </w:tcBorders>
            <w:gridSpan w:val="4"/>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56</w:t>
            </w: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7A.</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64</w:t>
            </w:r>
          </w:p>
        </w:tc>
      </w:tr>
      <w:tr>
        <w:trPr>
          <w:trHeight w:val="20"/>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2"/>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8.</w:t>
            </w:r>
          </w:p>
        </w:tc>
        <w:tc>
          <w:tcPr>
            <w:tcW w:w="9700" w:type="dxa"/>
            <w:vAlign w:val="bottom"/>
            <w:gridSpan w:val="31"/>
            <w:shd w:val="clear" w:color="auto" w:fill="CFF0FC"/>
          </w:tcPr>
          <w:p>
            <w:pPr>
              <w:spacing w:after="0" w:line="162" w:lineRule="exact"/>
              <w:rPr>
                <w:sz w:val="20"/>
                <w:szCs w:val="20"/>
                <w:color w:val="auto"/>
              </w:rPr>
            </w:pPr>
            <w:r>
              <w:rPr>
                <w:rFonts w:ascii="Arial" w:cs="Arial" w:eastAsia="Arial" w:hAnsi="Arial"/>
                <w:sz w:val="16"/>
                <w:szCs w:val="16"/>
                <w:color w:val="0000FF"/>
              </w:rPr>
              <w:t>Financial Statements and Supplementary Data</w:t>
            </w: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65</w:t>
            </w:r>
          </w:p>
        </w:tc>
      </w:tr>
      <w:tr>
        <w:trPr>
          <w:trHeight w:val="20"/>
        </w:trPr>
        <w:tc>
          <w:tcPr>
            <w:tcW w:w="9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8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9.</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94</w:t>
            </w:r>
          </w:p>
        </w:tc>
      </w:tr>
      <w:tr>
        <w:trPr>
          <w:trHeight w:val="20"/>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9A.</w:t>
            </w:r>
          </w:p>
        </w:tc>
        <w:tc>
          <w:tcPr>
            <w:tcW w:w="1800" w:type="dxa"/>
            <w:vAlign w:val="bottom"/>
            <w:tcBorders>
              <w:bottom w:val="single" w:sz="8" w:color="0000FF"/>
            </w:tcBorders>
            <w:gridSpan w:val="10"/>
            <w:shd w:val="clear" w:color="auto" w:fill="CFF0FC"/>
          </w:tcPr>
          <w:p>
            <w:pPr>
              <w:spacing w:after="0" w:line="162" w:lineRule="exact"/>
              <w:rPr>
                <w:sz w:val="20"/>
                <w:szCs w:val="20"/>
                <w:color w:val="auto"/>
              </w:rPr>
            </w:pPr>
            <w:r>
              <w:rPr>
                <w:rFonts w:ascii="Arial" w:cs="Arial" w:eastAsia="Arial" w:hAnsi="Arial"/>
                <w:sz w:val="16"/>
                <w:szCs w:val="16"/>
                <w:color w:val="0000FF"/>
              </w:rPr>
              <w:t>Controls and Procedures</w:t>
            </w:r>
          </w:p>
        </w:tc>
        <w:tc>
          <w:tcPr>
            <w:tcW w:w="7900" w:type="dxa"/>
            <w:vAlign w:val="bottom"/>
            <w:tcBorders>
              <w:bottom w:val="single" w:sz="8" w:color="CFF0FC"/>
            </w:tcBorders>
            <w:gridSpan w:val="21"/>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94</w:t>
            </w: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9B.</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Other Information</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94</w:t>
            </w:r>
          </w:p>
        </w:tc>
      </w:tr>
      <w:tr>
        <w:trPr>
          <w:trHeight w:val="20"/>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9C.</w:t>
            </w:r>
          </w:p>
        </w:tc>
        <w:tc>
          <w:tcPr>
            <w:tcW w:w="9700" w:type="dxa"/>
            <w:vAlign w:val="bottom"/>
            <w:gridSpan w:val="31"/>
            <w:shd w:val="clear" w:color="auto" w:fill="CFF0FC"/>
          </w:tcPr>
          <w:p>
            <w:pPr>
              <w:spacing w:after="0" w:line="162" w:lineRule="exact"/>
              <w:rPr>
                <w:sz w:val="20"/>
                <w:szCs w:val="20"/>
                <w:color w:val="auto"/>
              </w:rPr>
            </w:pPr>
            <w:r>
              <w:rPr>
                <w:rFonts w:ascii="Arial" w:cs="Arial" w:eastAsia="Arial" w:hAnsi="Arial"/>
                <w:sz w:val="16"/>
                <w:szCs w:val="16"/>
                <w:color w:val="0000FF"/>
              </w:rPr>
              <w:t>Disclosure Regarding Foreign Jurisdictions that Prevent Inspections</w:t>
            </w: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94</w:t>
            </w:r>
          </w:p>
        </w:tc>
      </w:tr>
      <w:tr>
        <w:trPr>
          <w:trHeight w:val="203"/>
        </w:trPr>
        <w:tc>
          <w:tcPr>
            <w:tcW w:w="980" w:type="dxa"/>
            <w:vAlign w:val="bottom"/>
            <w:tcBorders>
              <w:top w:val="single" w:sz="8" w:color="CFF0FC"/>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92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80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1720" w:type="dxa"/>
            <w:vAlign w:val="bottom"/>
            <w:tcBorders>
              <w:top w:val="single" w:sz="8" w:color="CFF0FC"/>
            </w:tcBorders>
          </w:tcPr>
          <w:p>
            <w:pPr>
              <w:spacing w:after="0"/>
              <w:rPr>
                <w:sz w:val="17"/>
                <w:szCs w:val="17"/>
                <w:color w:val="auto"/>
              </w:rPr>
            </w:pPr>
          </w:p>
        </w:tc>
        <w:tc>
          <w:tcPr>
            <w:tcW w:w="560" w:type="dxa"/>
            <w:vAlign w:val="bottom"/>
            <w:tcBorders>
              <w:top w:val="single" w:sz="8" w:color="CFF0FC"/>
            </w:tcBorders>
          </w:tcPr>
          <w:p>
            <w:pPr>
              <w:spacing w:after="0"/>
              <w:rPr>
                <w:sz w:val="17"/>
                <w:szCs w:val="17"/>
                <w:color w:val="auto"/>
              </w:rPr>
            </w:pPr>
          </w:p>
        </w:tc>
      </w:tr>
      <w:tr>
        <w:trPr>
          <w:trHeight w:val="183"/>
        </w:trPr>
        <w:tc>
          <w:tcPr>
            <w:tcW w:w="9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360" w:type="dxa"/>
            <w:vAlign w:val="bottom"/>
            <w:gridSpan w:val="13"/>
            <w:shd w:val="clear" w:color="auto" w:fill="CFF0FC"/>
          </w:tcPr>
          <w:p>
            <w:pPr>
              <w:jc w:val="center"/>
              <w:ind w:right="4760"/>
              <w:spacing w:after="0" w:line="162" w:lineRule="exact"/>
              <w:rPr>
                <w:sz w:val="20"/>
                <w:szCs w:val="20"/>
                <w:color w:val="auto"/>
              </w:rPr>
            </w:pPr>
            <w:r>
              <w:rPr>
                <w:rFonts w:ascii="Arial" w:cs="Arial" w:eastAsia="Arial" w:hAnsi="Arial"/>
                <w:sz w:val="16"/>
                <w:szCs w:val="16"/>
                <w:b w:val="1"/>
                <w:bCs w:val="1"/>
                <w:color w:val="0000FF"/>
                <w:w w:val="97"/>
              </w:rPr>
              <w:t>PART III</w:t>
            </w:r>
          </w:p>
        </w:tc>
        <w:tc>
          <w:tcPr>
            <w:tcW w:w="560" w:type="dxa"/>
            <w:vAlign w:val="bottom"/>
            <w:shd w:val="clear" w:color="auto" w:fill="CFF0FC"/>
          </w:tcPr>
          <w:p>
            <w:pPr>
              <w:spacing w:after="0"/>
              <w:rPr>
                <w:sz w:val="15"/>
                <w:szCs w:val="15"/>
                <w:color w:val="auto"/>
              </w:rPr>
            </w:pPr>
          </w:p>
        </w:tc>
      </w:tr>
      <w:tr>
        <w:trPr>
          <w:trHeight w:val="162"/>
        </w:trPr>
        <w:tc>
          <w:tcPr>
            <w:tcW w:w="980" w:type="dxa"/>
            <w:vAlign w:val="bottom"/>
            <w:tcBorders>
              <w:top w:val="single" w:sz="8" w:color="CFF0FC"/>
            </w:tcBorders>
          </w:tcPr>
          <w:p>
            <w:pPr>
              <w:ind w:left="20"/>
              <w:spacing w:after="0" w:line="162" w:lineRule="exact"/>
              <w:rPr>
                <w:sz w:val="20"/>
                <w:szCs w:val="20"/>
                <w:color w:val="auto"/>
              </w:rPr>
            </w:pPr>
            <w:r>
              <w:rPr>
                <w:rFonts w:ascii="Arial" w:cs="Arial" w:eastAsia="Arial" w:hAnsi="Arial"/>
                <w:sz w:val="16"/>
                <w:szCs w:val="16"/>
                <w:color w:val="auto"/>
              </w:rPr>
              <w:t>Item 10.</w:t>
            </w:r>
          </w:p>
        </w:tc>
        <w:tc>
          <w:tcPr>
            <w:tcW w:w="4340" w:type="dxa"/>
            <w:vAlign w:val="bottom"/>
            <w:tcBorders>
              <w:top w:val="single" w:sz="8" w:color="CFF0FC"/>
            </w:tcBorders>
            <w:gridSpan w:val="18"/>
          </w:tcPr>
          <w:p>
            <w:pPr>
              <w:spacing w:after="0" w:line="162" w:lineRule="exact"/>
              <w:rPr>
                <w:sz w:val="20"/>
                <w:szCs w:val="20"/>
                <w:color w:val="auto"/>
              </w:rPr>
            </w:pPr>
            <w:r>
              <w:rPr>
                <w:rFonts w:ascii="Arial" w:cs="Arial" w:eastAsia="Arial" w:hAnsi="Arial"/>
                <w:sz w:val="16"/>
                <w:szCs w:val="16"/>
                <w:color w:val="0000FF"/>
              </w:rPr>
              <w:t>Directors, Executive Officers and Corporate Governance</w:t>
            </w:r>
          </w:p>
        </w:tc>
        <w:tc>
          <w:tcPr>
            <w:tcW w:w="600" w:type="dxa"/>
            <w:vAlign w:val="bottom"/>
            <w:tcBorders>
              <w:top w:val="single" w:sz="8" w:color="0000FF"/>
            </w:tcBorders>
            <w:gridSpan w:val="6"/>
          </w:tcPr>
          <w:p>
            <w:pPr>
              <w:spacing w:after="0"/>
              <w:rPr>
                <w:sz w:val="14"/>
                <w:szCs w:val="14"/>
                <w:color w:val="auto"/>
              </w:rPr>
            </w:pPr>
          </w:p>
        </w:tc>
        <w:tc>
          <w:tcPr>
            <w:tcW w:w="4760" w:type="dxa"/>
            <w:vAlign w:val="bottom"/>
            <w:tcBorders>
              <w:top w:val="single" w:sz="8" w:color="CFF0FC"/>
            </w:tcBorders>
            <w:gridSpan w:val="7"/>
          </w:tcPr>
          <w:p>
            <w:pPr>
              <w:spacing w:after="0"/>
              <w:rPr>
                <w:sz w:val="14"/>
                <w:szCs w:val="14"/>
                <w:color w:val="auto"/>
              </w:rPr>
            </w:pPr>
          </w:p>
        </w:tc>
        <w:tc>
          <w:tcPr>
            <w:tcW w:w="5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95</w:t>
            </w:r>
          </w:p>
        </w:tc>
      </w:tr>
      <w:tr>
        <w:trPr>
          <w:trHeight w:val="21"/>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11.</w:t>
            </w:r>
          </w:p>
        </w:tc>
        <w:tc>
          <w:tcPr>
            <w:tcW w:w="1800" w:type="dxa"/>
            <w:vAlign w:val="bottom"/>
            <w:tcBorders>
              <w:bottom w:val="single" w:sz="8" w:color="0000FF"/>
            </w:tcBorders>
            <w:gridSpan w:val="10"/>
            <w:shd w:val="clear" w:color="auto" w:fill="CFF0FC"/>
          </w:tcPr>
          <w:p>
            <w:pPr>
              <w:spacing w:after="0" w:line="162" w:lineRule="exact"/>
              <w:rPr>
                <w:sz w:val="20"/>
                <w:szCs w:val="20"/>
                <w:color w:val="auto"/>
              </w:rPr>
            </w:pPr>
            <w:r>
              <w:rPr>
                <w:rFonts w:ascii="Arial" w:cs="Arial" w:eastAsia="Arial" w:hAnsi="Arial"/>
                <w:sz w:val="16"/>
                <w:szCs w:val="16"/>
                <w:color w:val="0000FF"/>
              </w:rPr>
              <w:t>Executive Compensation</w:t>
            </w:r>
          </w:p>
        </w:tc>
        <w:tc>
          <w:tcPr>
            <w:tcW w:w="7900" w:type="dxa"/>
            <w:vAlign w:val="bottom"/>
            <w:tcBorders>
              <w:bottom w:val="single" w:sz="8" w:color="CFF0FC"/>
            </w:tcBorders>
            <w:gridSpan w:val="21"/>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96</w:t>
            </w: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12.</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96</w:t>
            </w:r>
          </w:p>
        </w:tc>
      </w:tr>
      <w:tr>
        <w:trPr>
          <w:trHeight w:val="21"/>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13.</w:t>
            </w:r>
          </w:p>
        </w:tc>
        <w:tc>
          <w:tcPr>
            <w:tcW w:w="9700" w:type="dxa"/>
            <w:vAlign w:val="bottom"/>
            <w:gridSpan w:val="31"/>
            <w:shd w:val="clear" w:color="auto" w:fill="CFF0FC"/>
          </w:tcPr>
          <w:p>
            <w:pPr>
              <w:spacing w:after="0" w:line="162" w:lineRule="exact"/>
              <w:rPr>
                <w:sz w:val="20"/>
                <w:szCs w:val="20"/>
                <w:color w:val="auto"/>
              </w:rPr>
            </w:pPr>
            <w:r>
              <w:rPr>
                <w:rFonts w:ascii="Arial" w:cs="Arial" w:eastAsia="Arial" w:hAnsi="Arial"/>
                <w:sz w:val="16"/>
                <w:szCs w:val="16"/>
                <w:color w:val="0000FF"/>
              </w:rPr>
              <w:t>Certain Relationships and Related Transactions, and Director Independence</w:t>
            </w: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96</w:t>
            </w:r>
          </w:p>
        </w:tc>
      </w:tr>
      <w:tr>
        <w:trPr>
          <w:trHeight w:val="162"/>
        </w:trPr>
        <w:tc>
          <w:tcPr>
            <w:tcW w:w="980" w:type="dxa"/>
            <w:vAlign w:val="bottom"/>
            <w:tcBorders>
              <w:top w:val="single" w:sz="8" w:color="CFF0FC"/>
            </w:tcBorders>
          </w:tcPr>
          <w:p>
            <w:pPr>
              <w:ind w:left="20"/>
              <w:spacing w:after="0" w:line="162" w:lineRule="exact"/>
              <w:rPr>
                <w:sz w:val="20"/>
                <w:szCs w:val="20"/>
                <w:color w:val="auto"/>
              </w:rPr>
            </w:pPr>
            <w:r>
              <w:rPr>
                <w:rFonts w:ascii="Arial" w:cs="Arial" w:eastAsia="Arial" w:hAnsi="Arial"/>
                <w:sz w:val="16"/>
                <w:szCs w:val="16"/>
                <w:color w:val="auto"/>
              </w:rPr>
              <w:t>Item 14.</w:t>
            </w:r>
          </w:p>
        </w:tc>
        <w:tc>
          <w:tcPr>
            <w:tcW w:w="5460" w:type="dxa"/>
            <w:vAlign w:val="bottom"/>
            <w:tcBorders>
              <w:top w:val="single" w:sz="8" w:color="0000FF"/>
            </w:tcBorders>
            <w:gridSpan w:val="26"/>
          </w:tcPr>
          <w:p>
            <w:pPr>
              <w:spacing w:after="0" w:line="162" w:lineRule="exact"/>
              <w:rPr>
                <w:sz w:val="20"/>
                <w:szCs w:val="20"/>
                <w:color w:val="auto"/>
              </w:rPr>
            </w:pPr>
            <w:r>
              <w:rPr>
                <w:rFonts w:ascii="Arial" w:cs="Arial" w:eastAsia="Arial" w:hAnsi="Arial"/>
                <w:sz w:val="16"/>
                <w:szCs w:val="16"/>
                <w:color w:val="0000FF"/>
              </w:rPr>
              <w:t>Principal Accountant Fees and Services</w:t>
            </w:r>
          </w:p>
        </w:tc>
        <w:tc>
          <w:tcPr>
            <w:tcW w:w="4240" w:type="dxa"/>
            <w:vAlign w:val="bottom"/>
            <w:tcBorders>
              <w:top w:val="single" w:sz="8" w:color="CFF0FC"/>
            </w:tcBorders>
            <w:gridSpan w:val="5"/>
          </w:tcPr>
          <w:p>
            <w:pPr>
              <w:spacing w:after="0"/>
              <w:rPr>
                <w:sz w:val="14"/>
                <w:szCs w:val="14"/>
                <w:color w:val="auto"/>
              </w:rPr>
            </w:pPr>
          </w:p>
        </w:tc>
        <w:tc>
          <w:tcPr>
            <w:tcW w:w="5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97</w:t>
            </w:r>
          </w:p>
        </w:tc>
      </w:tr>
      <w:tr>
        <w:trPr>
          <w:trHeight w:val="21"/>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2"/>
        </w:trPr>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r>
      <w:tr>
        <w:trPr>
          <w:trHeight w:val="162"/>
        </w:trPr>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13"/>
          </w:tcPr>
          <w:p>
            <w:pPr>
              <w:jc w:val="center"/>
              <w:ind w:right="4740"/>
              <w:spacing w:after="0" w:line="162" w:lineRule="exact"/>
              <w:rPr>
                <w:sz w:val="20"/>
                <w:szCs w:val="20"/>
                <w:color w:val="auto"/>
              </w:rPr>
            </w:pPr>
            <w:r>
              <w:rPr>
                <w:rFonts w:ascii="Arial" w:cs="Arial" w:eastAsia="Arial" w:hAnsi="Arial"/>
                <w:sz w:val="16"/>
                <w:szCs w:val="16"/>
                <w:b w:val="1"/>
                <w:bCs w:val="1"/>
                <w:color w:val="0000FF"/>
                <w:w w:val="98"/>
              </w:rPr>
              <w:t>PART IV</w:t>
            </w:r>
          </w:p>
        </w:tc>
        <w:tc>
          <w:tcPr>
            <w:tcW w:w="560" w:type="dxa"/>
            <w:vAlign w:val="bottom"/>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15.</w:t>
            </w:r>
          </w:p>
        </w:tc>
        <w:tc>
          <w:tcPr>
            <w:tcW w:w="2900" w:type="dxa"/>
            <w:vAlign w:val="bottom"/>
            <w:tcBorders>
              <w:bottom w:val="single" w:sz="8" w:color="0000FF"/>
            </w:tcBorders>
            <w:gridSpan w:val="13"/>
            <w:shd w:val="clear" w:color="auto" w:fill="CFF0FC"/>
          </w:tcPr>
          <w:p>
            <w:pPr>
              <w:spacing w:after="0" w:line="162" w:lineRule="exact"/>
              <w:rPr>
                <w:sz w:val="20"/>
                <w:szCs w:val="20"/>
                <w:color w:val="auto"/>
              </w:rPr>
            </w:pPr>
            <w:r>
              <w:rPr>
                <w:rFonts w:ascii="Arial" w:cs="Arial" w:eastAsia="Arial" w:hAnsi="Arial"/>
                <w:sz w:val="16"/>
                <w:szCs w:val="16"/>
                <w:color w:val="0000FF"/>
              </w:rPr>
              <w:t>Exhibits, Financial Statement Schedules</w:t>
            </w:r>
          </w:p>
        </w:tc>
        <w:tc>
          <w:tcPr>
            <w:tcW w:w="6800" w:type="dxa"/>
            <w:vAlign w:val="bottom"/>
            <w:tcBorders>
              <w:bottom w:val="single" w:sz="8" w:color="CFF0FC"/>
            </w:tcBorders>
            <w:gridSpan w:val="18"/>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98</w:t>
            </w: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16.</w:t>
            </w:r>
          </w:p>
        </w:tc>
        <w:tc>
          <w:tcPr>
            <w:tcW w:w="9700" w:type="dxa"/>
            <w:vAlign w:val="bottom"/>
            <w:gridSpan w:val="31"/>
          </w:tcPr>
          <w:p>
            <w:pPr>
              <w:spacing w:after="0" w:line="162" w:lineRule="exact"/>
              <w:rPr>
                <w:sz w:val="20"/>
                <w:szCs w:val="20"/>
                <w:color w:val="auto"/>
              </w:rPr>
            </w:pPr>
            <w:r>
              <w:rPr>
                <w:rFonts w:ascii="Arial" w:cs="Arial" w:eastAsia="Arial" w:hAnsi="Arial"/>
                <w:sz w:val="16"/>
                <w:szCs w:val="16"/>
                <w:color w:val="0000FF"/>
              </w:rPr>
              <w:t>Form 10-K Summary</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100</w:t>
            </w:r>
          </w:p>
        </w:tc>
      </w:tr>
      <w:tr>
        <w:trPr>
          <w:trHeight w:val="20"/>
        </w:trPr>
        <w:tc>
          <w:tcPr>
            <w:tcW w:w="9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9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0000FF"/>
            </w:tcBorders>
            <w:gridSpan w:val="3"/>
            <w:shd w:val="clear" w:color="auto" w:fill="CFF0FC"/>
          </w:tcPr>
          <w:p>
            <w:pPr>
              <w:spacing w:after="0" w:line="162" w:lineRule="exact"/>
              <w:rPr>
                <w:sz w:val="20"/>
                <w:szCs w:val="20"/>
                <w:color w:val="auto"/>
              </w:rPr>
            </w:pPr>
            <w:r>
              <w:rPr>
                <w:rFonts w:ascii="Arial" w:cs="Arial" w:eastAsia="Arial" w:hAnsi="Arial"/>
                <w:sz w:val="16"/>
                <w:szCs w:val="16"/>
                <w:color w:val="0000FF"/>
                <w:w w:val="99"/>
              </w:rPr>
              <w:t>Signatures</w:t>
            </w:r>
          </w:p>
        </w:tc>
        <w:tc>
          <w:tcPr>
            <w:tcW w:w="8920" w:type="dxa"/>
            <w:vAlign w:val="bottom"/>
            <w:tcBorders>
              <w:bottom w:val="single" w:sz="8" w:color="CFF0FC"/>
            </w:tcBorders>
            <w:gridSpan w:val="28"/>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101</w:t>
            </w:r>
          </w:p>
        </w:tc>
      </w:tr>
      <w:tr>
        <w:trPr>
          <w:trHeight w:val="633"/>
        </w:trPr>
        <w:tc>
          <w:tcPr>
            <w:tcW w:w="980" w:type="dxa"/>
            <w:vAlign w:val="bottom"/>
          </w:tcPr>
          <w:p>
            <w:pPr>
              <w:spacing w:after="0"/>
              <w:rPr>
                <w:sz w:val="24"/>
                <w:szCs w:val="24"/>
                <w:color w:val="auto"/>
              </w:rPr>
            </w:pPr>
          </w:p>
        </w:tc>
        <w:tc>
          <w:tcPr>
            <w:tcW w:w="4860" w:type="dxa"/>
            <w:vAlign w:val="bottom"/>
            <w:gridSpan w:val="21"/>
          </w:tcPr>
          <w:p>
            <w:pPr>
              <w:jc w:val="center"/>
              <w:ind w:left="4339"/>
              <w:spacing w:after="0"/>
              <w:rPr>
                <w:sz w:val="20"/>
                <w:szCs w:val="20"/>
                <w:color w:val="auto"/>
              </w:rPr>
            </w:pPr>
            <w:r>
              <w:rPr>
                <w:rFonts w:ascii="Arial" w:cs="Arial" w:eastAsia="Arial" w:hAnsi="Arial"/>
                <w:sz w:val="16"/>
                <w:szCs w:val="16"/>
                <w:color w:val="auto"/>
                <w:w w:val="8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51"/>
        </w:trPr>
        <w:tc>
          <w:tcPr>
            <w:tcW w:w="9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 REGARDING FORWARD-LOOKING STATEMENTS</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“continue,” “could,” “estimate,” “expect,” “intend,” “may,” “might,” “objective,” “ongoing,” “plan,” “potential,” “predict,” “project,” “should,” “will,” or “would” or the negative of these words or other similar terms or expressions. These forward-looking statements include, but are not limited to, statements concerning the following:</w:t>
      </w:r>
    </w:p>
    <w:p>
      <w:pPr>
        <w:spacing w:after="0" w:line="155"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evolution of cancer therapies and market adoption of our services and products;</w:t>
      </w:r>
    </w:p>
    <w:p>
      <w:pPr>
        <w:spacing w:after="0" w:line="29" w:lineRule="exact"/>
        <w:rPr>
          <w:rFonts w:ascii="Times New Roman" w:cs="Times New Roman" w:eastAsia="Times New Roman" w:hAnsi="Times New Roman"/>
          <w:sz w:val="16"/>
          <w:szCs w:val="16"/>
          <w:color w:val="auto"/>
        </w:rPr>
      </w:pPr>
    </w:p>
    <w:p>
      <w:pPr>
        <w:ind w:left="1140" w:hanging="383"/>
        <w:spacing w:after="0" w:line="248"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estimates of our total addressable market, future revenue and the timing thereof, expenses, use of cash and other resources, cost savings, capital requirements, and our needs for additional financing;</w:t>
      </w: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future reimbursement and reimbursement rulings;</w:t>
      </w:r>
    </w:p>
    <w:p>
      <w:pPr>
        <w:spacing w:after="0" w:line="1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and compete in new markets;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our collaboration agreements and key opinion leaders may have on the broader use of our products in the future;</w:t>
      </w:r>
    </w:p>
    <w:p>
      <w:pPr>
        <w:spacing w:after="0" w:line="17" w:lineRule="exact"/>
        <w:rPr>
          <w:rFonts w:ascii="Times New Roman" w:cs="Times New Roman" w:eastAsia="Times New Roman" w:hAnsi="Times New Roman"/>
          <w:sz w:val="16"/>
          <w:szCs w:val="16"/>
          <w:color w:val="auto"/>
        </w:rPr>
      </w:pPr>
    </w:p>
    <w:p>
      <w:pPr>
        <w:ind w:left="1140" w:hanging="383"/>
        <w:spacing w:after="0" w:line="248"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benefits of and activities to be performed under our Commercialization and Reference Laboratory Agreement with Tempus AI, Inc. (formerly known as Tempus Labs, Inc.);</w:t>
      </w: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financing when needed;</w:t>
      </w:r>
    </w:p>
    <w:p>
      <w:pPr>
        <w:spacing w:after="0" w:line="1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potential impacts of inflation, macroeconomic conditions, and geopolitical conflicts on our business and operations;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benefits of our products and services, including their ability to increase the probability of clinical trial success;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effectively with existing competitors and new market entrants;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sales, marketing and commercialization plans and strategies;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strategies, including our aim to focus on certain indications and the timing thereof;</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benefit from the scaling of our infrastructure and new facility in Fremont;</w:t>
      </w:r>
    </w:p>
    <w:p>
      <w:pPr>
        <w:spacing w:after="0" w:line="17" w:lineRule="exact"/>
        <w:rPr>
          <w:rFonts w:ascii="Times New Roman" w:cs="Times New Roman" w:eastAsia="Times New Roman" w:hAnsi="Times New Roman"/>
          <w:sz w:val="16"/>
          <w:szCs w:val="16"/>
          <w:color w:val="auto"/>
        </w:rPr>
      </w:pPr>
    </w:p>
    <w:p>
      <w:pPr>
        <w:ind w:left="1140" w:hanging="383"/>
        <w:spacing w:after="0" w:line="248"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and grow our business by expanding our sales to existing customers or introducing our services and products to new customers;</w:t>
      </w: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and maintain intellectual property protection for our services and products or avoid claims of infringement;</w:t>
      </w:r>
    </w:p>
    <w:p>
      <w:pPr>
        <w:spacing w:after="0" w:line="1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in defending and enforcing our intellectual property rights, including patents;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potential effects of government regulation;</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hire and retain key personnel;</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our reductions in force on our operations and operating results;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belief that approval of personalized cancer therapies by the U.S. Food and Drug Administration may drive benefits to our business;</w:t>
      </w:r>
    </w:p>
    <w:p>
      <w:pPr>
        <w:spacing w:after="0" w:line="17" w:lineRule="exact"/>
        <w:rPr>
          <w:rFonts w:ascii="Times New Roman" w:cs="Times New Roman" w:eastAsia="Times New Roman" w:hAnsi="Times New Roman"/>
          <w:sz w:val="16"/>
          <w:szCs w:val="16"/>
          <w:color w:val="auto"/>
        </w:rPr>
      </w:pPr>
    </w:p>
    <w:p>
      <w:pPr>
        <w:ind w:left="1140" w:right="20" w:hanging="383"/>
        <w:spacing w:after="0" w:line="248"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future business with the U.S. Department of Veterans Affairs' Million Veteran Program ("VA MVP"), Natera, Inc., and other collaboration partners and customers; and</w:t>
      </w: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maintain proper and effective internal controls.</w:t>
      </w:r>
    </w:p>
    <w:p>
      <w:pPr>
        <w:spacing w:after="0" w:line="17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Annual Report on Form 10-K. Moreover, we operate in a highly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4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4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41" w:lineRule="exact"/>
        <w:rPr>
          <w:sz w:val="20"/>
          <w:szCs w:val="20"/>
          <w:color w:val="auto"/>
        </w:rPr>
      </w:pPr>
    </w:p>
    <w:p>
      <w:pPr>
        <w:jc w:val="both"/>
        <w:ind w:right="20" w:firstLine="749"/>
        <w:spacing w:after="0" w:line="283" w:lineRule="auto"/>
        <w:rPr>
          <w:sz w:val="20"/>
          <w:szCs w:val="20"/>
          <w:color w:val="auto"/>
        </w:rPr>
      </w:pPr>
      <w:r>
        <w:rPr>
          <w:rFonts w:ascii="Arial" w:cs="Arial" w:eastAsia="Arial" w:hAnsi="Arial"/>
          <w:sz w:val="16"/>
          <w:szCs w:val="16"/>
          <w:i w:val="1"/>
          <w:iCs w:val="1"/>
          <w:color w:val="auto"/>
        </w:rPr>
        <w:t>Unless the context otherwise requires, references in this Annual Report on Form 10-K to the “company,” “Personalis,” “we,” “us” and “our” refer to Personalis, Inc. and our subsidiaries, Personalis (UK) Ltd. and Personalis (Shanghai) Ltd.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Background</w:t>
      </w:r>
    </w:p>
    <w:p>
      <w:pPr>
        <w:spacing w:after="0" w:line="19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Personalis develops and markets advanced cancer genomic tests and analytics. Our tests and analytics are used by pharmaceutical companies for translational research, biomarker discovery, the development of personalized cancer therapies, and we expect in the near future, for clinical trial enrollment. Our advanced tests are used by physicians to detect cancer recurrence, monitor cancer evolution, and uncover insights for therapy selection. We also provide sequencing and data analysis services to support population sequencing initiatives.</w:t>
      </w:r>
    </w:p>
    <w:p>
      <w:pPr>
        <w:spacing w:after="0" w:line="137"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perform large-scale, high quality next-generation sequencing ("NGS") in our Clinical Laboratory Improvement Amendments of 1988 (“CLIA”) certified and College of American Pathologists (“CAP”) accredited 100,000 square foot laboratory located in Fremont, California. We were incorporated under the laws of the state of Delaware in 2011 under the name Personalis, Inc. and became a publicly-traded company in 2019.</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 pharmaceutical and biopharmaceutical companies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NeXT Personal</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NeXT Personal is a tumor-informed liquid biopsy test for detection of minimal residual disease ("MRD") and recurrence in cancer. It delivers industry-leading, ultra-high analytical sensitivity, which we believe allows for detection of cancer earlier than other technologies. NeXT Personal answers the questions: Does the patient have MRD? What are the kinetics of circulating tumor DNA ("ctDNA")?</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ImmunoID NeXT</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ImmunoID NeXT is a tissue-based test that combines whole exome (DNA) and whole transcriptome (RNA) sequencing data with advanced analytics to provide a multi-dimensional view of the tumor and the tumor microenvironment from a single sample. It is designed to enable the development of more efficacious cancer immunotherapies and the next-generation of composite biomarkers to better predict patient response. ImmunoID NeXT answers the question: What are the composite biomarkers in the tumor and the tumor microenvironment?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 cancer patients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NeXT Personal Dx</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NeXT Personal Dx is a tumor-informed liquid biopsy test for detection of MRD and recurrence in cancer. We believe it provides for earlier detection of cancer than other technologies and has been shown to detect cancer recurrence ahead of traditional imaging. It is designed to aid decision making throughout a patient's cancer journey. NeXT Personal Dx involves an initial test (whole genome sequencing of a tumor and normal sample) and subsequent blood/plasma tests based on a tumor-informed personalized panel for each patient. NeXT Personal Dx answers the questions: Does the patient have MRD? Has the cancer returned?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NeXT Dx</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NeXT Dx is a comprehensive tumor profiling test that unlocks the entire exome (DNA) and transcriptome (RNA) with matched tumor-normal analysis. We believe it improves chances of finding an effective therapy or clinical trial. NeXT Dx answers the question: What are the actionable therapies and clinical trials for the patient?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 diagnostics companies and population sequencing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perform whole exome sequencing ("WES") of cancer tissue and matched blood samples for diagnostic companies as an input to their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WGS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perform whole genome sequencing ("WGS") on human samples for research projects, such as population sequencing initiatives.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Markets and Distribution</w:t>
      </w:r>
    </w:p>
    <w:p>
      <w:pPr>
        <w:spacing w:after="0" w:line="18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customers include pharmaceutical companies, biopharmaceutical companies, diagnostics companies, universities, non-profits, government entities, and patients. We sell through a small direct sales force, organized by geography. In November 2023, we entered into an agreement with Tempus AI, Inc. (formerly known as Tempus Labs, Inc., and referred to herein as "Tempus") to commercialize NeXT Personal Dx in the clinical diagnostics market. As a result, we will also leverage the sales force of Tempus beginning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2024. The principal markets for our products are in the United States, Europe (including the U.K.), and Asia-Pacific, which accounted for 90%, 8%, and 2% of our revenue for the year ended December 31, 2023,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Evidence and Reimbursement</w:t>
      </w:r>
    </w:p>
    <w:p>
      <w:pPr>
        <w:spacing w:after="0" w:line="18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Generating clinical evidence is critical for driving adoption of our tests in the clinical market (i.e., for cancer patients). To this end, one of our key strategies is working with a growing number of leading cancer centers and world-class academic research institutions to build and publish the clinical evidence-base to support our products and our key indications. Because of the ultra-high analytical sensitivity of our technology, we are initially focusing on three indications: breast cancer, lung cancer, and immunotherapy (IO) monitoring. We have collaborations with Cancer Research UK, University College London, and the Francis Crick Institute (the TRACERx study); The Royal Marsden; the Vall d'Hebron Institute of Oncology (VHIO); Duke University; the Dana-Farber Cancer Institute; University Medical Center Hamburg-Eppendorf (also known as UKE); and Criterium and the Academic Breast Cancer Consortium that will focus on building the evidence-base for our technology and these indications. If the key opinion leaders ("KOLs") we are collaborating with have a positive experience using our products, we are optimistic this will support broader use of our products by other KOLs, as well as clinicians in the future.</w:t>
      </w:r>
    </w:p>
    <w:p>
      <w:pPr>
        <w:spacing w:after="0" w:line="33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Furthermore, generating clinical evidence is crucial to obtaining reimbursement coverage from Medicare and other payors. We are striving to obtain reimbursement coverage for NeXT Personal Dx and NeXT Dx. In January 2024, we received a final Medicare coverage determination for our NeXT Dx offering, extended retroactively to August 29, 2023. We estimate that approximately half of new solid tumor cancer cases will be diagnosed in patients covered by Medicare. One of our 2024 goals is to submit for Medicare reimbursement for NeXT Personal Dx upon publication of compelling clinical evidence in three key indications.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companies offer services that implement various technological approaches including next-generation sequencing and microarray analyses. Some of our present or potential competitors include Adela, Inc., BostonGene Corporation, Caris Life Sciences, Inc., Foresight Diagnostics Inc. (“Foresight”), Freenome, Inc., Fulgent Genetics, Inc., Geneseeq Technology Inc., GRAIL, Guardant Health, Inc., Haystack Oncology, Inc., which was acquired by Quest Diagnostics Incorporated in June 2023, Invitae Corporation (which on February 13, 2024 filed a voluntary petition to commence proceedings under chapter 11 of title 11 of the United States Code in the United States Bankruptcy Court for the District of New Jersey), MedGenome Inc., Myriad Genetics, Inc., Natera, NeoGenomics, Inc., Novogene Corporation, Predicine, Inc., Roche Molecular Systems, Inc., Tempus, Inc., and Veracyte, Inc.</w:t>
      </w:r>
    </w:p>
    <w:p>
      <w:pPr>
        <w:spacing w:after="0" w:line="14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Additionally, several companies develop next-generation sequencing platforms that can be used for genomic profiling for biopharmaceutical research and development applications. These include Illumina, Inc. ("Illumina"), Thermo Fisher Scientific Inc., and other organizations that specialize in the development of next-generation sequencing instrumentation that can be sold directly to biopharmaceutical companies, clinical laboratories, and research centers. Separate from their instrumentation product lines, both Illumina and Thermo Fisher Scientific Inc., for example, currently market next-generation sequencing clinical oncology kits that are sold to customers who have bought and operate their respective sequencing instruments.</w:t>
      </w:r>
    </w:p>
    <w:p>
      <w:pPr>
        <w:spacing w:after="0" w:line="15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believe that we compete favorably because of the high sensitivity and comprehensiveness of the data generated by our products. Maximizing insights into both the tumor- and immune-related components of the tumor microenvironment is essential in identifying and understanding the reasons why certain cancer patients respond more favorably to oncology therapies than others. It is via access to such a comprehensive dataset for each patient that our customers can begin to discover new, clinically relevant biomarkers for the immunotherapy era, and ultimately improve cancer patient outcomes with the development of more efficacious therapeutics.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Protection of our intellectual property is fundamental to the long-term success of our business. Specifically, our success is dependent on our ability to obtain and maintain proprietary protection for our technology and the know-how related to our business, defend and enforce our intellectual property rights, and operate our business without infringing, misappropriating, or otherwise violating valid and enforceable intellectual property rights of others. We seek to protect our investments made into the development of our technology by relying on a combination of patents, trademarks, copyrights, trade secrets, know-how, confidentiality agreements and procedures, non-disclosure agreements with third parties, employee disclosure and invention assignment agreements, and other contractual rights.</w:t>
      </w:r>
    </w:p>
    <w:p>
      <w:pPr>
        <w:spacing w:after="0" w:line="15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patent strategy is focused on seeking coverage for our core technology, our NeXT platform, including applications and implementations for enhancing sequencing coverage of certain genomic regions, identifying neoantigens, analyzing cell-free nucleic acids, and creating personalized cancer recurrence detection assays. In addition, we file for patent protection on our ongoing research and development efforts, particularly related to other novel assay technologies which may be applicable to the diagnosis and treatment of cancer and other diseases.</w:t>
      </w:r>
    </w:p>
    <w:p>
      <w:pPr>
        <w:spacing w:after="0" w:line="13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patent portfolio is comprised of patents and patent applications owned by the Company. These patents and patent applications generally fall into five broad categories:</w:t>
      </w:r>
    </w:p>
    <w:p>
      <w:pPr>
        <w:spacing w:after="0" w:line="115" w:lineRule="exact"/>
        <w:rPr>
          <w:sz w:val="20"/>
          <w:szCs w:val="20"/>
          <w:color w:val="auto"/>
        </w:rPr>
      </w:pPr>
    </w:p>
    <w:p>
      <w:pPr>
        <w:jc w:val="both"/>
        <w:ind w:left="1140" w:hanging="383"/>
        <w:spacing w:after="0" w:line="259" w:lineRule="auto"/>
        <w:tabs>
          <w:tab w:leader="none" w:pos="11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our Accuracy and Content Enhanced ("ACE") assay and NeXT platform technology, including claims directed to methods for enriching nucleic acids from a sample based on differences in various genomic features, such as GC-content, molecular size, presence of genetic variations or rearrangements, identification of biomedically interpretable variants, epigenetic modifications, and/or species-origin (e.g., human and non-human);</w:t>
      </w:r>
    </w:p>
    <w:p>
      <w:pPr>
        <w:sectPr>
          <w:pgSz w:w="11900" w:h="16838" w:orient="portrait"/>
          <w:cols w:equalWidth="0" w:num="1">
            <w:col w:w="11240"/>
          </w:cols>
          <w:pgMar w:left="320" w:top="387" w:right="3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81" w:lineRule="exact"/>
        <w:rPr>
          <w:sz w:val="20"/>
          <w:szCs w:val="20"/>
          <w:color w:val="auto"/>
        </w:rPr>
      </w:pPr>
    </w:p>
    <w:p>
      <w:pPr>
        <w:ind w:left="1140" w:hanging="383"/>
        <w:spacing w:after="0" w:line="285" w:lineRule="auto"/>
        <w:tabs>
          <w:tab w:leader="none" w:pos="11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hybrid exome-genome technologies, including claims directed to methods for combining exome and/or whole genome sequencing data generated from a sample, along with the identification of other variants to identify or detect disease;</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liquid biopsy methods, including claims directed to methods of analyzing sequenced nucleic acids obtained from a patient sample in comparison with nucleic acids representing the reference genome, obtained from a blood sample, to identify disease, or recommend a drug treatment;</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clinical interpretation and neoantigen identification and prediction methods, including claims directed to methods of ranking genes associated with a phenotype and inheritance pattern or identifying neoantigens expressed in a disease sample that may be used for targeted treatments; and</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personalized genetic testing assays, including claims directed to methods for using sequencing data to create a personalized genetic test to monitor cancer progression, identify neoantigen candidates for personalized cancer vaccine treatment, or detect the recurrence of disease at the earliest possible timepoint.</w:t>
      </w:r>
    </w:p>
    <w:p>
      <w:pPr>
        <w:spacing w:after="0" w:line="14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of December 31, 2023, we own 27 issued U.S. patents and 14 issued foreign patents. Issued U.S. patents in our portfolio of company-owned patents are expected to expire between 2033 and 2038, excluding any additional term for patent term adjustments or patent term extensions. If patents are issued on our pending patent applications, the resulting patents are projected to expire on dates ranging from 2033 to 2042.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of Materials</w:t>
      </w:r>
    </w:p>
    <w:p>
      <w:pPr>
        <w:spacing w:after="0" w:line="18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rely on a limited number of suppliers for sequencers and other equipment and raw materials that we use in our laboratory operations. For example, we rely on Illumina as the sole supplier of sequencers and various associated reagents, and as the sole provider of maintenance and repair services for these sequencers. We have certain agreements and purchase arrangements in place with Illumina to satisfy the projected needs of our laboratory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Concentration</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currently derive a significant portion of our revenue from Natera, Inc. ("Natera") under our partnership to provide advanced tumor analysis for use in Natera's MRD testing offerings. Natera accounted for 43%, 41%, and 10% of our revenue for the years ended December 31, 2023, 2022, and 2021, respectively. We previously derived a significant portion of our revenue from the U.S. Department of Veterans Affairs Million Veteran Program ("VA MVP"), which is a large-scale population sequencing initiative. VA MVP accounted for 13%, 13%, and 53% of our revenue for the years ended December 31, 2023, 2022, and 2021, respectively. Our top five customers, including the VA MVP and Natera, accounted for 74%, 76% and 84% of our revenue for the years ended December 31, 2023, 2022 and 2021,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manage our business as one operating segment, which is the sale of sequencing and data analysis services.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Environment</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Coverage and Reimbursement</w:t>
      </w:r>
    </w:p>
    <w:p>
      <w:pPr>
        <w:spacing w:after="0" w:line="19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instruments to develop their own products or services will attain coverage and adequate reimbursement is unknown. In the U.S.,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 Additionally, the coverage and reimbursement status of newly-approved or cleared laboratory tests, including our NeXT Personal Dx offering, is uncertain. If we are inadequately covered by insurance or ineligible for such reimbursement, this could limit our ability to market tests in the future.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Federal and State Laboratory Licensing Requirements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Under the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5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To renew our CLIA certificate, we are subject to survey and inspection every two years to assess compliance with program standards. Because we are a CAP accredited laboratory, the CMS does not perform this survey and inspection and relies on our CAP survey and inspection. We also may be subject to additional unannounced inspections. Laboratories performing high complexity testing are required to meet more stringent requirements than laboratories performing less complex tests. In addition, a laboratory that is certified</w:t>
      </w:r>
    </w:p>
    <w:p>
      <w:pPr>
        <w:sectPr>
          <w:pgSz w:w="11900" w:h="16838" w:orient="portrait"/>
          <w:cols w:equalWidth="0" w:num="1">
            <w:col w:w="11240"/>
          </w:cols>
          <w:pgMar w:left="320" w:top="387"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“high complexity” under CLIA may develop, manufacture, validate, and use proprietary tests referred to as laboratory developed tests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5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Because our laboratory is located in the state of California, we are required to and do maintain a California state laboratory license. We also maintain licenses to conduct testing in other states where nonresident laboratories are required to obtain state laboratory licenses, including Maryland, Pennsylvania, Rhode Island, and New York. Other states may currently have or adopt similar licensure requirements in the future, which may require us to modify, delay, or stop its operations in those states.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Regulatory framework for medical devices in the United States</w:t>
      </w:r>
    </w:p>
    <w:p>
      <w:pPr>
        <w:spacing w:after="0" w:line="1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Pursuant to its authority under the Federal Food, Drug and Cosmetic Act (“FDC Act”), the FDA has jurisdiction over medical devices, which are defined to include, among other things, in vitro diagnostic devices (“IVDs”). The FDA regulates, among other things, the research, design, development, pre-clinical and clinical testing, manufacturing, safety, effectiveness, packaging, labeling, storage, recordkeeping, pre-market clearance or approval, adverse event reporting, marketing, promotion, sales, distribution, and import and export of medical devices. Unless an exemption applies, each new or significantly modified medical device we seek to commercially distribute in the United States will require either a premarket notification to the FDA requesting permission for commercial distribution under Section 510(k) of the FDC Act, also referred to as a 510(k) clearance, or approval from the FDA of a premarket approval application (“PMA”). Both the 510(k) clearance and PMA processes can be resource intensive, expensive, and lengthy, and require payment of significant user fees.</w:t>
      </w:r>
    </w:p>
    <w:p>
      <w:pPr>
        <w:spacing w:after="0" w:line="15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Although the FDA regulates medical devices, including IVDs, the FDA has historically exercised its enforcement discretion and not enforced applicable provisions of the FDC Act and FDA regulations with respect to LDTs, which are a subset of IVDs that are intended for clinical use and developed, validated, and offered within a single laboratory for use only in that laboratory. We currently market our diagnostic tests as LDTs.</w:t>
      </w:r>
    </w:p>
    <w:p>
      <w:pPr>
        <w:spacing w:after="0" w:line="13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On October 3, 2023, the FDA published a Notice of Proposed Rulemaking (the “Proposed Rule”) to regulate LDTs as medical devices under the FDC Act. The Proposed Rule outlines a 5-stage, 4-year, risk-based timeline for all LDTs to come within the existing medical device regulatory framework. In early December 2023, following the close of a public comment period, the FDA announced its intention to publish the Proposed Rule in final form in April 2024. On January 18, 2024, the Director of FDA’s Center for Devices and Radiological Health, which oversees IVD regulation within the FDA, and the Chief Medical Officer and Acting Director of CMS’ Center for Clinical Standards and Quality, which oversees CLIA within CMS, issued a joint press release supporting the Proposed Rule, indicating broad support within the Department of Health and Human Services for FDA’s Proposed Rule. If finalized as proposed, we would be required to obtain PMA approval for certain of our tests by October 1, 2027. We would also be subject to device registration and listing requirements, medical device reporting requirements and the requirements of the FDA’s Quality System Regulation. If the FDA determines that our tests are subject to enforcement as medical devices, we could be subject to enforcement action, including administrative and judicial sanctions, and additional regulatory controls and submissions for our tests, all of which could be burdensome. We and/or our collaborators may also be required to submit one or more of our tests for premarket notification, review, clearance or approval by the FDA as medical devices.</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 Proposed Rule is finalized in its present form, or there are other regulatory or legislative changes, or if we voluntarily submit one or more of our tests for premarket notification, review, clearance or approval by the FDA as medical devices, we may be required to obtain premarket clearance for our tests and associated software under Section 510(k) of the FDC Act or approval of a PMA. We would also be subject to ongoing regulatory requirements such as registration and listing requirements, medical device reporting requirements, and quality control requirements. The regulatory requirements to which our tests are subject would depend on the FDA’s classification of our tests. The FDA has issued regulations classifying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 On January 31, 2024, FDA announced its intent to initiate a reclassification process for most IVDs that are currently Class III (high risk), the majority of which are infectious disease and companion diagnostic IVDs, into Class II (moderate risk). This reclassification would allow manufacturers of certain types of IVDs to seek marketing clearance through the less burdensome Class II 510(k) premarket notification pathway rather than the Class III premarket approval (PMA) pathway, the most stringent type of FDA medical device review.</w:t>
      </w:r>
    </w:p>
    <w:p>
      <w:pPr>
        <w:spacing w:after="0" w:line="15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5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One classification regulation that could be relevant to one or more of our tests is a classification for genetic health risk (“GHR”) assessment tests, codified at 21 C.F.R. § 866.5950. If our tests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w:t>
      </w:r>
    </w:p>
    <w:p>
      <w:pPr>
        <w:spacing w:after="0" w:line="13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56" w:lineRule="exact"/>
        <w:rPr>
          <w:sz w:val="20"/>
          <w:szCs w:val="20"/>
          <w:color w:val="auto"/>
        </w:rPr>
      </w:pPr>
    </w:p>
    <w:p>
      <w:pPr>
        <w:jc w:val="both"/>
        <w:ind w:firstLine="812"/>
        <w:spacing w:after="0" w:line="262" w:lineRule="auto"/>
        <w:rPr>
          <w:sz w:val="20"/>
          <w:szCs w:val="20"/>
          <w:color w:val="auto"/>
        </w:rPr>
      </w:pPr>
      <w:r>
        <w:rPr>
          <w:rFonts w:ascii="Arial" w:cs="Arial" w:eastAsia="Arial" w:hAnsi="Arial"/>
          <w:sz w:val="16"/>
          <w:szCs w:val="16"/>
          <w:color w:val="auto"/>
        </w:rPr>
        <w:t>In addition, any clearance or approval we obtain for our products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261" w:lineRule="exact"/>
        <w:rPr>
          <w:sz w:val="20"/>
          <w:szCs w:val="20"/>
          <w:color w:val="auto"/>
        </w:rPr>
      </w:pPr>
    </w:p>
    <w:p>
      <w:pPr>
        <w:ind w:left="1140" w:hanging="383"/>
        <w:spacing w:after="0"/>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manufacturing processes;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product marketing;</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warning letters;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or recall of products from the market;</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fines, restitution, or disgorgement of profits or revenue;</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suspension or withdrawal of regulatory clearances or approvals;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limitation on, or refusal to permit, import or export of our products;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product seizures;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imposition of civil or criminal penalties.</w:t>
      </w:r>
    </w:p>
    <w:p>
      <w:pPr>
        <w:spacing w:after="0" w:line="19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5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Federal and State Fraud and Abuse Laws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are subject to federal fraud and abuse laws such as the federal Anti-Kickback Statute (the “AKS”), the federal prohibition against physician self-referral (the “Stark Law”), and the federal false claims law, or the False Claims Act (the “FCA”). We are also subject to similar state and foreign fraud and abuse laws.</w:t>
      </w:r>
    </w:p>
    <w:p>
      <w:pPr>
        <w:spacing w:after="0" w:line="14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AKS prohibits, among other things, knowingly and willfully offering, paying, soliciting, or receiving remuneration, directly or indirectly, overtly or covertly, in cash or in kind, in return for or to induce such person to refer an individual, or to purchase, lease, order,</w:t>
      </w:r>
    </w:p>
    <w:p>
      <w:pPr>
        <w:sectPr>
          <w:pgSz w:w="11900" w:h="16838" w:orient="portrait"/>
          <w:cols w:equalWidth="0" w:num="1">
            <w:col w:w="11240"/>
          </w:cols>
          <w:pgMar w:left="320" w:top="387" w:right="339"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arrange for, or recommend purchasing, leasing, or ordering, any good, facility, item, or service that is reimbursable, in whole or in part, under a federal healthcare program.</w:t>
      </w:r>
    </w:p>
    <w:p>
      <w:pPr>
        <w:spacing w:after="0" w:line="1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Stark Law and similar state laws, including California’s Physician Ownership and Referral Act, generally prohibit, among other things, clinical laboratories and other entities from billing a patient or any governmental or commercial payor for any diagnostic services when the physician ordering the service, or any member of such physician’s immediate family, has a direct or indirect investment interest in or compensation arrangement with us, unless the arrangement meets an exception to the prohibition.</w:t>
      </w:r>
    </w:p>
    <w:p>
      <w:pPr>
        <w:spacing w:after="0" w:line="13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federal civil and criminal false claims laws including the FCA, which imposes liability on any person or entity that, among other things, knowingly presents, or causes to be presented, a false or fraudulent claim for payment to the federal government, and 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Under the FCA, private citizens can bring claims on behalf of the government through qui tam actions. We must also operate within the bounds of the fraud and abuse laws of the states in which we do business which may apply to items or services reimbursed by non-governmental third-party payors, including private insurers.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Eliminating Kickbacks in Recovery Act</w:t>
      </w:r>
    </w:p>
    <w:p>
      <w:pPr>
        <w:spacing w:after="0" w:line="19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Eliminating Kickbacks in Recovery Act of 2018 (“EKRA”)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payor”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Other Federal and State Healthcare Laws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addition to the requirements discussed above, several other healthcare laws could have an effect on our business. For example, the Health Insurance Portability and Accountability Act of 1996 (“HIPAA”) fraud and abuse provisions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5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federal Physician Payments Sunshine Act requires certain manufacturers of drugs, biologicals, and medical devices or supplies that require premarket approval by or notification to the FDA, and for which payment is available under Medicare, Medicaid, or the Children’s Health Insurance Program (“CHIP”),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13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“Anti-Markup Rule” and similar state laws prohibit, among other things,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payor is billed at a rate that exceeds the performing laboratory’s charges to the billing physician or supplier, and the performing laboratory could be at risk under false claims laws, described below, for causing the submission of a false claim.</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“14-Day Rule,” also known as the Medicare Date of Service Rule,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State client billing laws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we may be subject to 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such as the Department of Justice, the U.S. Department of Health and Human Services ("HHS"), Office of Inspector General (the “OIG”), and CMS. Certain arrangements between clinical laboratories and referring physicians have been identified in fraud alerts issued by the OIG as implicating the Anti-Kickback Statute. Efforts to ensure that our business arrangements with third parties will comply with applicable healthcare laws and regulations will involve substantial costs.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If any of the physicians or other healthcare providers or entities with whom we do business is found to be not in compliance with applicable laws, they may be subject to significant criminal, civil or administrative sanctions, including exclusions from government-funded healthcare programs.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HIPAA and HITECH</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Under the administrative simplification provisions of HIPAA, as amended by the Health Information Technology for Economic and Clinical Health Act (“HITECH”), HHS issued regulations that establish uniform standards governing the conduct of certain electronic healthcare transactions and requirements for protecting the privacy and security of protected health information (“PHI”), used or disclosed by covered entities and business associates. Covered entities and business associates are subject to HIPAA and HITECH. Our subcontractors that create, receive, maintain, transmit, or otherwise process PHI on behalf of us are HIPAA “business associates” and must also comply with HIPAA as a business associate.</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HIPAA and HITECH include privacy and security rules, breach notification requirements, and electronic transaction standards.</w:t>
      </w:r>
    </w:p>
    <w:p>
      <w:pPr>
        <w:spacing w:after="0" w:line="18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Privacy Rule covers the use and disclosure of PHI by covered entities and business associates. The Privacy Rule generally prohibits the use or disclosure of PHI, except as permitted under the Rule. The Privacy Rule also sets forth individual patient rights, such as the right to access or amend certain records containing his or her PHI, or to request restrictions on the use or disclosure of his or her PHI.</w:t>
      </w:r>
    </w:p>
    <w:p>
      <w:pPr>
        <w:spacing w:after="0" w:line="13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Security Rule requires covered entities and business associates to safeguard the confidentiality, integrity, and availability of electronically transmitted or stored PHI by implementing administrative, physical, and technical safeguards. Under HITECH’s Breach Notification Rule, a covered entity must notify individuals, the Secretary of the HHS, and in some circumstances, the media of breaches of unsecured PHI.</w:t>
      </w:r>
    </w:p>
    <w:p>
      <w:pPr>
        <w:spacing w:after="0" w:line="14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addition, we may be subject to state health information privacy and data breach notification laws, which may govern the collection, use, disclosure, and protection of health-related and other personal information. California, for example, has enacted the Confidentiality of Medical Information Act, which sets forth standards in addition to HIPAA and HITECH with which all California health care providers like us must abide. State laws may be more stringent, broader in scope, or offer greater individual rights with respect to PHI than HIPAA, and state laws may differ from each other, which may complicate compliance efforts.</w:t>
      </w:r>
    </w:p>
    <w:p>
      <w:pPr>
        <w:spacing w:after="0" w:line="13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Entities that are found to be in violation of HIPAA as the result of a failure to secure PHI, a complaint about our privacy practices or an audit by HHS, may be subject to significant civil and criminal fines and penalties and additional reporting and oversight obligations if such entities are required to enter into a resolution agreement and corrective action plan with HHS to settle allegations of HIPAA non-compliance.</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U.S. Healthcare Reform</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United States, there have been a number of legislative and regulatory changes at the federal and state levels that seek to reduce healthcare costs and improve the quality of healthcare. For example, in March 2010, the Patient Protection and Affordable Care Act, as amended by the Health Care and Education Reconciliation Act (collectively, the “ACA”), became law. This law substantially changed the way health care is financed by both commercial payors and government payors, and significantly impacted our industry. The ACA contained a number of provisions expected to impact the clinical laboratory industry, such as changes governing enrollment in state and federal health care programs, reimbursement changes, and fraud and abuse.</w:t>
      </w:r>
    </w:p>
    <w:p>
      <w:pPr>
        <w:spacing w:after="0" w:line="13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There have been executive, judicial and Congressional challenges to certain aspects of the ACA. Since January 2017, former President Trump signed two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August 16, 2022, President Biden signed the Inflation Reduction Act of 2022 (“IRA 2022”)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It is unclear how any such challenges and the health reform measures of the Biden administration will impact the ACA.</w:t>
      </w:r>
    </w:p>
    <w:p>
      <w:pPr>
        <w:spacing w:after="0" w:line="1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until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Advanced Alternative Payment Models (“APMs”), and the Merit-based Incentive Payment System (“MIPS”). Under both APMs and MIPS, performance data collected each performance year will affect Medicare payments in later years, including potentially reducing payments.</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Medicare Clinical Laboratory Fee Schedule (the "Physician Fee Schedule") are required to report to CMS, beginning in 2017 and every three years thereafter (or annually for “advanced diagnostic laboratory tests”), private payor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Beginning on January 1, 2018, CMS has begun using reported private payor pricing to periodically revise payment rates under the CLFS. Based on current law, between January 1, 2025 and March 31, 2025, applicable laboratories will be required to report on data collected during January 1, 2019 and June 30, 2019. This data will be utilized to determine 2025 to 2027 CLFS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 Pursuant to the Coronavirus Aid, Relief, and Economic Security Act ("CARES Act"), the statutory phase-in of the payment reductions has been extended through 2024 with a 0% reduction cap for 2021-2022 and a 15% reduction cap for 2023 through 2025. It is unclear what impact new quality and payment programs, such as MACRA, or new pricing structures, such as those adopted under PAMA, may have on our business, financial condition, results of operations, or cash flows.</w:t>
      </w:r>
    </w:p>
    <w:p>
      <w:pPr>
        <w:spacing w:after="0" w:line="14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also anticipate there will continue to be proposals by legislators at both the federal and state levels, regulators and private payors to reduce costs while expanding individual healthcare benefits. Certain of these changes could impose additional limitations on the prices we will be able to charge for our tests, the coverage of or the amounts of reimbursement available for our tests from payors, including commercial payors and government payors.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recognize that our employees are both our most valuable asset and our most important investment. The success of our organization is reliant upon each individual’s significant contribution to our corporate culture and goals. Following is a list of our core company values:</w:t>
      </w:r>
    </w:p>
    <w:p>
      <w:pPr>
        <w:spacing w:after="0" w:line="115" w:lineRule="exact"/>
        <w:rPr>
          <w:sz w:val="20"/>
          <w:szCs w:val="20"/>
          <w:color w:val="auto"/>
        </w:rPr>
      </w:pPr>
    </w:p>
    <w:p>
      <w:pPr>
        <w:ind w:left="1140" w:hanging="383"/>
        <w:spacing w:after="0"/>
        <w:tabs>
          <w:tab w:leader="none" w:pos="11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Integrity</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Passion</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Scientific excellence and innovation</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Respect and inclusion</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Teamwork and collaboration</w:t>
      </w:r>
    </w:p>
    <w:p>
      <w:pPr>
        <w:spacing w:after="0" w:line="20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At a foundational level, employees receive training related to workplace safety and emergency preparedness, awareness and expectations of inclusion and diversity, required data protection, and other regulatory matters. We offer competitive total rewards programs, ongoing training and development, and a commitment to the safety and health of our employees. We also practice a commitment to diversity by including broader outreach and sourcing for candidates for new roles as well as education and a visible commitment to diversity and inclusion internally.</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An engaged workforce with skills specific to our needs is critical for our successful growth in a competitive market and sector. We regularly benchmark our compensation and benefits by geography, industry (life sciences), and by role to ensure we maintain our status as an employer of choice in these areas. Our turnover rates over the last three years have been consistent with such benchmarks. Reports of our position relative to the benchmarks are reported to management and the compensation committee of our board of directors on a periodic basis.</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As of January 31, 2024, we had 225 employees, of which 223 were full-time employees. Of these full-time employees, 80 were in research and development, 70 in laboratory operations, 38 in commercial operations and 35 in general and administrative functions. 221 of our full-time employees were located in the United States, with the remaining two located in Europe (including the U.K.). As of January 31, 2024, more than 40% of our employees had completed a Ph.D. or other advanced science or medical degree.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None of our employees are represented by a labor union or covered by collective bargaining agreements, and we have not experienced any work stoppages. We consider our relations with our employees to be good. The use of independent contractors is not a material part of our workforce strategy.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believe we are in compliance with the regulations established by the state of California Division of Occupational Safety and Health Requirements and California Environmental Protection Agency applicable to our operations in Fremont, California. This includes, but is not limited to, having an Injury and Illness Prevention Program, a Hazard Communication Program, an Emergency Action Plan, a Chemical Hygiene Plan and an Exposure Control Plan, which are captured in written standard operating procedures (“SOPs”). We provide training to our employees on these SOPs. We are committed to evaluate our compliance to such regulations on a recurring basis.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website is located at https://www.personalis.com. Our Annual Reports on Form 10-K, Quarterly Reports on Form 10-Q, Current Reports on Form 8-K, including their exhibits, proxy and information statements, and amendments to those reports filed or furnished pursuant to Sections 13(a), 14, and 15(d) of the Securities Exchange Act of 1934, as amended, are available through the “Investors” portion of our website free of charge as soon as reasonably practicable after we electronically file such material with, or furnish it to, the SEC. We also use the investor relations page on our website as a channel of distribution for important company information, including press releases, analyst coverage and financial information regarding us, as well as corporate governance information. Information on our website is not part of this Annual Report on Form 10-K or any of our other securities filings unless specifically incorporated herein or therein by reference. In addition,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96"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1" w:lineRule="exact"/>
        <w:rPr>
          <w:sz w:val="20"/>
          <w:szCs w:val="20"/>
          <w:color w:val="auto"/>
        </w:rPr>
      </w:pPr>
    </w:p>
    <w:p>
      <w:pPr>
        <w:ind w:left="760" w:right="2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 to achieve or sustain profitability.</w:t>
      </w:r>
    </w:p>
    <w:p>
      <w:pPr>
        <w:spacing w:after="0" w:line="48"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62"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have substantial customer concentration, with a limited number of customers accounting for a substantial portion of our revenue and accounts receivable; in particular, we currently derive a substantial portion of our revenue from one of our largest customers, Natera, and in the past have derived a substantial portion of our revenue from another of our largest customers, the VA MVP.</w:t>
      </w:r>
    </w:p>
    <w:p>
      <w:pPr>
        <w:spacing w:after="0" w:line="6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When we grow our business by developing in vitro diagnostic tests, we may be subject to reimbursement challenges.</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should we need to do so.</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If our facilities become damaged or inoperable, or we are required to vacate the facilities, our ability to sell and provide our services and pursue our research and development efforts may be jeopardized.</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If we cannot develop services and products to keep pace with rapid advances in technology, medicine, and science our operating results and competitive position could be harmed.</w:t>
      </w:r>
    </w:p>
    <w:p>
      <w:pPr>
        <w:spacing w:after="0" w:line="48"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62"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may not be able to manage our future growth effectively, which could make it difficult to execute our business strategy.</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1" w:lineRule="exact"/>
        <w:rPr>
          <w:sz w:val="20"/>
          <w:szCs w:val="20"/>
          <w:color w:val="auto"/>
        </w:rPr>
      </w:pPr>
    </w:p>
    <w:p>
      <w:pPr>
        <w:ind w:left="760" w:hanging="378"/>
        <w:spacing w:after="0" w:line="285" w:lineRule="auto"/>
        <w:tabs>
          <w:tab w:leader="none" w:pos="76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48" w:lineRule="exact"/>
        <w:rPr>
          <w:rFonts w:ascii="Times New Roman" w:cs="Times New Roman" w:eastAsia="Times New Roman" w:hAnsi="Times New Roman"/>
          <w:sz w:val="16"/>
          <w:szCs w:val="16"/>
          <w:color w:val="auto"/>
        </w:rPr>
      </w:pPr>
    </w:p>
    <w:p>
      <w:pPr>
        <w:jc w:val="both"/>
        <w:ind w:left="760" w:hanging="378"/>
        <w:spacing w:after="0" w:line="259" w:lineRule="auto"/>
        <w:tabs>
          <w:tab w:leader="none" w:pos="76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 of our offerings, limit their use or adoption, and otherwise negatively affect our operating results and business.</w:t>
      </w:r>
    </w:p>
    <w:p>
      <w:pPr>
        <w:spacing w:after="0" w:line="69" w:lineRule="exact"/>
        <w:rPr>
          <w:rFonts w:ascii="Times New Roman" w:cs="Times New Roman" w:eastAsia="Times New Roman" w:hAnsi="Times New Roman"/>
          <w:sz w:val="16"/>
          <w:szCs w:val="16"/>
          <w:color w:val="auto"/>
        </w:rPr>
      </w:pPr>
    </w:p>
    <w:p>
      <w:pPr>
        <w:jc w:val="both"/>
        <w:ind w:left="760" w:hanging="378"/>
        <w:spacing w:after="0" w:line="274" w:lineRule="auto"/>
        <w:tabs>
          <w:tab w:leader="none" w:pos="76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pacing w:after="0" w:line="254"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health care policy could increase our costs, decrease our revenue, and impact sales of and reimbursement for our tests. When we grow our business by developing in vitro diagnostic tests, we may be subject to reimbursement challenges.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94" w:lineRule="exact"/>
        <w:rPr>
          <w:sz w:val="20"/>
          <w:szCs w:val="20"/>
          <w:color w:val="auto"/>
        </w:rPr>
      </w:pPr>
    </w:p>
    <w:p>
      <w:pPr>
        <w:ind w:left="760" w:hanging="378"/>
        <w:spacing w:after="0" w:line="285" w:lineRule="auto"/>
        <w:tabs>
          <w:tab w:leader="none" w:pos="7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services and products.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14" w:lineRule="exact"/>
        <w:rPr>
          <w:sz w:val="20"/>
          <w:szCs w:val="20"/>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6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94" w:lineRule="exact"/>
        <w:rPr>
          <w:sz w:val="20"/>
          <w:szCs w:val="20"/>
          <w:color w:val="auto"/>
        </w:rPr>
      </w:pPr>
    </w:p>
    <w:p>
      <w:pPr>
        <w:ind w:left="760" w:hanging="378"/>
        <w:spacing w:after="0" w:line="285"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inability to raise additional capital on acceptable terms in the future may limit our ability to continue to operate our business and further expand our operations.</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Insiders may exercise significant control over our company and will be able to influence corporate matters.</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Future sales of shares by existing stockholders, or the perception that such sales could occur, could cause the stock price of our common stock to decline.</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currently intend to pay dividends on our common stock and, consequently, your ability to achieve a return on your investment will depend on appreciation of the value of our common stock.</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48" w:lineRule="exact"/>
        <w:rPr>
          <w:rFonts w:ascii="Times New Roman" w:cs="Times New Roman" w:eastAsia="Times New Roman" w:hAnsi="Times New Roman"/>
          <w:sz w:val="16"/>
          <w:szCs w:val="16"/>
          <w:color w:val="auto"/>
        </w:rPr>
      </w:pPr>
    </w:p>
    <w:p>
      <w:pPr>
        <w:jc w:val="both"/>
        <w:ind w:left="760" w:hanging="378"/>
        <w:spacing w:after="0" w:line="259"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6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disclosure controls and procedures may not prevent or detect all errors or acts of fraud.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19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audited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3"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have a history of losses and we expect to incur significant losses for the foreseeable future and may not be able to generate sufficient revenue to achieve or sustain profitability.</w:t>
      </w:r>
    </w:p>
    <w:p>
      <w:pPr>
        <w:spacing w:after="0" w:line="11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have incurred net losses since our inception. For the years ended December 31, 2023, 2022, and 2021 we had net losses of $108 million, $113 million and $65 million, respectively. As of December 31, 2023, we had an accumulated deficit of $469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44" w:lineRule="exact"/>
        <w:rPr>
          <w:sz w:val="20"/>
          <w:szCs w:val="20"/>
          <w:color w:val="auto"/>
        </w:rPr>
      </w:pPr>
    </w:p>
    <w:p>
      <w:pPr>
        <w:jc w:val="both"/>
        <w:ind w:left="760" w:right="20"/>
        <w:spacing w:after="0" w:line="270"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12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currently derive substantially all of our revenue from sales of our services. We began offering our services through our CLIA-certified,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spacing w:after="0" w:line="15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and through gaining acceptance in medical communities.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13" w:lineRule="exact"/>
        <w:rPr>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demonstrate the utility and value of our services to our customers and potential customers;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recruitment, hiring, and retention of our commercial team personnel;</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whether our customers and potential customers accept that our services are sufficiently sensitive and specific;</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educate our customers and potential customers of the utility of the comprehensiveness of our services and of testing patients at multiple time points;</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continue to fund sales and marketing activities;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whether our services are considered superior to those of our competitors;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enforcing and defending intellectual property rights and claims.</w:t>
      </w:r>
    </w:p>
    <w:p>
      <w:pPr>
        <w:spacing w:after="0" w:line="193"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 or achieve and sustain profitability.</w:t>
      </w:r>
    </w:p>
    <w:p>
      <w:pPr>
        <w:spacing w:after="0" w:line="1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educate our customers and potential customers on the benefits of our comprehensive tests compared to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Some of our present or potential competitors, including Adela, Inc., BostonGene Corporation, Caris Life Sciences, Inc., Foresight Diagnostics Inc. (“Foresight”), Freenome, Inc., Fulgent Genetics, Inc., Geneseeq Technology Inc., GRAIL, Guardant Health, Inc., Haystack Oncology, Inc., which was acquired by Quest Diagnostics Incorporated in June 2023, Invitae Corporation, MedGenome Inc., Myriad Genetics, Inc., Natera, NeoGenomics, Inc., Novogene Corporation, Predicine, Inc., Roche Molecular Systems, Inc., Tempus, Inc., and Veracyte,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the year ended December 31, 2023, revenue under our agreement accounted for 43% of our total revenue. See “—We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spacing w:after="0" w:line="3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 never developed an FDA-approved companion diagnostic, and may be unable to successfully compete against companies with more experience developing and commercializing companion diagnostics.</w:t>
      </w:r>
    </w:p>
    <w:p>
      <w:pPr>
        <w:spacing w:after="0" w:line="16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and products in countries where we did not apply for or receive patents and compete with us in those countries, including encouraging the use of their products or services by biopharmaceutical companies in other countries.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 and accounts receivable; in particular, we currently derive a substantial portion of our revenue from one of our largest customers, Natera, and in the past have derived a substantial portion of our revenue from another of our largest customers, the VA MVP.</w:t>
      </w:r>
    </w:p>
    <w:p>
      <w:pPr>
        <w:spacing w:after="0" w:line="13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currently derive a significant portion of our revenue from Natera, which accounted for 43%, 41%, and 10% of our revenue for the years ended December 31, 2023, 2022, and 2021, respectively. We previously derived a significant portion of our revenue from the VA MVP, which more recently accounted for 13%, 13%, and 53% of our revenue for the years ended December 31, 2023, 2022, and 2021, respectively. Our top five customers, including the VA MVP and Natera, accounted for 74%, 76% and 84% of our revenue for the years ended December 31, 2023, 2022 and 2021, respectively. There are inherent risks whenever a large percentage of revenue is concentrated with a limited number of customers. While we have attempted to grow our customer base and diversify our revenue concentration beyond the VA MVP and Natera,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we do not win future VA MVP renewals with a value comparable to that of our historical contracted orders, it may have a material adverse effect on our revenue, cash position, and results of operations.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Natera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55"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w:t>
      </w:r>
    </w:p>
    <w:p>
      <w:pPr>
        <w:spacing w:after="0" w:line="12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February 2021, we entered into a partnership in the field of personalized oncology with Natera, pairing our NeXT tumor profiling and diagnostic services and products with Natera’s personalized ctDNA platform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in 2023, revenue under our agreement accounted for 43% of our total revenue. In November 2023, we amended our agreement to extend minimum volume commitments through the end of 2024. We are aware that Natera has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Natera may also bring a portion (or all) of such services in-house in the future, which may result in them purchasing fewer (or no) such services from us, or none from us at all. Our agreement with Natera requires us to achieve certain quality and turnaround time metrics for Natera samples. Recently, the volumes of samples sent to us by Natera have fluctuated significantly and may continue to do so in the future, which could cause us to experience difficulty in achieving such metrics from time to time, or to meet our other obligations under our agreement. If we consistently fail to achieve such metrics, or any of our other obligations under our agreement with Natera, Natera may elect to send a portion (or all) of its samples to its other supplier(s) and/or bring such services in-house.</w:t>
      </w:r>
    </w:p>
    <w:p>
      <w:pPr>
        <w:spacing w:after="0" w:line="163"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Additionally, Natera may allege that such failures to achieve the required metrics are a breach of our agreement and seek to terminate our agreement and/or pursue any remedies available to it under the agreement, at law or in equity. Relatedly, we have incurred expenses in connection with our scale-up activities under our agreement with Natera, and we may incur additional expenses to increase our laboratory’s capacity to process increased sample volumes from Natera, in addition to those from our other customers, in the future. Our activities under our agreement with Natera have had, and may continue to have, an impact on our business, including diversion of 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our NeXT Personal test is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for these or other reasons, or if we are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unable to successfully research, develop, launch and/or commercialize our services or service capabilities, including NeXT Personal, our business, financial condition, revenue and other operating results, and cash flows may be materially harmed.</w:t>
      </w:r>
    </w:p>
    <w:p>
      <w:pPr>
        <w:spacing w:after="0" w:line="131"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We have derived a substantial portion of our current revenue from DNA sequencing and data analysis services that we provided to one of our largest customers,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w:t>
      </w:r>
    </w:p>
    <w:p>
      <w:pPr>
        <w:spacing w:after="0" w:line="12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have derived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In September 2022, we entered into a new contract with the VA MVP to continue providing them WGS services and received an initial task order with a value of up to $10.0 million. The performance period under the new contract includes a base period of one year, with four one-year renewal option periods that may be exercised upon discretion of the VA MVP. In August 2023, we received notice of the VA MVP's intention to exercise its first renewal option period and received a second task order with a value of up to $7.5 million, subject to the receipt of samples from the VA MVP. There is no guarantee that the VA MVP will exercise any subsequent renewal option.</w:t>
      </w:r>
    </w:p>
    <w:p>
      <w:pPr>
        <w:spacing w:after="0" w:line="1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VA MVP’s contracted orders for DNA sequencing and data analysis services have fluctuated significantly in value over time and are subject to the availability of funding, enrollment of veterans in the VA MVP study, and the VA MVP’s continued demand, if any, for our services among other factors. For example, the VA MVP contracted order received in September 2020 had a value of $30.9 million, whereas the VA MVP contracted orders received in September 2021, 2022, and 2023 had values of $9.7 million, $10.0 million, and $7.5 million, respectively, which represents a substantial decline. We have no certainty that funding will be made available for our services, or that the VA MVP will award any future contracts, contract renewals or contracted orders to us. The priorities of the VA, the VA MVP, or the U.S. government may change, including in response to a health epidemic or pandemic.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The timing and number of VA MVP samples may also be negatively affected by a public health crisis. For example, in March 2020, the VA MVP announced that it was suspending sample collection due to the COVID-19 pandemic. In addition, we believe the COVID-19 pandemic may have been a contributing factor to the reduction in values of the September 2021 and 2022 VA MVP contracted orders compared to the September 2020 contracted order, as the VA MVP delayed new enrollment and also may have needed to divert resources to respond to the pandemic. A health epidemic or pandemic may negatively impact the value of any potential new VA MVP contract or order.</w:t>
      </w:r>
    </w:p>
    <w:p>
      <w:pPr>
        <w:spacing w:after="0" w:line="337"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2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customers other than the VA MVP and Natera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a public health crisis), failures in their clinical trials (which failures are statistically much more likely to occur than not at some point in the clinical development process, notwithstanding any enhanced patient stratification from the use of our proprietary tests and algorithms), financial constraints, or utilization of internal testing resources or tests performed by other parties, or other circumstances outside of our control.</w:t>
      </w:r>
    </w:p>
    <w:p>
      <w:pPr>
        <w:spacing w:after="0" w:line="15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spacing w:after="0" w:line="3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When we grow our business by developing in vitro diagnostic tests, we may be subject to reimbursement challenges.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coverage and reimbursement status of newly-approved or cleared laboratory developed tests, including our NeXT Dx and NeXT Personal Dx products, is uncertain. We are seeking reimbursement for our NeXT Dx and NeXT Personal Dx tests, and other in vitro diagnostic tests we may develop, and if such tests are inadequately covered by insurance or ineligible for such reimbursement, this could limit our ability to derive revenue from any such current or future tests. The commercial success of current or future services and products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current or future in vitro diagnostic tests that we develop. These payors may conclude that our services or products are less safe, less effective, or less cost-effective than existing or later-introduced services or products. These payors may also conclude that the overall cost of using one of our tests exceeds the overall cost of using a competing test, and third-party payors may not approve any current or future in vitro diagnostic tests we develop for insurance coverage and adequate reimbursement.</w:t>
      </w:r>
    </w:p>
    <w:p>
      <w:pPr>
        <w:spacing w:after="0" w:line="14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January 2024, we announced that we received a final Medicare coverage determination for our NeXT Dx offering, extended retroactively to August 29, 2023. While we estimate that approximately half of new solid tumor cancer cases will be diagnosed in patients covered by Medicare, the Medicare coverage determination may not be indicative of our ability to obtain coverage with other payors. Even if favorable coverage and reimbursement status is attained for one or more of our products, less favorable coverage policies and reimbursement rates may be implemented in the future.</w:t>
      </w:r>
    </w:p>
    <w:p>
      <w:pPr>
        <w:spacing w:after="0" w:line="153"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our sole supplier of sequencers and various associated reagents and other materials used in our routine laboratory operations, and as the sole provider of maintenance and repair services for these sequencers. Any disruption in Illumina’s operations or our inability to negotiate pricing with Illumina on acceptable terms, or at all, could negatively impact our supply chain and laboratory operations and our ability to conduct our business and generate revenue. Additionally, COVID-19 previously disrupted Illumina’s ability to fulfill our purchase orders for reagents or other materials in a timely manner and another health epidemic or pandemic may disrupt the ability of Illumina and our other suppliers to fulfill our purchase orders in a timely manner or at all. Our suppliers, including Illumina, could cease supplying these materials and equipment at any time, could increase the price of these materials or equipment (including the promotional pricing offered to us by Illumina for our 2022 VA MVP Agreement and certain other projects)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We have also experienced, and may experience in the future, delays or difficulties in upgrading to newer versions or replacements of these materials and equipment, which may have better performance or be more cost-effective than the current versions. Any such interruption, delay or difficulty could significantly affect our business, financial condition, results of operations, and reputation.</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 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5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the Device Master Files that we filed with the FDA, which are focused on the technology, quality management, and validation of our platform, specifically on its use for the development of personalized immunotherapies, are predicated on our use of specified equipment and processes, including Illumina sequencers and related equipment. The detailed information in the Device Master Files is not shared with our customers, but with our permission they can reference our FDA file numbers in their Investigational New Drug filings with the FDA. If we were required to transition to a new supplier of sequencers or certain other equipment or processes in our laboratory, our Device Master Files would need to be replaced or updated, and until such time as that occurred, customers for which we deliver services after the transition would not be able to reference our Device Master Files, which would cause us to lose a competitive advantage.</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our facilities become damaged or inoperable, or we are required to vacate the facilities, our ability to sell and provide our services and pursue our research and development efforts may be jeopardized.</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currently derive our revenue from our genomic analysis conducted in our laboratories. Currently, our only clinical reference or research and development laboratory facilities are in Fremont, California. Our facilities and equipment could be harmed or rendered inoperable by natural or man-made disasters, including fires, earthquakes, flooding, and power outages, which may render it difficult or impossible for us to sell or perform our services for some period of time. Northern California continues to experience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For example, from January 2023 through April 2023, we experienced substantial disruption to our use of the Fremont facility due to a failure of an electrical bus duct serving the facility. See “—The process of opening our new laboratory facilities in Fremont, California has diverted and could continue to divert management’s attention and has disrupted and could continue to disrupt our ongoing business.” Furthermore, our facilities and the equipment we use to perform our services and our research and development work could be costly and time-consuming to repair or replace.</w:t>
      </w:r>
    </w:p>
    <w:p>
      <w:pPr>
        <w:spacing w:after="0" w:line="16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and our services typically involve using biological samples provided by or on behalf of our customers or collaborators. In some cases, these samples are difficult to obtain. If the parts of our laboratory facilities where we store these biological samples were damaged or compromised, or if these biological samples or the resulting data were otherwise lost, damaged or compromised due to equipment malfunction, human error or other causes, our ability to pursue our research and development projects or provide our services, as well as our reputation, could be jeopardized. For example, we have experienced from time to time, and may experience in the future, equipment malfunctions that have resulted in lost, damaged or compromised samples or resulting data. We carry insurance for damage to our property or to our customer's property while in our possession, and we also carry insurance for the disruption of our business, but these types of insurance may not be sufficient to cover all of our potential losses or liabilities and may not continue to be available to us on acceptable terms, if at all.</w:t>
      </w:r>
    </w:p>
    <w:p>
      <w:pPr>
        <w:spacing w:after="0" w:line="14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3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success depends on our ability to provide reliable and timely, high-quality genomic data and analyses and to rapidly evolve to meet our customers’ needs.</w:t>
      </w:r>
    </w:p>
    <w:p>
      <w:pPr>
        <w:spacing w:after="0" w:line="1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 addition, our customers require timely turnaround of high-quality genomic data and analyses, and if we were not able to meet our customers’ specific requirements, it could also have a significant adverse effect on our business.</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5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51"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1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43" w:lineRule="exact"/>
        <w:rPr>
          <w:sz w:val="20"/>
          <w:szCs w:val="20"/>
          <w:color w:val="auto"/>
        </w:rPr>
      </w:pPr>
    </w:p>
    <w:p>
      <w:pPr>
        <w:jc w:val="both"/>
        <w:ind w:left="760" w:right="20"/>
        <w:spacing w:after="0" w:line="270"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2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5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3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 (EU) 2017/746) (“IVDR”) entered into application, repealing and replacing the Directive on In-Vitro Diagnostic Devices (98/79/EC) (the “IVDD”). The IVDR and its associated guidance documents and harmonized standards govern,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(“GSPRs”) set out in Annex I of the IVDR. Compliance with these requirements is a prerequisite to be able to affix the CE Mark to IVDs, without which they cannot be marketed or sold in the EEA.</w:t>
      </w:r>
    </w:p>
    <w:p>
      <w:pPr>
        <w:spacing w:after="0" w:line="1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diagnostic and therapeutic services offered to customers in the EEA (and Northern Ireland) (whether directly or via intermediaries) by providers that are based outside the EEA will be covered by the IVDR.</w:t>
      </w:r>
    </w:p>
    <w:p>
      <w:pPr>
        <w:spacing w:after="0" w:line="12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tests or services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spacing w:after="0" w:line="14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19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The collective efforts of each of our executives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Effective December 31, 2022, John West retired from his role as our Chief Executive Officer. Aaron Tachibana, our Chief Financial Officer, served as our interim Chief Executive Officer from December 31, 2022 until March 2, 2023, when Christopher Hall, who served as our SVP and Head, Diagnostics Business, was appointed Chief Executive Officer, in addition to his role as our President. As with any change in leadership, there is a risk to organizational effectiveness and employee retention as well as the potential for disruption to our business. Integrating members into new or different management roles could prove disruptive to our operations, require substantial resources and management attention and ultimately prove unsuccessful. Each member of our executive management team has an employment agreement; however, the existence of an employment agreement does not guarantee retention of members of our executive management team, and we may not be able to retain those individuals or replace them in the event we lose their services. We do not maintain “key person” life insurance on any of our employees.</w:t>
      </w:r>
    </w:p>
    <w:p>
      <w:pPr>
        <w:spacing w:after="0" w:line="151"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self-employed or employed by employers other than us and may have commitments under agreements with other entities that may limit their availability to us.</w:t>
      </w:r>
    </w:p>
    <w:p>
      <w:pPr>
        <w:spacing w:after="0" w:line="13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3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4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have undertaken in the past, and may in the future undertake, internal restructuring activities that could result in disruptions to our business or otherwise harm our results of operations or financial condition.</w:t>
      </w:r>
    </w:p>
    <w:p>
      <w:pPr>
        <w:spacing w:after="0" w:line="1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For example, in the first quarter of 2023 and in the fourth quarter of 2023, we implemented reductions in our workforce to reduce operating costs and improve operating efficiency that collectively affected nearly 50% of our workforce. Any restructuring activities that we may undertake in the future may result in write-offs or other restructuring charges. There can be no assurance that any restructuring activities that we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and disrupt our ongoing business. If any internal restructuring activities we undertake in the future fail to achieve some or all of the expected benefits therefrom, our business, results of operations and financial condition could be materially and adversely affected.</w:t>
      </w:r>
    </w:p>
    <w:p>
      <w:pPr>
        <w:spacing w:after="0" w:line="147"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The process of opening our new laboratory facilities in Fremont, California has diverted and could continue to divert management’s attention and has disrupted and could continue to disrupt our ongoing business.</w:t>
      </w:r>
    </w:p>
    <w:p>
      <w:pPr>
        <w:spacing w:after="0" w:line="1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have relocated our corporate headquarters and all laboratory facilities to Fremont, California. These efforts have involved significant tenant improvements, construction and regulatory compliance activities to be undertaken. Such efforts have distracted and may continue to distract management from current operations, have disrupted and may continue to disrupt planned research, development or regulatory compliance activities, and have resulted in and may continue to result in greater than expected liabilities and expenses, any of which could result in a material adverse effect on our business prospects, financial condition, or results of operations. For example, delays in the completion of updates to our new corporate headquarters in Fremont delayed our previously planned move-in date. Additionally, from January 2023 through April 2023, we experienced substantial disruption to our use of the Fremont facility due to a failure of an electrical bus duct serving the facility. We used backup generators to power our laboratories and emergency lights at the facility through February 2023 but were unable to use the office portions of the facility, or use the facility's heating, ventilation and air conditioning system during this time. We were able to restore full power to the facility on a temporary basis during March 2023 and April 2023 using additional generators, and regular electrical service to the facility has since been restored. However, we may experience additional disruptions in the future. We incurred costs in maintaining temporary power to the facility and in attempting to permanently remedy the problem, including obtaining additional backup generators, equipment, and back up batteries, and purchasing fuel for the generators on a daily basis. If we experience additional disruptions to our power supply, it may result in a loss in productivity, including delays to research and development programs, and could render it difficult or impossible for us to sell or perform certain of our services for some period of time. Additionally, if the backup generators were to fail, it could result in damage to biological samples stored within the Fremont facility, which may include certain customer samples. See “—If our facilities become damaged or inoperable, or we are required to vacate the facilities, our ability to sell and provide our services and pursue our research and development efforts may be jeopardized."</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(such as our new facility in Fremont, California),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157"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may need to continue to invest in our infrastructure in advance of increased demand for our services; our failure to accurately forecast demand would have a negative impact on our business and our ability to achieve and sustain profitability.</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new Fremont facility expanded our laboratory capacity and, in order to execute our business model, we may need to make additional investments to further scale our infrastructure, including purchases of additional equipment, some of which can take several months or more to procure, setup, and validate, or increases to our software and computing capacity. There is no assurance that any of these increases in scale, equipment, software, and computing capacities, or process enhancements will be successfully implemented.</w:t>
      </w:r>
    </w:p>
    <w:p>
      <w:pPr>
        <w:spacing w:after="0" w:line="13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expanded our laboratory facilities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or at all.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53"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33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Any collaboration arrangements that we have entered into or may enter into in the future may not be successful, which could adversely affect our ability to develop and commercialize our services and products.</w:t>
      </w:r>
    </w:p>
    <w:p>
      <w:pPr>
        <w:spacing w:after="0" w:line="11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(for example, our collaborations with Tempus; Myriad; ClearNote Health, Inc.; Cancer Research UK, University College London, and the Francis Crick Institute (the TRACERx study); The Royal Marsden; the Vall d'Hebron Institute of Oncology (VHIO); Duke University; the Dana-Farber Cancer Institute; University Medical Center Hamburg-Eppendorf (also known as UKE); and Criterium and the Academic Breast Cancer Consortium) or may enter into may not be successful. The success of our collaboration arrangements will depend heavily on the efforts and activities of our collaborators. Collaborations are subject to numerous risks, which include that:</w:t>
      </w:r>
    </w:p>
    <w:p>
      <w:pPr>
        <w:spacing w:after="0" w:line="74" w:lineRule="exact"/>
        <w:rPr>
          <w:sz w:val="20"/>
          <w:szCs w:val="20"/>
          <w:color w:val="auto"/>
        </w:rPr>
      </w:pPr>
    </w:p>
    <w:p>
      <w:pPr>
        <w:jc w:val="both"/>
        <w:ind w:left="1140" w:right="20" w:hanging="383"/>
        <w:spacing w:after="0" w:line="266" w:lineRule="auto"/>
        <w:tabs>
          <w:tab w:leader="none" w:pos="11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spacing w:after="0" w:line="62"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25"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6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14"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a large percentage of our revenue may be concentrated with the collaborators if the collaborations are successful and we may experience further losses if they are or later become unsuccessful;</w:t>
      </w:r>
    </w:p>
    <w:p>
      <w:pPr>
        <w:spacing w:after="0" w:line="48"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2"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spacing w:after="0" w:line="48"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 and</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w:t>
      </w:r>
    </w:p>
    <w:p>
      <w:pPr>
        <w:spacing w:after="0" w:line="11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3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that could adversely affect our operations, our financial condition, and the business or operations of our customers or other third parties with whom we conduct business.</w:t>
      </w:r>
    </w:p>
    <w:p>
      <w:pPr>
        <w:spacing w:after="0" w:line="10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business could be adversely impacted by the effects of a health crisis that could cause significant disruption in the operations of our customers and third-party suppliers upon whom we rely. Our laboratory facilities,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3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operations were previously impacted by the COVID-19 pandemic. For example, the previous shelter-in-place order and health orders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cause similar effects on our operations. COVID-19 disrupted, and a future health epidemic or pandemic may disrupt in the future, the ability of our suppliers to fulfill our purchase orders in a timely manner or at all. Additionally, we use certain consumables in our operations, and we have faced, and may face in the future, difficulties in acquiring such consumables if our suppliers prioritize orders related to a health epidemic or pandemic or if other supply chain issues arise as a result of such a public health crisis. Several of our customers were delayed in sending us samples due to the inability to collect or ship samples during the COVID-19 pandemic, and these and additional customers may be disrupted from collecting samples or sending purchase orders or samples to us in the future in the event of the emergence of another health epidemic or pandemic.</w:t>
      </w:r>
    </w:p>
    <w:p>
      <w:pPr>
        <w:spacing w:after="0" w:line="15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Moreover, the ultimate impact of a health epidemic or pandemic on our business, operations, or the global economy as a whole is highly uncertain, but a continued and prolonged public health crisis could have a material negative impact on our business, financial condition, and operating results.</w:t>
      </w:r>
    </w:p>
    <w:p>
      <w:pPr>
        <w:spacing w:after="0" w:line="11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spacing w:after="0" w:line="12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spacing w:after="0" w:line="15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w:t>
      </w:r>
    </w:p>
    <w:p>
      <w:pPr>
        <w:spacing w:after="0" w:line="13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On October 3, 2023 FDA issued proposed regulations under which it would phase out its enforcement discretion approach to LDTs over a period of four years (the "Proposed Rule"). If the Proposed Rule is finalized as proposed, we anticipate that we would be required to obtain PMA approval for certain of our tests by October 1, 2027. We would also be subject to device registration and listing requirements, medical device reporting requirements and the requirements of the FDA’s Quality System Regulation. If the FDA determines that our tests are subject to enforcement as medical devices, we could be subject to enforcement action, including administrative and judicial sanctions, and additional regulatory controls and submissions for our tests, all of which could be burdensome. We and/or our collaborators may also be required to submit one or more of our tests for premarket notification, review, clearance or approval by the FDA as medical devices.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4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early December 2023, following the close of a public comment period, FDA announced its intention to publish the Proposed Rule in final form in April 2024. On January 18, 2024, the Director of FDA’s Center for Devices and Radiological Health, which oversees IVD regulation within the FDA, and the Chief Medical Officer and Acting Director of CMS’ Center for Clinical Standards and Quality, which oversees CLIA within CMS, issued a joint press release supporting the Proposed Rule, indicating broad support within the Department of Health and Human Services for FDA’s Proposed Rule.</w:t>
      </w:r>
    </w:p>
    <w:p>
      <w:pPr>
        <w:spacing w:after="0" w:line="15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Legislative proposals addressing oversight of genetic testing and LDTs have been introduced in previous Congresses, and we expect that new legislative proposals will be introduced from time to time in the future. For example, the proposed “Verifying Accurate, Leading-edge IVCT Development” Act (the “VALID Act”) would clarify and enhance FDA’s authority to regulate LDTs, including premarket review of non-exempted tests. We cannot predict whether the VALID Act will become legislation and cannot provide any assurance that FDA regulation, including premarket review, will not be required in the future for our tests, whether through finalization of the Proposed Rule, new enforcement policies adopted by the FDA or new legislation enacted by Congress.</w:t>
      </w:r>
    </w:p>
    <w:p>
      <w:pPr>
        <w:spacing w:after="0" w:line="13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It is possible that legislation will be enacted into law or guidance such as the Proposed Rule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4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EEA, IVDs are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 at our facilities in the U.S.) would not fall within the scope of such exemptions. We believe that we do not currently offer tests or services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to customers established in the EEA which would fall within the scope of the IVDR. If, in the future, we offer tests or services to customers within the EEA (whether directly or via intermediaries) that fall within the scope of the IVDR, it is unlikely that we will benefit from IVDR exemptions foreseen for health institutions established in the EEA. This means that we will have to comply with the IVDR in full.</w:t>
      </w:r>
    </w:p>
    <w:p>
      <w:pPr>
        <w:spacing w:after="0" w:line="146"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or if foreign regulatory authorities regulate our products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spacing w:after="0" w:line="12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regulatory or legislative changes such as FDA's Proposed Rule,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 On January 31, 2024, FDA announced its intent to initiate a reclassification process for most IVDs that are currently Class III (high risk), the majority of which are infectious disease and companion diagnostic IVDs, into Class II (moderate risk). This reclassification would allow manufacturers of certain types of IVDs to seek marketing clearance through the less burdensome Class II 510(k) premarket notification pathway rather than the Class III premarket approval (PMA) pathway, the most stringent type of FDA medical device review.</w:t>
      </w:r>
    </w:p>
    <w:p>
      <w:pPr>
        <w:spacing w:after="0" w:line="34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6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4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 actions and obligations may be imposed by the competent authorities of an EU Member State, or a foreign regulatory authority.</w:t>
      </w:r>
    </w:p>
    <w:p>
      <w:pPr>
        <w:spacing w:after="0" w:line="16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42" w:lineRule="exact"/>
        <w:rPr>
          <w:sz w:val="20"/>
          <w:szCs w:val="20"/>
          <w:color w:val="auto"/>
        </w:rPr>
      </w:pPr>
    </w:p>
    <w:p>
      <w:pPr>
        <w:jc w:val="both"/>
        <w:ind w:firstLine="816"/>
        <w:spacing w:after="0" w:line="253"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any clearance or approval we obtain for our services or products may contain requirements for costly post-market testing and surveillance to monitor the safety or efficacy of the product. The FDA has broad post-market enforcement powers, and if unanticipated problems with our services or products arise, or if we or our suppliers fail to comply with regulatory requirements following FDA clearance or approval, we may become subject to enforcement actions such as:</w:t>
      </w:r>
    </w:p>
    <w:p>
      <w:pPr>
        <w:spacing w:after="0" w:line="70" w:lineRule="exact"/>
        <w:rPr>
          <w:sz w:val="20"/>
          <w:szCs w:val="20"/>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manufacturing processes;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service or product marketing;</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warning letters;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or recall of services or products from the market;</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fines, restitution, or disgorgement of profits or revenue;</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suspension or withdrawal of regulatory clearances or approvals;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limitation on, or refusal to permit, import or export of our products;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product seizures;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imposition of civil or criminal penalties.</w:t>
      </w:r>
    </w:p>
    <w:p>
      <w:pPr>
        <w:spacing w:after="0" w:line="20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or authorities actively enforce the laws and regulations prohibiting the promotion of off-label uses, and a company that is found to have improperly promoted off-label uses may be subject to significant civil, criminal, and administrative penalties.</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spacing w:after="0" w:line="15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if we offer tests or services to customers within the EEA (and Northern Ireland) (whether directly or via intermediaries) that fall within the scope of the IVDR, we would be required to comply with strict requirements in order to affix the CE mark to our products, including requirements for clinical evidence, pre-market assessment of safety and performance, quality management system, traceability of products, promotion and advertising, and conduct costly post-market testing and surveillance to monitor the safety or effectiveness of our products in the EEA and detailed reporting obligations.</w:t>
      </w:r>
    </w:p>
    <w:p>
      <w:pPr>
        <w:spacing w:after="0" w:line="139"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spacing w:after="0" w:line="12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Fremont, California. To renew this certificate, we are subject to survey and inspection every two years. Because we are a CAP-accredited laboratory, the Centers for Medicare &amp; Medicaid Services ("CMS") does not perform this survey and inspection and relies on our CAP survey and inspection. We also may be subject to additional unannounced inspections.</w:t>
      </w:r>
    </w:p>
    <w:p>
      <w:pPr>
        <w:spacing w:after="0" w:line="15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also require us to maintain out-of-state licenses. Other states may have similar requirements or may adopt similar requirements in the future. Although we have obtained licenses from states for our clinical reference laboratory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4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Failure to comply with the IVDR may result in a range of enforcement actions by the regulatory authorities of EU Member States as well as repercussions for any CE Certificates of Conformity issued by notified bodies, including fines, suspension variation or withdrawal of CE Certificates of Conformity, product seizures, injunctions or the imposition of civil or criminal penalties which would adversely affect our business, operating results and prospects.</w:t>
      </w:r>
    </w:p>
    <w:p>
      <w:pPr>
        <w:spacing w:after="0" w:line="15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we fail to operate within the conditions of that exercise of enforcement discretion, if any of our services or products otherwise fail to comply with FDA regulatory requirements as enforced, or if we are required or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and authorities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56"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2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ordinary course of our business, we, and the third parties upon which we rely, collect, process, receive, generate, use, transfer, disclose, make accessible, protect, secure, dispose of, transmit, share and store (collectively, “process”) proprietary, confidential, and sensitive information, including protected health information (“PHI”), personal information, credit card and other financial information, intellectual property, trade secrets, medical information, biometric information and genomic information (collectively, “sensitive information”) owned or controlled by ourselves or our customers, payors, and other parties.</w:t>
      </w:r>
    </w:p>
    <w:p>
      <w:pPr>
        <w:spacing w:after="0" w:line="13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Cyberattacks, malicious internet-based activity, and online and offline fraud, and other similar activities threaten the confidentiality, integrity, and availability of our sensitive information and information technology systems, and those of the third parties upon which we rely. Such threats are prevalent and continue to increase, are becoming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including the war between Russia and Ukraine, the state of war between Israel and Hamas and the risk of a larger regional conflict, we, and the third parties upon which we rely, may be vulnerable to a heightened risk of these attacks, including retaliatory cyberattacks, that could materially disrupt our systems and operations, supply chain, and ability to produce, sell, and distribute our platform, products, and services.</w:t>
      </w:r>
    </w:p>
    <w:p>
      <w:pPr>
        <w:spacing w:after="0" w:line="15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attacks enhanced or facilitated by artificial intelligence ("AI"), software or hardware failures, loss of data or other information technology assets, adware, telecommunications failures, natural disasters, terrorism, and other similar threats. In particular, ransomware attacks are becoming increasingly prevalent and severe and can lead to significant interruptions in our operations, ability to provide our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Most of our employees are working remotely at least part of the time and such 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rely on third-party service providers and technologies to operate critical business systems to process sensitive information in a variety of contexts, including, without limitation, on-site systems and cloud-based data centers, systems handling human resources, financial reporting and controls, customer relationship management, regulatory compliance, and other infrastructure operations. We also communicate sensitive data, including patient data, electronically, and through relationships with multiple third-party vendors and their subcontractors. These applications and data encompass a wide variety of sensitive information, including research and development information, patient data, commercial information, and business and financial information. Our ability to monitor these third parties’ security practices is limited, and these third parties may not have adequate security measures in place. If any of our third-party service providers experience a security incident or other interruption, we could experience adverse consequences. While we may be entitled to damages if any of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w:t>
      </w:r>
    </w:p>
    <w:p>
      <w:pPr>
        <w:spacing w:after="0" w:line="14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Despite the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2018, we experienced downtime in our information technology systems 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connection with the adoption of certain new information technology, and our results of operations in the first and second quarters of 2018 were adversely affected as a result.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platform, products, and services.</w:t>
      </w:r>
    </w:p>
    <w:p>
      <w:pPr>
        <w:spacing w:after="0" w:line="15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may expend significant resources or modify our business activities (including our clinical trial activities) to try to protect against security incidents. Additionally, certain data privacy and security obligations may require us to implement and maintain certain measures to protect our information technology systems and sensitive information.</w:t>
      </w:r>
    </w:p>
    <w:p>
      <w:pPr>
        <w:spacing w:after="0" w:line="13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Further, if the information technology systems of the third parties upon which we rely become subject to security incidents, we may have insufficient recourse against such third parties, and we may have to expend significant resources to mitigate the impact of such an event, and to develop and implement protections to prevent future events of this nature from occurring.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tests and services and otherwise conduct our business in the ordinary course.</w:t>
      </w:r>
    </w:p>
    <w:p>
      <w:pPr>
        <w:spacing w:after="0" w:line="14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Further, we may experience delays in developing and deploying remedial measures designed to address any such identified vulnerabilities. For example, like many companies, we use Log4j with respect to certain software or systems to log security and performance information. In early 2022, we discovered a Log4j vulnerability in our environment although to date we have found no indication that our or our partners’ data was exposed. Upon learning of this vulnerability, we applied a patch and made updates to our systems and infrastructure intended to reduce risks associated with the vulnerability.</w:t>
      </w:r>
    </w:p>
    <w:p>
      <w:pPr>
        <w:spacing w:after="0" w:line="15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Applicable data privacy and security obligations, including applicable federal and/or state breach notification laws and foreign equivalents, as well as public company disclosure obligations, may require us to notify relevant stakeholders, including affected individuals, regulatory authorities and our stockholders, of certain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information); litigation (including class claims) and mass arbitration; indemnification obligations; negative publicity; reputational harm; monetary fund diversions; interruptions in our operations (including availability of data); financial loss; and other similar harms. Security incidents and attendant consequences may prevent or cause customers or partners to stop using our platform, products, and services, deter new customers or partners from using our platform, products, and services, and negatively impact our ability to grow and operate our business. Whether a cybersecurity incident is reportable to our stockholders may not be straightforward, may take considerable time to determine, and may be subject to change as the investigation of the incident progresses, including changes that may significantly alter any initial disclosure that we provide.</w:t>
      </w:r>
    </w:p>
    <w:p>
      <w:pPr>
        <w:spacing w:after="0" w:line="14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Additionally, we cannot be sure that such coverage will continue to be available on commercially reasonable terms or at all, or that such coverage will pay future claims.</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3" w:lineRule="exact"/>
        <w:rPr>
          <w:sz w:val="20"/>
          <w:szCs w:val="20"/>
          <w:color w:val="auto"/>
        </w:rPr>
      </w:pPr>
    </w:p>
    <w:p>
      <w:pPr>
        <w:jc w:val="both"/>
        <w:ind w:left="760"/>
        <w:spacing w:after="0" w:line="258" w:lineRule="auto"/>
        <w:rPr>
          <w:sz w:val="20"/>
          <w:szCs w:val="20"/>
          <w:color w:val="auto"/>
        </w:rPr>
      </w:pPr>
      <w:r>
        <w:rPr>
          <w:rFonts w:ascii="Arial" w:cs="Arial" w:eastAsia="Arial" w:hAnsi="Arial"/>
          <w:sz w:val="16"/>
          <w:szCs w:val="16"/>
          <w:b w:val="1"/>
          <w:bCs w:val="1"/>
          <w:i w:val="1"/>
          <w:iCs w:val="1"/>
          <w:color w:val="auto"/>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4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the ordinary course of business, we process sensitive information, including data we collect from our customers about trial participants in connection with clinical trials.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3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information privacy laws, and consumer protection laws. For example, the Health Insurance Portability and Accountability Act ("HIPAA"), as amended by the Health Information Technology for Economic and Clinical Health Act ("HITECH"), imposes specific requirements relating to the privacy, security, and transmission of individually identifiable health information. Penalties for failure to comply with HIPAA and HITECH include significant civil monetary penalties and criminal penalties in certain circumstances with fines up to $250,000 per violation and/or imprisonment.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and applicable to us, we may have to comply with the stricter provisions. In addition to fines and penalties imposed upon violators, some of these state laws also afford private rights of action to individuals who believe their personal information has been misused. Similarly, the California Consumer Privacy Act of 2018, as amended by the California Privacy Rights Act of 2020 (“CPRA”) (collectively, "CCPA") applies to personal information of consumers, business representatives, and employees, and requires businesses to provide specific disclosures in privacy notices and honor requests of California residents to exercise certain privacy rights, including those noted below.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information we maintain about California residents. In addition, the CPRA expands the CCPA’s requirements, including by adding a new right for individuals to correct their personal information and establishing a new regulatory agency to implement and enforce the law. Other states, such as Virginia, Colorado, Connecticut and Utah have also enacted comprehensive privacy laws, and similar laws are being considered in several other states, as well as at the federal and local levels. These state laws and the CCPA provide individuals with certain rights concerning their personal information, including the right to access, correct, or delete certain personal information, and opt-out of certain data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further complicate compliance efforts, and increase legal risk and compliance costs for us, the third parties upon whom we rely and our customers. Additionally, several states and localities have enacted statutes banning or restricting the collection of biometric information and regulators, such as the Federal Trade Commission, have indicated that use of biometric technologies (including facial recognition technologies) may be subject to additional scrutiny.</w:t>
      </w:r>
    </w:p>
    <w:p>
      <w:pPr>
        <w:spacing w:after="0" w:line="14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may be subject to new laws governing the privacy of consumer health data, including reproductive, sexual orientation, and gender identity privacy rights.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California also recently passed a law protecting privacy of abortion-related records and other reproductive healthcare services.</w:t>
      </w:r>
    </w:p>
    <w:p>
      <w:pPr>
        <w:spacing w:after="0" w:line="1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Outside the U.S., an increasing number of laws, regulations, and industry standards govern data privacy and security. For example, the General Data Protection Regulation 2016/679 (“EU GDPR”), the United Kingdom’s GDPR (“UK GDPR”), Brazil’s General Data Protection Law (Lei Geral de Proteção de Dados Pessoais) (Law No. 13,709/2018), and China’s Personal Information Protection Law (“PIPL”) impose strict requirements for processing personal information. Under the EU GDPR and UK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information brought by classes of data subjects or consumer protection organizations authorized at law to represent their interests. In Canada, the Personal Information Protection and Electronic Documents Act (“PIPEDA”) and various related provincial laws, as well as Canada’s Anti-Spam Legislation (“CASL”), applies to our operations. We also receive personal information from customers in Asia and may be subject to new and emerging data privacy and security regimes in Asia, including Japan’s Act on the Protection of Personal Information, and Singapore's Personal Data Protection Act.</w:t>
      </w:r>
    </w:p>
    <w:p>
      <w:pPr>
        <w:spacing w:after="0" w:line="14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the ordinary course of business, we may transfer personal information from Europe and other jurisdictions to the U.S. or other countries. Europe and other jurisdictions have enacted laws requiring data to be localized or limiting the transfer of personal information to other countries. In particular, the EEA and the U.K. have significantly restricted the transfer of personal information to the U.S. and other countries whose data privacy and security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U.S. in compliance with law, such as the EEA’s standard contractual clauses, the U.K.'s International Data Transfer Agreement / Addendum, and the EU-U.S. Data Privacy Framework (and U.K. extension thereto) (which allows for transfers for relevant U.S.-based organizations who self-certify compliance and participate in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framework), these mechanisms are susceptible to legal challenges, and there is no assurance that we can satisfy or rely on these measures to lawfully transfer personal information to the U.S. If there is no lawful manner for us to transfer personal information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EEA countries may also introduce national legislation further limiting the processing of personal genetic, biometric, or health data, which could limit our ability to collect, use and share data originating from the EEA, or could cause our compliance costs to increase, require us to change our practices, adversely impact our business, and harm our financial condition.</w:t>
      </w:r>
    </w:p>
    <w:p>
      <w:pPr>
        <w:spacing w:after="0" w:line="16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addition to data privacy and security laws, because we process some credit card payments through a third-party payment processing partner, we are contractually subject to industry standards adopted by industry groups and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w:t>
      </w:r>
    </w:p>
    <w:p>
      <w:pPr>
        <w:spacing w:after="0" w:line="1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privacy laws, such as the GDPR,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employees and personnel may use generative AI technologies to perform their work, and the disclosure and use of personal information in generative AI technologies is subject to various data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15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Obligations related to data privacy and security (and consumers'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platform, products and/or services, information technologies, systems, and practices and to those of any third parties that process personal information on our behalf. In addition, these obligations may require us to change our business model. Our business model materially depends on our ability to process personal information, so we are particularly exposed to the risks associated with the rapidly changing legal landscape. For example, because we process PHI, personal information and sensitive information, we may be at heightened risk of regulatory scrutiny, and any changes in the regulatory framework could require us to fundamentally change our business model, including causing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particularly with respect to our RUO and clinical trial services, and we also typically rely on each provider ordering our LDTs or diagnostic services to obtain valid and appropriate consent from each of his or her patients whose genetic samples and data we process on such patient's behalf. Given that we do not typically obtain direct consent from such data subjects or patients, and we do not audit our customers or the ordering providers to ensure that they have obtained the necessary consents required by law, the failure of our customers or the order providers to obtain consents that are valid under applicable law could result in our own non-compliance with data privacy and security laws. For example, our NeXT Personal RUO test leverages WGS, and the scope of existing consents from our customers' clinical trial subjects may be insufficient to cover use of NeXT Personal on their samples, which may either limit uptake of NeXT Personal or expose our customers and ourselves to risk of exceeding the scope of prior consent for specimen testing. A failure, or a perceived failure, to address or comply with U.S. and foreign data privacy and security laws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privacy and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3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data privacy-related claims against companies, including class claims and mass arbitration demands. Some of these claims allow for the recovery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interruptions or stoppages of data collection needed to train our algorithms; inability to process personal information or to operate in certain jurisdictions; limited ability to develop or commercialize our platform, products, and services; expenditure of time and resources to defend any claim or inquiry; adverse publicity; or substantial changes to our business model or operations.</w:t>
      </w:r>
    </w:p>
    <w:p>
      <w:pPr>
        <w:spacing w:after="0" w:line="348"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spacing w:after="0" w:line="13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60"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operations are or may be subject to other extensive federal, state, local, and foreign laws and regulations, all of which are subject to change.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These laws and regulations currently include, among others:</w:t>
      </w:r>
    </w:p>
    <w:p>
      <w:pPr>
        <w:spacing w:after="0" w:line="97" w:lineRule="exact"/>
        <w:rPr>
          <w:sz w:val="20"/>
          <w:szCs w:val="20"/>
          <w:color w:val="auto"/>
        </w:rPr>
      </w:pPr>
    </w:p>
    <w:p>
      <w:pPr>
        <w:jc w:val="both"/>
        <w:ind w:left="1140" w:hanging="383"/>
        <w:spacing w:after="0" w:line="254" w:lineRule="auto"/>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72" w:lineRule="exact"/>
        <w:rPr>
          <w:rFonts w:ascii="Times New Roman" w:cs="Times New Roman" w:eastAsia="Times New Roman" w:hAnsi="Times New Roman"/>
          <w:sz w:val="16"/>
          <w:szCs w:val="16"/>
          <w:color w:val="auto"/>
        </w:rPr>
      </w:pPr>
    </w:p>
    <w:p>
      <w:pPr>
        <w:jc w:val="both"/>
        <w:ind w:left="1140" w:hanging="383"/>
        <w:spacing w:after="0" w:line="256" w:lineRule="auto"/>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70" w:lineRule="exact"/>
        <w:rPr>
          <w:rFonts w:ascii="Times New Roman" w:cs="Times New Roman" w:eastAsia="Times New Roman" w:hAnsi="Times New Roman"/>
          <w:sz w:val="16"/>
          <w:szCs w:val="16"/>
          <w:color w:val="auto"/>
        </w:rPr>
      </w:pPr>
    </w:p>
    <w:p>
      <w:pPr>
        <w:jc w:val="both"/>
        <w:ind w:left="1140" w:hanging="383"/>
        <w:spacing w:after="0" w:line="256" w:lineRule="auto"/>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payor is billed at a rate that exceeds the performing laboratory’s charges to the billing physician or supplier, and the performing laboratory could be at risk under false claims laws, described below, for causing the submission of a false claim;</w:t>
      </w:r>
    </w:p>
    <w:p>
      <w:pPr>
        <w:spacing w:after="0" w:line="70"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14-Day Rule, also known as the Medicare Date of Service Rule, which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w:t>
      </w:r>
    </w:p>
    <w:p>
      <w:pPr>
        <w:spacing w:after="0" w:line="69" w:lineRule="exact"/>
        <w:rPr>
          <w:rFonts w:ascii="Times New Roman" w:cs="Times New Roman" w:eastAsia="Times New Roman" w:hAnsi="Times New Roman"/>
          <w:sz w:val="16"/>
          <w:szCs w:val="16"/>
          <w:color w:val="auto"/>
        </w:rPr>
      </w:pPr>
    </w:p>
    <w:p>
      <w:pPr>
        <w:jc w:val="both"/>
        <w:ind w:left="1140" w:hanging="383"/>
        <w:spacing w:after="0" w:line="252" w:lineRule="auto"/>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14" w:lineRule="exact"/>
        <w:rPr>
          <w:sz w:val="20"/>
          <w:szCs w:val="20"/>
          <w:color w:val="auto"/>
        </w:rPr>
      </w:pPr>
    </w:p>
    <w:p>
      <w:pPr>
        <w:jc w:val="both"/>
        <w:ind w:left="1140"/>
        <w:spacing w:after="0" w:line="256" w:lineRule="auto"/>
        <w:rPr>
          <w:sz w:val="20"/>
          <w:szCs w:val="20"/>
          <w:color w:val="auto"/>
        </w:rPr>
      </w:pPr>
      <w:r>
        <w:rPr>
          <w:rFonts w:ascii="Arial" w:cs="Arial" w:eastAsia="Arial" w:hAnsi="Arial"/>
          <w:sz w:val="16"/>
          <w:szCs w:val="16"/>
          <w:color w:val="auto"/>
        </w:rPr>
        <w:t>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spacing w:after="0" w:line="72" w:lineRule="exact"/>
        <w:rPr>
          <w:sz w:val="20"/>
          <w:szCs w:val="20"/>
          <w:color w:val="auto"/>
        </w:rPr>
      </w:pPr>
    </w:p>
    <w:p>
      <w:pPr>
        <w:jc w:val="both"/>
        <w:ind w:left="1140" w:hanging="383"/>
        <w:spacing w:after="0" w:line="254"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267"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62"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72" w:lineRule="exact"/>
        <w:rPr>
          <w:rFonts w:ascii="Times New Roman" w:cs="Times New Roman" w:eastAsia="Times New Roman" w:hAnsi="Times New Roman"/>
          <w:sz w:val="16"/>
          <w:szCs w:val="16"/>
          <w:color w:val="auto"/>
        </w:rPr>
      </w:pPr>
    </w:p>
    <w:p>
      <w:pPr>
        <w:jc w:val="both"/>
        <w:ind w:left="1140" w:hanging="383"/>
        <w:spacing w:after="0" w:line="256"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70" w:lineRule="exact"/>
        <w:rPr>
          <w:rFonts w:ascii="Times New Roman" w:cs="Times New Roman" w:eastAsia="Times New Roman" w:hAnsi="Times New Roman"/>
          <w:sz w:val="16"/>
          <w:szCs w:val="16"/>
          <w:color w:val="auto"/>
        </w:rPr>
      </w:pPr>
    </w:p>
    <w:p>
      <w:pPr>
        <w:jc w:val="both"/>
        <w:ind w:left="1140" w:hanging="383"/>
        <w:spacing w:after="0" w:line="253"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72" w:lineRule="exact"/>
        <w:rPr>
          <w:rFonts w:ascii="Times New Roman" w:cs="Times New Roman" w:eastAsia="Times New Roman" w:hAnsi="Times New Roman"/>
          <w:sz w:val="16"/>
          <w:szCs w:val="16"/>
          <w:color w:val="auto"/>
        </w:rPr>
      </w:pPr>
    </w:p>
    <w:p>
      <w:pPr>
        <w:jc w:val="both"/>
        <w:ind w:left="1140" w:hanging="383"/>
        <w:spacing w:after="0" w:line="250"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payor”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spacing w:after="0" w:line="80"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payor, including private insurers;</w:t>
      </w:r>
    </w:p>
    <w:p>
      <w:pPr>
        <w:spacing w:after="0" w:line="62"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spacing w:after="0" w:line="48" w:lineRule="exact"/>
        <w:rPr>
          <w:rFonts w:ascii="Times New Roman" w:cs="Times New Roman" w:eastAsia="Times New Roman" w:hAnsi="Times New Roman"/>
          <w:sz w:val="16"/>
          <w:szCs w:val="16"/>
          <w:color w:val="auto"/>
        </w:rPr>
      </w:pPr>
    </w:p>
    <w:p>
      <w:pPr>
        <w:jc w:val="both"/>
        <w:ind w:left="1140" w:hanging="383"/>
        <w:spacing w:after="0" w:line="257"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264"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19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and authorities such as the Department of Justice, the U.S. Department of Health and Human Services ("HHS"), Office of Inspector General (the “OIG”), and CMS. Certain arrangements between clinical laboratories and referring physicians have been identified in fraud alerts issued by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34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growth of our business, including services we provide under our agreement with Natera,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disgorgement,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could be adversely affected by violations of the FCPA and other worldwide anti-bribery laws.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 and impact sales of and reimbursement for our tests.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payors and government payors,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Among other things, the ACA:</w:t>
      </w:r>
    </w:p>
    <w:p>
      <w:pPr>
        <w:spacing w:after="0" w:line="113" w:lineRule="exact"/>
        <w:rPr>
          <w:sz w:val="20"/>
          <w:szCs w:val="20"/>
          <w:color w:val="auto"/>
        </w:rPr>
      </w:pPr>
    </w:p>
    <w:p>
      <w:pPr>
        <w:jc w:val="both"/>
        <w:ind w:left="1140" w:hanging="383"/>
        <w:spacing w:after="0" w:line="266"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62"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2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There have been executive,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(the “IRA 2022”) into law, which among other things, extends enhanced subsidies for individuals purchasing health insurance coverage in ACA marketplaces through plan year 2025. The IRA 2022 also eliminates the “donut hole” under the Medicare Part D program beginning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2025 by significantly lowering the beneficiary maximum out-of-pocket cost and through a newly established manufacturer discount program.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future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1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until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APMs, and the Merit-based Incentive Payment System. Under both APMs and MIPS, performance data collected each performance year will affect Medicare payments in later years, including potentially reducing payments.</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Physician Fee Schedule are required to report to CMS, beginning in 2017 and every three years thereafter (or annually for “advanced diagnostic laboratory tests”), private payor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Beginning on January 1, 2018, CMS has begun using reported private payor pricing to periodically revise payment rates under the CLFS. Based on current law, between January 1, 2025 and March 31, 2025, applicable laboratories will be required to report on data collected during January 1, 2019 and June 30, 2019. This data will be utilized to determine 2025 to 2027 Clinical Laboratory Fee Schedule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w:t>
      </w:r>
    </w:p>
    <w:p>
      <w:pPr>
        <w:spacing w:after="0" w:line="14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Pursuant to the Consolidated Appropriations Act, the statutory phase-in of the payment reductions has been extended through 2026 with a 0% reduction cap for 2021-2023 and a 15% reduction cap for 2024 through 2026. It is unclear what impact new quality and payment programs, such as MACRA, or new pricing structures, such as those adopted under PAMA, may have on our business, financial condition, results of operations, or cash flows. We also anticipate there will continue to be proposals by legislators at both the federal and state levels, regulators and private payors to reduce costs while expanding individual healthcare benefits. Certain of these changes could impose additional limitations on the prices we will be able to charge for our tests, the coverage of or the amounts of reimbursement available for our tests from payors, including commercial payors and government payors. Therefore, even if favorable coverage and reimbursement status is attained, less favorable coverage policies and reimbursement rates may be implemented in the future.</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tax laws or regulations could adversely affect our business and financial condition.</w:t>
      </w:r>
    </w:p>
    <w:p>
      <w:pPr>
        <w:spacing w:after="0" w:line="19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On December 27, 2020, the Consolidated Appropriations Act, a coronavirus relief package that extended and expanded various tax provisions, was signed into law. The IRA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or results of operations. In addition, it is uncertain if and to what extent various states will conform to the Tax Cuts and Jobs Act, the CARES Act, IRA 2022, or any newly enacted federal tax legislation.</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w:t>
      </w:r>
    </w:p>
    <w:p>
      <w:pPr>
        <w:spacing w:after="0" w:line="17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spacing w:after="0" w:line="14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exit of the U.K. from the EU could lead to further regulatory divergence and require us to incur additional expenses in order to develop, manufacture, and commercialize our products and services.</w:t>
      </w:r>
    </w:p>
    <w:p>
      <w:pPr>
        <w:spacing w:after="0" w:line="1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The U.K. and the EU have signed the EU-U.K. Trade and Cooperation Agreement ("TCA"), which became provisionally applicable on January 1, 2021 and entered into force on May 1, 2021. This agreement provides details on how some aspects of the U.K. and EU's relationship will operate in the future. However, there are still many uncertainties. On May 26, 2022, the IVDR entered into application in the EU. However, the IVDR is not applicable in the U.K. In the U.K., IVDs are governed by the Medical Devices Regulations 2002 (SI 2002 No 618, as amended) (UK MDR 2002) which retains a regulatory framework similar to the framework set out by the IVDD. As a result, there will be some regulatory divergence in the U.K. from the EU in light of the fact that the CE marking process is set out in EU law, which no longer applies in the U.K. The U.K. has devised a new route to market culminating in a U.K. Conformity Assessed ("UKCA") mark to replace the CE Mark for placing IVDs on the market in Great Britain (“G.B.”). Northern Ireland will, however, continue to be covered by the regulations governing CE Marks (a CE Mark or a CE Mark and UKNI Mark will be required to place products on the Northern Ireland market). The EU legal framework, including the IVDR, remains applicable in Northern Ireland (any products placed on the market in the Northern Ireland must be compliant with EU law). However, all medical devices and IVDs must be registered with the MHRA, in order to be placed on the G.B. market.</w:t>
      </w:r>
    </w:p>
    <w:p>
      <w:pPr>
        <w:spacing w:after="0" w:line="15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U.K. Government has introduced legislation permitting EU CE Marks to continue to be recognized in G.B. for medical devices. The duration of such recognition depends on the EU regulatory framework on the basis of which the medical devices were previously CE marked. The risk classification of the devices also has an impact if they were CE marked in accordance with the IVDD. The U.K. government also intends to introduce legislation establishing reinforced post-market surveillance requirements in early 2024. The World Trade Organization ("WTO") published notification of the draft Post-market Surveillance Requirements Statutory Instrument (PMS SI) on July 26, 2023. These post-market surveillance requirements are anticipated to apply from mid-2024. The U.K. government is aiming to have core aspects of the future regulatory regime for medical devices applicable from July 1, 2025.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spacing w:after="0" w:line="14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UK government has recently amended the MDR 2002 to extend the recognition of CE marked medical devices in Great Britain. The amendments provide that CE marks will cease to be recognized in Great Britain on June 30, 2030, at the latest. Shorter deadlines may apply depending on the regulatory framework on the basis of which the CE mark is affixed and the classification of the medical devices. In addition, CE marks may cease to have affect before the deadlines established in the amended UK MDR – if CE Certificates of Conformity expire, or if related application of European Union law renders the CE Certificates of Conformity invalid at an earlier date. Accordingly, IVDs CE marked in accordance with the IVDD can be placed on the Great Britain market until May 26, 2025 if they are list A, list B, or self-testing IVDs or until June 30, 2030 if they are General IVDs which were self-assessed under the IVDD, for which the EU Declaration of Conformity was issued in accordance with the IVDD prior to May 26, 2022, and for which the conformity assessment under Regulation 217/746 on IVDs (IVDR) will require the involvement of a notified body. IVDs CE marked in accordance with the IVDR can be placed on the Great Britain market until June 30, 2030.</w:t>
      </w:r>
    </w:p>
    <w:p>
      <w:pPr>
        <w:spacing w:after="0" w:line="15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Should the U.K. or G.B.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business could be negatively impacted by environmental, social and corporate governance (ESG) matters or our reporting of such matters.</w:t>
      </w:r>
    </w:p>
    <w:p>
      <w:pPr>
        <w:spacing w:after="0" w:line="1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There is an increasing focus from certain investors, employees, partners, and other stakeholders concerning ESG matters. We currently do not report our environmental emissions and absent a legal requirement to do so we currently do not plan to report our environmental emissions, and lack of reporting could result in certain investors declining to invest in our common stock. As ESG best practices and reporting standards continue to develop, we may incur increasing costs relating to ESG monitoring and reporting and complying with ESG initiatives. For example, California recently enacted Assembly Bill 1305 (“AB 1305”). AB 1305, which became effective on January 1, 2024, creates new annual disclosure requirements regarding substantiation of certain climate-related statements, and, if we report climate related statements in the future, could increase our compliance and reporting costs. Additionally,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AB 1305 and the proposed SEC rules may also result in disclosures that certain investors or other stakeholders deem to negatively impact our reputation and/or that harm our stock price. In the event that we communicate certain initiatives or goals regarding ESG matters in the future, we could fail, or be perceived to fail, in our achievement of such initiatives or goals, or we could be criticized for the scope of such initiatives or goals. If we fail to satisfy the expectations of certain investors and other stakeholders or our initiatives are not executed as planned, our business, financial condition, results of operations, and prospects may be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8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3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commercial success will depend, in part, on our avoiding infringement of patents and the infringement, misappropriation, or other violation of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15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4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or potential competitors might claim that our tests infringe, misappropriate, or violate their intellectual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6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customers, suppliers, and others to indemnify and hold them harmless for damages arising from intellectual property infringement by us.</w:t>
      </w:r>
    </w:p>
    <w:p>
      <w:pPr>
        <w:spacing w:after="0" w:line="14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services or products in the future.</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5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39" w:lineRule="exact"/>
        <w:rPr>
          <w:sz w:val="20"/>
          <w:szCs w:val="20"/>
          <w:color w:val="auto"/>
        </w:rPr>
      </w:pPr>
    </w:p>
    <w:p>
      <w:pPr>
        <w:jc w:val="both"/>
        <w:ind w:left="760"/>
        <w:spacing w:after="0" w:line="280"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spacing w:after="0" w:line="31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2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3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a law of nature (for example, the relationship between particular genetic variants and cancer) are not themselves patentable. Precisely what constitutes a law of nature or abstract idea is uncertain, and it is possible that certain aspects of genetic diagnostic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defend or enforce our patent rights in foreign jurisdictions could result in substantial cost and divert our efforts and attention from other aspects of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8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w:t>
      </w:r>
    </w:p>
    <w:p>
      <w:pPr>
        <w:spacing w:after="0" w:line="19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2038, subject to any patent extensions that may be available for such patents. If patents are issued on our pending patent applications, the resulting patents are projected to expire on dates ranging from 2033 to 2042.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44"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spacing w:after="0" w:line="12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choose not to, or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5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3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spacing w:after="0" w:line="33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spacing w:after="0" w:line="81" w:lineRule="exact"/>
        <w:rPr>
          <w:sz w:val="20"/>
          <w:szCs w:val="20"/>
          <w:color w:val="auto"/>
        </w:rPr>
      </w:pPr>
    </w:p>
    <w:p>
      <w:pPr>
        <w:ind w:left="1140" w:hanging="383"/>
        <w:spacing w:after="0" w:line="285" w:lineRule="auto"/>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14"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spacing w:after="0" w:line="11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5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4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have participated, are participating and may in the future have to participate, in interference proceedings, derivation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or other post-grant proceedings declared by the USPTO or a foreign patent office that have resulted, and could in the future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providing additional methods for others to challenge our patents.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347"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We are involved in legal proceedings to defend and enforce our intellectual property rights and may in the future become involved in other lawsuits to protect or enforce our patents or other intellectual property, which could be expensive, time consuming, and unsuccessful.</w:t>
      </w:r>
    </w:p>
    <w:p>
      <w:pPr>
        <w:spacing w:after="0" w:line="13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we have filed complaints in the U.S. District Court for the District of Colorado against Foresight for patent infringement (see the section titled “Contingencies” in Note 9 to our unaudited condensed consolidated financial statements). Further, Foresight has filed inter partes review petitions with the USPTO in an effort to invalidate five of the seven patents that we are asserting against Foresight, and has alleged that it will file additional inter partes review petitions with the USPTO in an effort to invalidate the two other patents that we are asserting against Foresight. The USPTO has issued decisions granting inter partes reviews of four of the patents we are asserting against Foresight; the USPTO has yet to issue a decision regarding whether it will institute an inter partes review of the fifth patent. In addition, our patents or the patents of our licensors may become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inter partes 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35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have caused and may continue to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339"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r>
        <w:rPr>
          <w:rFonts w:ascii="Arial" w:cs="Arial" w:eastAsia="Arial" w:hAnsi="Arial"/>
          <w:sz w:val="16"/>
          <w:szCs w:val="16"/>
          <w:b w:val="1"/>
          <w:bCs w:val="1"/>
          <w:color w:val="auto"/>
        </w:rPr>
        <w:t>.</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6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3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4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sought or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services and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have chosen and in the future may choose not to seek patent protection in certain countries, and we will not have the benefit of patent protection in such countries.</w:t>
      </w:r>
    </w:p>
    <w:p>
      <w:pPr>
        <w:spacing w:after="0" w:line="35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Proceedings to defend or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41" w:lineRule="exact"/>
        <w:rPr>
          <w:sz w:val="20"/>
          <w:szCs w:val="20"/>
          <w:color w:val="auto"/>
        </w:rPr>
      </w:pPr>
    </w:p>
    <w:p>
      <w:pPr>
        <w:jc w:val="both"/>
        <w:ind w:left="760" w:right="20"/>
        <w:spacing w:after="0" w:line="270"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has resulted or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62"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10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15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technologies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7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19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1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w:t>
      </w:r>
    </w:p>
    <w:p>
      <w:pPr>
        <w:spacing w:after="0" w:line="11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may seek to raise additional capital through equity offerings, debt financings, collaborations, or licensing arrangements to continue executing on our long-term business plan. Additional funding may not be available to us on acceptable terms, or at all.</w:t>
      </w:r>
    </w:p>
    <w:p>
      <w:pPr>
        <w:spacing w:after="0" w:line="11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(including the Russia-Ukraine war, the state of war between Israel and Hamas and the risk of a larger regional conflict).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spacing w:after="0" w:line="35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0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48"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actual or anticipated fluctuations in our operating results;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tests or new tests that may emerge;</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announcements by us or our competitors relating to significant acquisitions, strategic partnerships, joint ventures, collaborations, capital commitments, or by or pertaining to our customers, particularly the VA MVP and Natera, as our largest customers;</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and amount of our investments in the growth of our business;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14"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additions or departures of key management or other personnel;</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inability to obtain additional funding;</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sales of our common stock by us or our stockholders in the future;</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health epidemics or pandemics, geopolitical conflicts, inflation, global supply chain issues, regional or national economic slowdowns, recessions, depressions or other economic downturns; and</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other general economic, industry, and market conditions, including factors unrelated to our operating performance or the operating performance of our competitors.</w:t>
      </w:r>
    </w:p>
    <w:p>
      <w:pPr>
        <w:spacing w:after="0" w:line="1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COVID-19 pandemic, global supply chain challenges, inflation and fears of economic recession, which have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5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Natera and other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59"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Unstable market, economic and geo-political conditions may have serious adverse consequences on our business, financial condition and stock price.</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global credit and financial markets have experienced extreme volatility and disruptions in the past. These disruptions can result in severely diminished liquidity and credit availability, increases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including actual or perceived changes in interest rates and inflation.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4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Other international and geo-political events could also have a serious adverse impact on our business. For instance, in February 2022, Russia initiated military action against Ukraine and the two countries are now at war. In addition, in October 2023, Hamas attacked Israel which provoked a state of war, and there is a risk of a larger conflict. In response, the United States and certain other countries imposed significant sanctions and trade actions against Russia and could impose further sanctions, trade restrictions, and other retaliatory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actions. While we cannot predict the broader consequences, the conflict and retaliatory and counter-retaliatory actions could continue to affect, and potentially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5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10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w:t>
      </w:r>
    </w:p>
    <w:p>
      <w:pPr>
        <w:spacing w:after="0" w:line="13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maintain our cash at financial institutions, often in balances that exceed federally insured limits.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As noted above, the FDIC took control of SVB, Signature Bank, Silvergate Capital Corp and First Republic Bank in the first half of 2023. While we did have an account at SVB, we were able to recover all of our deposits when the FDIC stepped in and allowed us to transfer funds held at SVB to another bank without incurring any losses.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Insiders may exercise significant control over our company and will be able to influence corporate matters.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19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December 31, 2023, we had 50,480,694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December 31, 2023 will become eligible for sale in the public market in the future, subject to certain legal and contractual limitations. Moreover, certain holders of shares of our common stock have the right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46"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39"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and under our at-the-market facility, could result in additional dilution of the percentage ownership of our stockholders and could cause the stock price of our common stock to decline.</w:t>
      </w:r>
    </w:p>
    <w:p>
      <w:pPr>
        <w:spacing w:after="0" w:line="13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4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0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p>
    <w:p>
      <w:pPr>
        <w:spacing w:after="0" w:line="19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of December 31, 2023, we had federal and state net operating loss carryforwards of approximately $285.5 million and approximately $274.7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1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63" w:lineRule="exact"/>
        <w:rPr>
          <w:sz w:val="20"/>
          <w:szCs w:val="20"/>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provide that directors may only be removed for cause;</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restrict the forum for certain litigation against us to Delaware; and</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1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33"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48" w:lineRule="exact"/>
        <w:rPr>
          <w:sz w:val="20"/>
          <w:szCs w:val="20"/>
          <w:color w:val="auto"/>
        </w:rPr>
      </w:pPr>
    </w:p>
    <w:p>
      <w:pPr>
        <w:ind w:left="1140" w:hanging="383"/>
        <w:spacing w:after="0"/>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any derivative action or proceeding brought on our behalf;</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breach of fiduciary duty;</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19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p>
    <w:p>
      <w:pPr>
        <w:spacing w:after="0" w:line="1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4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13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are a smaller reporting company, and any decision on our part to avail ourselves of certain reduced reporting and disclosure requirements applicable to smaller reporting companies could make our common stock less attractive to investors.</w:t>
      </w:r>
    </w:p>
    <w:p>
      <w:pPr>
        <w:spacing w:after="0" w:line="10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are a “smaller reporting company” as defined in the Exchange Act. We intend to take advantage of exemptions from various reporting requirements applicable to other public companies that are not smaller reporting companies, including scaled disclosure on executive compensation.</w:t>
      </w:r>
    </w:p>
    <w:p>
      <w:pPr>
        <w:spacing w:after="0" w:line="12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in the future, the accuracy and timing of our financial reporting may be adversely affected.</w:t>
      </w:r>
    </w:p>
    <w:p>
      <w:pPr>
        <w:spacing w:after="0" w:line="1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p>
    <w:p>
      <w:pPr>
        <w:spacing w:after="0" w:line="14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1C. Cybersecurity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Management and Strategy</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personal information, and Personal Health Information (“PHI”) (collectively, “Information Systems and Data”).</w:t>
      </w:r>
    </w:p>
    <w:p>
      <w:pPr>
        <w:spacing w:after="0" w:line="1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board of director’s audit committee and the internal cybersecurity team help identify, assess and manage the Company’s cybersecurity threats and risks, including through the use of our risk register. Our internal cybersecurity team includes our information security function, security management, engineering operations, legal, risk management and third-party service providers. Our cybersecurity team identifies and assesses risks from cybersecurity threats by monitoring and evaluating our threat environment and Personalis’ risk profile using various methods including, for example: using manual and automated tools, conducting scans of the threat environment, evaluating our and our industry’s risk profile, evaluating threats reported to us, conducting threat assessments, employee reporting, and regular reviews and internal and external audits.</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incident response plan, incident detection and response, disaster recovery and business continuity plans, risk assessments, network security controls, access controls, user management, asset management, hardware and data segregation, system monitoring and regular reviews.</w:t>
      </w:r>
    </w:p>
    <w:p>
      <w:pPr>
        <w:spacing w:after="0" w:line="13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assessment and management of material risks from cybersecurity threats are integrated into our overall risk management processes. For example, cybersecurity risk is addressed as a component of our enterprise risk management program and identified in our risk register. Additionally, the cybersecurity team monitors activity on a continual basis and works with security management to prioritize our risk profile and mitigate cybersecurity threats that are more likely to lead to a material impact to our business on a monthly basis; executive management evaluates material risks from cybersecurity threats against our overall business objectives on a periodic basis and reports to the audit committee of the board of directors, which evaluates our overall enterprise risk periodically.</w:t>
      </w:r>
    </w:p>
    <w:p>
      <w:pPr>
        <w:spacing w:after="0" w:line="15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use third-party service providers to assist us from time to time to identify, assess, and manage material risks from cybersecurity threats, including for example cybersecurity consultants, threat intelligence service providers, and professional services firms.</w:t>
      </w:r>
    </w:p>
    <w:p>
      <w:pPr>
        <w:spacing w:after="0" w:line="11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use third-party service providers to perform a variety of functions throughout our business, including, but not limited to infrastructure support and maintenance, supply chain resources, contracting services and software integrations. These vendors are reviewed as part of our vendor management program, including the management of cybersecurity risks associated with our use of these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4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For a description of the risks from cybersecurity threats that may materially affect the Company and how they may do so, see our risk factors under Part I, Item1A. Risk Factors in this Annual Report on Form 10-K, including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Governance</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board of directors addresses our cybersecurity risk management as part of its general oversight function. The board of directors’ audit committee is responsible for overseeing the Company’s cybersecurity risk management processes.</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Our cybersecurity risk assessment and management processes are implemented and maintained by certain of our management, including the Vice President of Informatics, who has more than 20 years of experience in information technology and oversees the Informatics department which includes the Company’s hardware, software, help desk, and cybersecurity team.</w:t>
      </w:r>
    </w:p>
    <w:p>
      <w:pPr>
        <w:spacing w:after="0" w:line="14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Vice President of Informatics reports to our Chief Financial Officer and is responsible for hiring appropriate personnel, helping to integrate cybersecurity risk considerations into our overall risk management strategy, and communicating key priorities to relevant personnel. The Vice President of Informatics is responsible for approving budgets, helping prepare for cybersecurity incidents, approving cybersecurity processes, and reviewing security assessments and other security-related reports.</w:t>
      </w:r>
    </w:p>
    <w:p>
      <w:pPr>
        <w:spacing w:after="0" w:line="13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cybersecurity incident response and vulnerability management processes are designed to escalate certain cybersecurity incidents to members of management depending on the circumstances, including the internal cybersecurity team and others, depending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severity. The cybersecurity team works with our incident response team to help the company mitigate and remediate cybersecurity incidents of which they are notified. In addition, our incident response processes include reporting to the audit committee of the board of directors for certain cybersecurity incidents.</w:t>
      </w:r>
    </w:p>
    <w:p>
      <w:pPr>
        <w:spacing w:after="0" w:line="12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board of directors receives periodic updates from certain members of the cybersecurity team concerning the Company’s significant cybersecurity threats and risk and the processes we have implemented to address them. The audit committee and board also have access to various reports, summaries or presentations related to cybersecurity threats, risk and mitigation.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8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Our corporate headquarters is located in Fremont, California, and comprise 100,000 square feet of space, pursuant to a lease that expires in 2036. The lease includes two options to extend the term for a period of five-years per option, at prevailing market rates. This facility is used for our CLIA-certified and CAP-accredited laboratory operations, research and development, and corporate functions.</w:t>
      </w:r>
    </w:p>
    <w:p>
      <w:pPr>
        <w:spacing w:after="0" w:line="14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also lease 31,280 square feet of space in Menlo Park, California, pursuant to a lease that expires in 2027. This facility was previously used for laboratory operations and our former corporate headquarters. We are actively marketing the space for sublease.</w:t>
      </w:r>
    </w:p>
    <w:p>
      <w:pPr>
        <w:spacing w:after="0" w:line="11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believe that our facilities are sufficient to meet our current and foreseeable future needs. We also believe we will be able to obtain additional space, as needed, on commercially reasonable terms.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See the disclosure under the heading "Contingencies" in Note 11 to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06"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color w:val="auto"/>
        </w:rPr>
        <w:t>PART II</w:t>
      </w:r>
    </w:p>
    <w:p>
      <w:pPr>
        <w:spacing w:after="0" w:line="221" w:lineRule="exact"/>
        <w:rPr>
          <w:sz w:val="20"/>
          <w:szCs w:val="20"/>
          <w:color w:val="auto"/>
        </w:rPr>
      </w:pPr>
    </w:p>
    <w:p>
      <w:pPr>
        <w:ind w:right="2040"/>
        <w:spacing w:after="0" w:line="484" w:lineRule="auto"/>
        <w:rPr>
          <w:sz w:val="20"/>
          <w:szCs w:val="20"/>
          <w:color w:val="auto"/>
        </w:rPr>
      </w:pPr>
      <w:r>
        <w:rPr>
          <w:rFonts w:ascii="Arial" w:cs="Arial" w:eastAsia="Arial" w:hAnsi="Arial"/>
          <w:sz w:val="16"/>
          <w:szCs w:val="16"/>
          <w:b w:val="1"/>
          <w:bCs w:val="1"/>
          <w:color w:val="auto"/>
        </w:rPr>
        <w:t xml:space="preserve">Item 5. Market for Registrant’s Common Equity, Related Stockholder Matters and Issuer Purchases of Equity Securities. </w:t>
      </w:r>
      <w:r>
        <w:rPr>
          <w:rFonts w:ascii="Arial" w:cs="Arial" w:eastAsia="Arial" w:hAnsi="Arial"/>
          <w:sz w:val="16"/>
          <w:szCs w:val="16"/>
          <w:b w:val="1"/>
          <w:bCs w:val="1"/>
          <w:i w:val="1"/>
          <w:iCs w:val="1"/>
          <w:color w:val="auto"/>
        </w:rPr>
        <w:t>Market Information</w:t>
      </w:r>
    </w:p>
    <w:p>
      <w:pPr>
        <w:ind w:left="760"/>
        <w:spacing w:after="0"/>
        <w:rPr>
          <w:sz w:val="20"/>
          <w:szCs w:val="20"/>
          <w:color w:val="auto"/>
        </w:rPr>
      </w:pPr>
      <w:r>
        <w:rPr>
          <w:rFonts w:ascii="Arial" w:cs="Arial" w:eastAsia="Arial" w:hAnsi="Arial"/>
          <w:sz w:val="16"/>
          <w:szCs w:val="16"/>
          <w:color w:val="auto"/>
        </w:rPr>
        <w:t>Our common stock is listed on The Nasdaq Global Market under the symbol “PSNL.”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w:t>
      </w:r>
    </w:p>
    <w:p>
      <w:pPr>
        <w:spacing w:after="0" w:line="179"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As of February 22, 2024, there were approximately 60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Policy</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not declared or paid any cash dividend on our common stock. We intend to retain any future earnings and do not expect to pay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8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accompanying notes and other financial information included elsewhere in this Annual Report on Form 10-K.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“Note Regarding Forward-Looking Statements” for a discussion of forward-looking statements and in Part I, Item 1A, “Risk Factors” for a discussion of factors that could cause actual results to differ materially from the results described in or implied by the forward-looking statements contained in the following discussion and elsewhere in this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develop and market advanced cancer genomic tests and analytics. Our tests and analytics are used by pharmaceutical companies for translational research, biomarker discovery, the development of personalized cancer therapies, and we expect in the near future, for clinical trial enrollment. Our advanced tests are used by physicians to detect cancer recurrence, monitor cancer evolution, and uncover insights for therapy selection. We also provide sequencing and data analysis services to support population sequencing initiatives.</w:t>
      </w:r>
    </w:p>
    <w:p>
      <w:pPr>
        <w:spacing w:after="0" w:line="13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Today, our products are routinely used by many of the largest oncology-focused pharmaceutical companies for analysis of patient samples in their clinical trials and drug development programs. Our advanced genomic sequencing and analytics also support the development of personalized cancer vaccines and other next-generation cancer immunotherapies. For example, we are providing genomic testing to Moderna, Inc. ("Moderna") in its ongoing clinical trials evaluating a personalized cancer vaccine. In addition, we partner with diagnostics companies by providing our advanced tumor profiling and analysis capabilities as an input to their products. More recently, we launched new diagnostic offerings for the clinical setting and, in November 2023, entered into an agreement with Tempus AI, Inc. (formerly known as Tempus Labs, Inc., and referred to herein as "Tempus") to commercialize NeXT Personal Dx in the clinical diagnostics market. Finally, we have also pursued non-cancer related business opportunities, specifically within the population sequencing market, by providing whole genome sequencing ("WGS") services under contract with the U.S. Department of Veterans Affairs Million Veteran Program ("VA MVP").</w:t>
      </w:r>
    </w:p>
    <w:p>
      <w:pPr>
        <w:spacing w:after="0" w:line="35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As part of one of our new strategies for 2023 and beyond, we are working with a growing number of leading cancer centers and world-class academic research institutions to build and publish the clinical evidence-base to support our products and our key indications, as well as to obtain reimbursement coverage from Medicare and other payors. Because of the ultra-high analytical sensitivity of our technology, we are initially focusing on three indications: breast cancer, lung cancer, and immunotherapy (IO) monitoring. We have collaborations with Cancer Research UK, University College London, and the Francis Crick Institute (the TRACERx study); The Royal Marsden; the Vall d'Hebron Institute of Oncology (VHIO); Duke University; the Dana-Farber Cancer Institute; University Medical Center Hamburg-Eppendorf (also known as UKE); and Criterium and the Academic Breast Cancer Consortium that will focus on building the evidence-base for our technology and these indications. If the key opinion leaders ("KOLs") we are collaborating with have a positive experience using our products, we are optimistic this will support broader use of our products by other KOLs, as well as clinicians in the future.</w:t>
      </w:r>
    </w:p>
    <w:p>
      <w:pPr>
        <w:spacing w:after="0" w:line="1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work in oncology is underpinned by our experience and capacity for next-generation sequencing at scale. We have the capacity to sequence and analyze over 300 trillion bases of DNA per week in our facility. We believe that our capacity is already larger than most cancer genomics companies, and we continue to build automation and other infrastructure to scale further as demand increases. To date, we have sequenced more than 385,000 human samples, of which more than 175,000 were whole human genomes.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 Highlights</w:t>
      </w:r>
    </w:p>
    <w:p>
      <w:pPr>
        <w:spacing w:after="0" w:line="19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Total revenue increased 13%, or $8.4 million, during 2023 compared to 2022, primarily driven by higher revenue from enterprise sales and pharma tests. Revenue from enterprise sales was $31.7 million in 2023 compared to $26.6 million in 2022, an increase of 19%. Revenue from pharma tests was $31.9 million in 2023 compared to $29.6 million in 2022, an increase of 8%.</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Key business accomplishments and financial updates in 2023 and early 2024 include:</w:t>
      </w:r>
    </w:p>
    <w:p>
      <w:pPr>
        <w:spacing w:after="0" w:line="181" w:lineRule="exact"/>
        <w:rPr>
          <w:sz w:val="20"/>
          <w:szCs w:val="20"/>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Received Medicare coverage for NeXT Dx.</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Amended Natera agreement to extend volume commitments through the end of 2024.</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Signed key partnership agreement with Tempus to commercialize NeXT Personal Dx in clinics or with oncologists.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Established a partnership with Myriad to market ImmunoID NeXT.</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Completed the NeXT Personal Dx (LDT) early access launch.</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Presented compelling early-stage lung cancer clinical MRD data with TRACERx for NeXT Personal.</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Signed commercial agreement with Moderna to leverage NeXT platform in personalized mRNA cancer vaccine clinical trials.</w:t>
      </w:r>
    </w:p>
    <w:p>
      <w:pPr>
        <w:spacing w:after="0" w:line="206"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Reduced cash burn through headcount reduction of nearly 50%, resulting in an estimated $35 million in annual cost savings. Continued efforts to reduce expenses across the board.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Performance</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believe there are several important factors that we expect to impact our operating performance and results of operations, including:</w:t>
      </w:r>
    </w:p>
    <w:p>
      <w:pPr>
        <w:sectPr>
          <w:pgSz w:w="11900" w:h="16838" w:orient="portrait"/>
          <w:cols w:equalWidth="0" w:num="1">
            <w:col w:w="11240"/>
          </w:cols>
          <w:pgMar w:left="320" w:top="387" w:right="339" w:bottom="1440" w:gutter="0" w:footer="0" w:header="0"/>
        </w:sectPr>
      </w:pPr>
    </w:p>
    <w:p>
      <w:pPr>
        <w:spacing w:after="0" w:line="181" w:lineRule="exact"/>
        <w:rPr>
          <w:sz w:val="20"/>
          <w:szCs w:val="20"/>
          <w:color w:val="auto"/>
        </w:rPr>
      </w:pPr>
    </w:p>
    <w:p>
      <w:pPr>
        <w:ind w:left="1140" w:hanging="383"/>
        <w:spacing w:after="0" w:line="266" w:lineRule="auto"/>
        <w:tabs>
          <w:tab w:leader="none" w:pos="1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The continued development of the market for genomic-based tests. </w:t>
      </w:r>
      <w:r>
        <w:rPr>
          <w:rFonts w:ascii="Arial" w:cs="Arial" w:eastAsia="Arial" w:hAnsi="Arial"/>
          <w:sz w:val="16"/>
          <w:szCs w:val="16"/>
          <w:color w:val="auto"/>
        </w:rPr>
        <w:t>companies, enterprise customers, and oncologists to continue to seek efficacious cancer therapies.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spacing w:after="0" w:line="286" w:lineRule="auto"/>
        <w:rPr>
          <w:sz w:val="20"/>
          <w:szCs w:val="20"/>
          <w:color w:val="auto"/>
        </w:rPr>
      </w:pPr>
      <w:r>
        <w:rPr>
          <w:rFonts w:ascii="Arial" w:cs="Arial" w:eastAsia="Arial" w:hAnsi="Arial"/>
          <w:sz w:val="16"/>
          <w:szCs w:val="16"/>
          <w:color w:val="auto"/>
        </w:rPr>
        <w:t>Our performance depends on the willingness of pharmaceutical more comprehensive molecular information to develop more</w:t>
      </w:r>
    </w:p>
    <w:p>
      <w:pPr>
        <w:spacing w:after="0" w:line="304" w:lineRule="exact"/>
        <w:rPr>
          <w:sz w:val="20"/>
          <w:szCs w:val="20"/>
          <w:color w:val="auto"/>
        </w:rPr>
      </w:pPr>
    </w:p>
    <w:p>
      <w:pPr>
        <w:sectPr>
          <w:pgSz w:w="11900" w:h="16838" w:orient="portrait"/>
          <w:cols w:equalWidth="0" w:num="2">
            <w:col w:w="6540" w:space="0"/>
            <w:col w:w="4700"/>
          </w:cols>
          <w:pgMar w:left="320" w:top="387" w:right="339" w:bottom="1440" w:gutter="0" w:footer="0" w:header="0"/>
          <w:type w:val="continuous"/>
        </w:sectPr>
      </w:pPr>
    </w:p>
    <w:p>
      <w:pPr>
        <w:jc w:val="both"/>
        <w:ind w:left="1140" w:hanging="383"/>
        <w:spacing w:after="0" w:line="254"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Increasing adoption of our products and solutions by existing customers. </w:t>
      </w:r>
      <w:r>
        <w:rPr>
          <w:rFonts w:ascii="Arial" w:cs="Arial" w:eastAsia="Arial" w:hAnsi="Arial"/>
          <w:sz w:val="16"/>
          <w:szCs w:val="16"/>
          <w:color w:val="auto"/>
        </w:rPr>
        <w:t>Our performance depends on our ability to retain and</w:t>
      </w:r>
      <w:r>
        <w:rPr>
          <w:rFonts w:ascii="Arial" w:cs="Arial" w:eastAsia="Arial" w:hAnsi="Arial"/>
          <w:sz w:val="16"/>
          <w:szCs w:val="16"/>
          <w:b w:val="1"/>
          <w:bCs w:val="1"/>
          <w:color w:val="auto"/>
        </w:rPr>
        <w:t xml:space="preserve"> </w:t>
      </w:r>
      <w:r>
        <w:rPr>
          <w:rFonts w:ascii="Arial" w:cs="Arial" w:eastAsia="Arial" w:hAnsi="Arial"/>
          <w:sz w:val="16"/>
          <w:szCs w:val="16"/>
          <w:color w:val="auto"/>
        </w:rPr>
        <w:t>broaden adoption with existing customers. Because our technology is novel, some customers begin using our products by initiating pilot studies involving a small number of samples to gain experience with our service. As a result, historically a significant portion of our revenue has come from existing customers. We believe that our ability to convert initial pilots into larger orders from existing customers has the potential to drive substantial long-term revenue. We expect there may be some variation in the number of samples they choose to test each quarter.</w:t>
      </w:r>
    </w:p>
    <w:p>
      <w:pPr>
        <w:spacing w:after="0" w:line="348"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Adoption of our products and solutions by new customers. </w:t>
      </w:r>
      <w:r>
        <w:rPr>
          <w:rFonts w:ascii="Arial" w:cs="Arial" w:eastAsia="Arial" w:hAnsi="Arial"/>
          <w:sz w:val="16"/>
          <w:szCs w:val="16"/>
          <w:color w:val="auto"/>
        </w:rPr>
        <w:t>While new customers initially may not account for significant revenue,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they have the potential to grow substantially over the long term as they gain confidence in our service. Our ability to engage new customers is critical to our long-term success. Our publications, posters and presentations at scientific conferences lead to engagement at the scientific level with potential customers who often make the initial decision to gain experience with our products. Accessing these new customers through scientific engagement and marketing to gain initial buy-in is critical to our success and gives us the opportunity to demonstrate the utility of our products.</w:t>
      </w:r>
    </w:p>
    <w:p>
      <w:pPr>
        <w:spacing w:after="0" w:line="140"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Our revenue and cost are affected by the volume of samples we receive from customers from period to period. </w:t>
      </w:r>
      <w:r>
        <w:rPr>
          <w:rFonts w:ascii="Arial" w:cs="Arial" w:eastAsia="Arial" w:hAnsi="Arial"/>
          <w:sz w:val="16"/>
          <w:szCs w:val="16"/>
          <w:color w:val="auto"/>
        </w:rPr>
        <w:t>The timing and size</w:t>
      </w:r>
      <w:r>
        <w:rPr>
          <w:rFonts w:ascii="Arial" w:cs="Arial" w:eastAsia="Arial" w:hAnsi="Arial"/>
          <w:sz w:val="16"/>
          <w:szCs w:val="16"/>
          <w:b w:val="1"/>
          <w:bCs w:val="1"/>
          <w:color w:val="auto"/>
        </w:rPr>
        <w:t xml:space="preserve"> </w:t>
      </w:r>
      <w:r>
        <w:rPr>
          <w:rFonts w:ascii="Arial" w:cs="Arial" w:eastAsia="Arial" w:hAnsi="Arial"/>
          <w:sz w:val="16"/>
          <w:szCs w:val="16"/>
          <w:color w:val="auto"/>
        </w:rPr>
        <w:t>of sample shipments received after orders have been placed is variable. Since sample shipments can be large, and are often received from a third party, the timing of arrival can be difficult to predict over the short term. Although our long-term performance is not affected, we see quarter-to-quarter volatility due to these factors. Samples arriving later than expected may not be processed in the quarter proposed and result in revenue the following quarter. Since many of our customers request defined turnaround times, we employ project managers to coordinate and manage the complex process from sample receipt to sequencing and delivery of results.</w:t>
      </w:r>
    </w:p>
    <w:p>
      <w:pPr>
        <w:spacing w:after="0" w:line="140"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Investment in product innovation to support growth. </w:t>
      </w:r>
      <w:r>
        <w:rPr>
          <w:rFonts w:ascii="Arial" w:cs="Arial" w:eastAsia="Arial" w:hAnsi="Arial"/>
          <w:sz w:val="16"/>
          <w:szCs w:val="16"/>
          <w:color w:val="auto"/>
        </w:rPr>
        <w:t>Investment in research and development, including the development of new</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and capabilities is critical to establish and maintain our leading position. We have invested significantly in our NeXT platform, introducing new products and additional capabilities. We are also collaborating with KOLs to support the clinical utility of our products. We believe this work is critical to gaining customer adoption and expect our investments in these efforts to continue.</w:t>
      </w:r>
    </w:p>
    <w:p>
      <w:pPr>
        <w:spacing w:after="0" w:line="150"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Leverage our operational infrastructure. </w:t>
      </w:r>
      <w:r>
        <w:rPr>
          <w:rFonts w:ascii="Arial" w:cs="Arial" w:eastAsia="Arial" w:hAnsi="Arial"/>
          <w:sz w:val="16"/>
          <w:szCs w:val="16"/>
          <w:color w:val="auto"/>
        </w:rPr>
        <w:t>We have invested significantly in our sample processing capabilities and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infrastructure. With our current operating model and infrastructure, we can increase our production and commercialize new generations of our products. We expect to grow our revenue and spread our costs over a larger volume of services.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derive our revenue from sales of advanced sequencing and analytics to the following four customer types:</w:t>
      </w:r>
    </w:p>
    <w:p>
      <w:pPr>
        <w:spacing w:after="0" w:line="181" w:lineRule="exact"/>
        <w:rPr>
          <w:sz w:val="20"/>
          <w:szCs w:val="20"/>
          <w:color w:val="auto"/>
        </w:rPr>
      </w:pPr>
    </w:p>
    <w:p>
      <w:pPr>
        <w:ind w:left="1140" w:hanging="383"/>
        <w:spacing w:after="0" w:line="285" w:lineRule="auto"/>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Pharma tests and services </w:t>
      </w:r>
      <w:r>
        <w:rPr>
          <w:rFonts w:ascii="Arial" w:cs="Arial" w:eastAsia="Arial" w:hAnsi="Arial"/>
          <w:sz w:val="16"/>
          <w:szCs w:val="16"/>
          <w:color w:val="auto"/>
        </w:rPr>
        <w:t>includes sales of testing services and data analytics for clinical trials and research to pharmaceutical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support of their drug development programs.</w:t>
      </w:r>
    </w:p>
    <w:p>
      <w:pPr>
        <w:spacing w:after="0" w:line="115"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Enterprise sales </w:t>
      </w:r>
      <w:r>
        <w:rPr>
          <w:rFonts w:ascii="Arial" w:cs="Arial" w:eastAsia="Arial" w:hAnsi="Arial"/>
          <w:sz w:val="16"/>
          <w:szCs w:val="16"/>
          <w:color w:val="auto"/>
        </w:rPr>
        <w:t>includes sales of tumor profiling and diagnostic tests directly to another business as an input to their products.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from our partnership with Natera to provide advanced tumor analysis for use in Natera's MRD test currently makes up substantially all of the revenue in this category.</w:t>
      </w:r>
    </w:p>
    <w:p>
      <w:pPr>
        <w:spacing w:after="0" w:line="14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includes sales of genomic sequencing services and data analytics to support large-scale genetic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All of the revenue in this category is from our partnership with the VA MVP.</w:t>
      </w:r>
    </w:p>
    <w:p>
      <w:pPr>
        <w:spacing w:after="0" w:line="115"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includes sales of genomic tests and analytics to universities and non-profits. This category also includes sales of diagnostics tests</w:t>
      </w:r>
      <w:r>
        <w:rPr>
          <w:rFonts w:ascii="Arial" w:cs="Arial" w:eastAsia="Arial" w:hAnsi="Arial"/>
          <w:sz w:val="16"/>
          <w:szCs w:val="16"/>
          <w:b w:val="1"/>
          <w:bCs w:val="1"/>
          <w:color w:val="auto"/>
        </w:rPr>
        <w:t xml:space="preserve"> </w:t>
      </w:r>
      <w:r>
        <w:rPr>
          <w:rFonts w:ascii="Arial" w:cs="Arial" w:eastAsia="Arial" w:hAnsi="Arial"/>
          <w:sz w:val="16"/>
          <w:szCs w:val="16"/>
          <w:color w:val="auto"/>
        </w:rPr>
        <w:t>ordered by healthcare providers for cancer patients, which was insignificant for periods presented.</w:t>
      </w:r>
    </w:p>
    <w:p>
      <w:pPr>
        <w:spacing w:after="0" w:line="11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ability to increase revenue will depend on our ability to further increase sales to these groups of customers, expand our customer base within each group, and expand our business in the clinical diagnostics market. To do this, we are developing a growing set of state-of-the-art services and products; advancing our operational infrastructure; building our regulatory credentials; focusing our marketing efforts on large pharmaceutical companies; building and publishing the clinical evidence-base to support our products and our key indications, as well as to obtain reimbursement coverage from Medicare and other payors; and seeking additional partnerships such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ours with Natera. We sell through a small direct sales force. In late 2023, we entered into an agreement with Tempus to commercialize NeXT Personal Dx in the clinical diagnostics market and will be leveraging Tempus' significantly larger sales force.</w:t>
      </w:r>
    </w:p>
    <w:p>
      <w:pPr>
        <w:spacing w:after="0" w:line="12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have one reportable segment from the sale of sequencing and data analysis services. Most of our revenue to date has been derived from sales in the United States.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9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variability in our gross margins over the medium-term due to fluctuations in customer mix and volume, investments in newer sequencing platforms and new capabilities such as automation of laboratory workflows, processing of diagnostic tests for the clinical market while we work to secure reimbursement, and costs related to our new Fremont facility. Over the long-term, we anticipate higher gross margins as growing revenue leads to economies of scale.</w:t>
      </w:r>
    </w:p>
    <w:p>
      <w:pPr>
        <w:spacing w:after="0" w:line="33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17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services and products and costs related to conducting studies and collaborations with partners to validate the clinical utility of our offerings.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 We include in research and development expenses the costs to further develop software we use to operate our laboratory, analyze the data it generates, and automate our operations.</w:t>
      </w:r>
    </w:p>
    <w:p>
      <w:pPr>
        <w:spacing w:after="0" w:line="34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expense our research and development costs in the period in which they are incurred. We expect research and development expenses to decrease as a result of our reductions in workforce initiated in 2023 and our closure of operations in China.</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Selling, general and administrative expenses have decreased significantly since the completion of our first quarter 2023 reduction in workforce.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 expect expenses to remain around this lower level over the next couple of years.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Lease Impairment</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recognized an impairment loss for operating lease right-of-use assets as a result of the change in use of our Menlo Park facility during the third quarter of 2023.</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Restructuring and Other Charges</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Restructuring and other charges consists of charges in connection with our two reductions in workforce initiated in 2023 and charges in connection with the closure of our China operations.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Interest income consists primarily of interest earned on our cash and cash equivalents and short-term investments. Interest expense is the recognition of imputed interest on noninterest bearing loans.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Other income (expense), net consists primarily of charges related to the issuance and remeasurement of warrants to Tempus during the year ended December 31, 2023. Otherwise, other income (expense), net consists primarily of foreign currency exchange gains and losses.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Trend Financial Information</w:t>
      </w:r>
    </w:p>
    <w:p>
      <w:pPr>
        <w:spacing w:after="0" w:line="19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selected consolidated financial data should be read in conjunction with the consolidated financial statements and the notes thereto in Item 8 of Part II, “Financial Statements and Supplementary Data”. Historical results are not necessarily indicative of future results.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jc w:val="center"/>
              <w:ind w:left="4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3"/>
        </w:trPr>
        <w:tc>
          <w:tcPr>
            <w:tcW w:w="4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180" w:type="dxa"/>
            <w:vAlign w:val="bottom"/>
            <w:gridSpan w:val="4"/>
          </w:tcPr>
          <w:p>
            <w:pPr>
              <w:jc w:val="center"/>
              <w:spacing w:after="0"/>
              <w:rPr>
                <w:sz w:val="20"/>
                <w:szCs w:val="20"/>
                <w:color w:val="auto"/>
              </w:rPr>
            </w:pPr>
            <w:r>
              <w:rPr>
                <w:rFonts w:ascii="Arial" w:cs="Arial" w:eastAsia="Arial" w:hAnsi="Arial"/>
                <w:sz w:val="16"/>
                <w:szCs w:val="16"/>
                <w:color w:val="auto"/>
                <w:w w:val="91"/>
              </w:rPr>
              <w:t>except share and</w:t>
            </w:r>
          </w:p>
        </w:tc>
        <w:tc>
          <w:tcPr>
            <w:tcW w:w="1380" w:type="dxa"/>
            <w:vAlign w:val="bottom"/>
            <w:gridSpan w:val="5"/>
          </w:tcPr>
          <w:p>
            <w:pPr>
              <w:jc w:val="right"/>
              <w:ind w:right="200"/>
              <w:spacing w:after="0"/>
              <w:rPr>
                <w:sz w:val="20"/>
                <w:szCs w:val="20"/>
                <w:color w:val="auto"/>
              </w:rPr>
            </w:pPr>
            <w:r>
              <w:rPr>
                <w:rFonts w:ascii="Arial" w:cs="Arial" w:eastAsia="Arial" w:hAnsi="Arial"/>
                <w:sz w:val="16"/>
                <w:szCs w:val="16"/>
                <w:color w:val="auto"/>
                <w:w w:val="99"/>
              </w:rPr>
              <w:t>per share data)</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73,481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65,047</w:t>
            </w:r>
          </w:p>
        </w:tc>
        <w:tc>
          <w:tcPr>
            <w:tcW w:w="3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85,494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78,648</w:t>
            </w:r>
          </w:p>
        </w:tc>
        <w:tc>
          <w:tcPr>
            <w:tcW w:w="340" w:type="dxa"/>
            <w:vAlign w:val="bottom"/>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65,207</w:t>
            </w: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4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55,273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51,697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53,837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58,534</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43,127</w:t>
            </w:r>
          </w:p>
        </w:tc>
      </w:tr>
      <w:tr>
        <w:trPr>
          <w:trHeight w:val="215"/>
        </w:trPr>
        <w:tc>
          <w:tcPr>
            <w:tcW w:w="472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64,776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64,912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49,312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28,568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22,418</w:t>
            </w:r>
          </w:p>
        </w:tc>
      </w:tr>
      <w:tr>
        <w:trPr>
          <w:trHeight w:val="217"/>
        </w:trPr>
        <w:tc>
          <w:tcPr>
            <w:tcW w:w="4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49,726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63,969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47,698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33,692</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22,080</w:t>
            </w:r>
          </w:p>
        </w:tc>
      </w:tr>
      <w:tr>
        <w:trPr>
          <w:trHeight w:val="215"/>
        </w:trPr>
        <w:tc>
          <w:tcPr>
            <w:tcW w:w="4720" w:type="dxa"/>
            <w:vAlign w:val="bottom"/>
          </w:tcPr>
          <w:p>
            <w:pPr>
              <w:ind w:left="200"/>
              <w:spacing w:after="0"/>
              <w:rPr>
                <w:sz w:val="20"/>
                <w:szCs w:val="20"/>
                <w:color w:val="auto"/>
              </w:rPr>
            </w:pPr>
            <w:r>
              <w:rPr>
                <w:rFonts w:ascii="Arial" w:cs="Arial" w:eastAsia="Arial" w:hAnsi="Arial"/>
                <w:sz w:val="16"/>
                <w:szCs w:val="16"/>
                <w:color w:val="auto"/>
              </w:rPr>
              <w:t>Lease impairment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5,565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7"/>
        </w:trPr>
        <w:tc>
          <w:tcPr>
            <w:tcW w:w="4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and other charges</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8,077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10"/>
        </w:trPr>
        <w:tc>
          <w:tcPr>
            <w:tcW w:w="472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Total costs and expenses</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183,417</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180,578</w:t>
            </w: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150,847</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120,794</w:t>
            </w:r>
          </w:p>
        </w:tc>
        <w:tc>
          <w:tcPr>
            <w:tcW w:w="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87,625</w:t>
            </w:r>
          </w:p>
        </w:tc>
      </w:tr>
      <w:tr>
        <w:trPr>
          <w:trHeight w:val="209"/>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(109,936 )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(115,531 )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(65,353 )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(42,146 )</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(22,418 )</w:t>
            </w: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5,901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2,396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1,620</w:t>
            </w:r>
          </w:p>
        </w:tc>
      </w:tr>
      <w:tr>
        <w:trPr>
          <w:trHeight w:val="217"/>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(1,133 )</w:t>
            </w: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Loss on debt extinguishment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(1,704 )</w:t>
            </w:r>
          </w:p>
        </w:tc>
      </w:tr>
      <w:tr>
        <w:trPr>
          <w:trHeight w:val="217"/>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(4,068 )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(24 )</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(1,440 )</w:t>
            </w: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(108,213 )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(113,275 )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(65,212 )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(41,223 )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(25,075 )</w:t>
            </w:r>
          </w:p>
        </w:tc>
      </w:tr>
      <w:tr>
        <w:trPr>
          <w:trHeight w:val="217"/>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w:t>
            </w:r>
          </w:p>
        </w:tc>
      </w:tr>
      <w:tr>
        <w:trPr>
          <w:trHeight w:val="210"/>
        </w:trPr>
        <w:tc>
          <w:tcPr>
            <w:tcW w:w="4720" w:type="dxa"/>
            <w:vAlign w:val="bottom"/>
          </w:tcPr>
          <w:p>
            <w:pPr>
              <w:ind w:left="56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(108,296 )</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(113,315 )</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(65,226 )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(41,280 )</w:t>
            </w:r>
          </w:p>
        </w:tc>
        <w:tc>
          <w:tcPr>
            <w:tcW w:w="3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(25,084 )</w:t>
            </w:r>
          </w:p>
        </w:tc>
      </w:tr>
      <w:tr>
        <w:trPr>
          <w:trHeight w:val="20"/>
        </w:trPr>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share, basic and 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(2.48 )</w:t>
            </w:r>
          </w:p>
        </w:tc>
        <w:tc>
          <w:tcPr>
            <w:tcW w:w="3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(1.20 )</w:t>
            </w:r>
          </w:p>
        </w:tc>
        <w:tc>
          <w:tcPr>
            <w:tcW w:w="340" w:type="dxa"/>
            <w:vAlign w:val="bottom"/>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(1.39 )</w:t>
            </w:r>
          </w:p>
        </w:tc>
      </w:tr>
      <w:tr>
        <w:trPr>
          <w:trHeight w:val="210"/>
        </w:trPr>
        <w:tc>
          <w:tcPr>
            <w:tcW w:w="47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Weighted-average shares outstanding, basic and diluted</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48,175,201</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45,704,805</w:t>
            </w: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43,886,730</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34,374,903</w:t>
            </w:r>
          </w:p>
        </w:tc>
        <w:tc>
          <w:tcPr>
            <w:tcW w:w="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18,011,470</w:t>
            </w: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58"/>
        </w:trPr>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83"/>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r>
      <w:tr>
        <w:trPr>
          <w:trHeight w:val="183"/>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and short-term investments</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114,179</w:t>
            </w:r>
          </w:p>
        </w:tc>
        <w:tc>
          <w:tcPr>
            <w:tcW w:w="360" w:type="dxa"/>
            <w:vAlign w:val="bottom"/>
            <w:gridSpan w:val="3"/>
            <w:shd w:val="clear" w:color="auto" w:fill="CFF0FC"/>
          </w:tcPr>
          <w:p>
            <w:pPr>
              <w:ind w:left="260"/>
              <w:spacing w:after="0"/>
              <w:rPr>
                <w:sz w:val="20"/>
                <w:szCs w:val="20"/>
                <w:color w:val="auto"/>
              </w:rPr>
            </w:pPr>
            <w:r>
              <w:rPr>
                <w:rFonts w:ascii="Arial" w:cs="Arial" w:eastAsia="Arial" w:hAnsi="Arial"/>
                <w:sz w:val="16"/>
                <w:szCs w:val="16"/>
                <w:color w:val="auto"/>
                <w:w w:val="89"/>
              </w:rPr>
              <w:t>$</w:t>
            </w:r>
          </w:p>
        </w:tc>
        <w:tc>
          <w:tcPr>
            <w:tcW w:w="1040" w:type="dxa"/>
            <w:vAlign w:val="bottom"/>
            <w:gridSpan w:val="3"/>
            <w:shd w:val="clear" w:color="auto" w:fill="CFF0FC"/>
          </w:tcPr>
          <w:p>
            <w:pPr>
              <w:jc w:val="right"/>
              <w:ind w:right="59"/>
              <w:spacing w:after="0"/>
              <w:rPr>
                <w:sz w:val="20"/>
                <w:szCs w:val="20"/>
                <w:color w:val="auto"/>
              </w:rPr>
            </w:pPr>
            <w:r>
              <w:rPr>
                <w:rFonts w:ascii="Arial" w:cs="Arial" w:eastAsia="Arial" w:hAnsi="Arial"/>
                <w:sz w:val="16"/>
                <w:szCs w:val="16"/>
                <w:color w:val="auto"/>
              </w:rPr>
              <w:t>167,658</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287,064</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203,290</w:t>
            </w:r>
          </w:p>
        </w:tc>
        <w:tc>
          <w:tcPr>
            <w:tcW w:w="34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128,289</w:t>
            </w: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99,510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59"/>
              <w:spacing w:after="0"/>
              <w:rPr>
                <w:sz w:val="20"/>
                <w:szCs w:val="20"/>
                <w:color w:val="auto"/>
              </w:rPr>
            </w:pPr>
            <w:r>
              <w:rPr>
                <w:rFonts w:ascii="Arial" w:cs="Arial" w:eastAsia="Arial" w:hAnsi="Arial"/>
                <w:sz w:val="16"/>
                <w:szCs w:val="16"/>
                <w:color w:val="auto"/>
              </w:rPr>
              <w:t>166,568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286,918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180,083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89,616</w:t>
            </w:r>
          </w:p>
        </w:tc>
      </w:tr>
      <w:tr>
        <w:trPr>
          <w:trHeight w:val="217"/>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225,099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59"/>
              <w:spacing w:after="0"/>
              <w:rPr>
                <w:sz w:val="20"/>
                <w:szCs w:val="20"/>
                <w:color w:val="auto"/>
              </w:rPr>
            </w:pPr>
            <w:r>
              <w:rPr>
                <w:rFonts w:ascii="Arial" w:cs="Arial" w:eastAsia="Arial" w:hAnsi="Arial"/>
                <w:sz w:val="16"/>
                <w:szCs w:val="16"/>
                <w:color w:val="auto"/>
              </w:rPr>
              <w:t>292,700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396,528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244,842</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157,291</w:t>
            </w: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2,880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59"/>
              <w:spacing w:after="0"/>
              <w:rPr>
                <w:sz w:val="20"/>
                <w:szCs w:val="20"/>
                <w:color w:val="auto"/>
              </w:rPr>
            </w:pPr>
            <w:r>
              <w:rPr>
                <w:rFonts w:ascii="Arial" w:cs="Arial" w:eastAsia="Arial" w:hAnsi="Arial"/>
                <w:sz w:val="16"/>
                <w:szCs w:val="16"/>
                <w:color w:val="auto"/>
              </w:rPr>
              <w:t>2,596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7"/>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obligations</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48,424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59"/>
              <w:spacing w:after="0"/>
              <w:rPr>
                <w:sz w:val="20"/>
                <w:szCs w:val="20"/>
                <w:color w:val="auto"/>
              </w:rPr>
            </w:pPr>
            <w:r>
              <w:rPr>
                <w:rFonts w:ascii="Arial" w:cs="Arial" w:eastAsia="Arial" w:hAnsi="Arial"/>
                <w:sz w:val="16"/>
                <w:szCs w:val="16"/>
                <w:color w:val="auto"/>
              </w:rPr>
              <w:t>41,430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54,914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9,261</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639</w:t>
            </w: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95,658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59"/>
              <w:spacing w:after="0"/>
              <w:rPr>
                <w:sz w:val="20"/>
                <w:szCs w:val="20"/>
                <w:color w:val="auto"/>
              </w:rPr>
            </w:pPr>
            <w:r>
              <w:rPr>
                <w:rFonts w:ascii="Arial" w:cs="Arial" w:eastAsia="Arial" w:hAnsi="Arial"/>
                <w:sz w:val="16"/>
                <w:szCs w:val="16"/>
                <w:color w:val="auto"/>
              </w:rPr>
              <w:t>74,561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86,227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49,897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50,601</w:t>
            </w:r>
          </w:p>
        </w:tc>
      </w:tr>
      <w:tr>
        <w:trPr>
          <w:trHeight w:val="217"/>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129,441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59"/>
              <w:spacing w:after="0"/>
              <w:rPr>
                <w:sz w:val="20"/>
                <w:szCs w:val="20"/>
                <w:color w:val="auto"/>
              </w:rPr>
            </w:pPr>
            <w:r>
              <w:rPr>
                <w:rFonts w:ascii="Arial" w:cs="Arial" w:eastAsia="Arial" w:hAnsi="Arial"/>
                <w:sz w:val="16"/>
                <w:szCs w:val="16"/>
                <w:color w:val="auto"/>
              </w:rPr>
              <w:t>218,139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310,301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194,945</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106,690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-3059430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-3059430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-3059430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-3059430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-2219325</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-2219325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-2219325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-2219325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-1936750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-1936750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-1936750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-1936750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-1628140</wp:posOffset>
            </wp:positionV>
            <wp:extent cx="857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-1628140</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-1628140</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-1628140</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6"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This section generally discusses 2023 and 2022 items and year-to-year comparisons between 2023 and 2022. Discussions of 2021 items and year-to-year comparisons between 2022 and 2021 that are not included in this Annual Report on Form 10-K can be found in “Management’s Discussion and Analysis of Financial Condition and Results of Operations” in our Annual Report on Form 10-K for the year ended December 31, 2022, filed with the SEC on February 23, 2023, which is incorporated by reference herein.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 by customer type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99"/>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Change</w:t>
            </w:r>
          </w:p>
        </w:tc>
      </w:tr>
      <w:tr>
        <w:trPr>
          <w:trHeight w:val="183"/>
        </w:trPr>
        <w:tc>
          <w:tcPr>
            <w:tcW w:w="4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2023 vs 2022</w:t>
            </w: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 vs 2021</w:t>
            </w:r>
          </w:p>
        </w:tc>
      </w:tr>
      <w:tr>
        <w:trPr>
          <w:trHeight w:val="210"/>
        </w:trPr>
        <w:tc>
          <w:tcPr>
            <w:tcW w:w="4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Pharma tests and services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31,904</w:t>
            </w:r>
          </w:p>
        </w:tc>
        <w:tc>
          <w:tcPr>
            <w:tcW w:w="520" w:type="dxa"/>
            <w:vAlign w:val="bottom"/>
            <w:gridSpan w:val="3"/>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29,552</w:t>
            </w: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30,282</w:t>
            </w:r>
          </w:p>
        </w:tc>
        <w:tc>
          <w:tcPr>
            <w:tcW w:w="120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rPr>
              <w:t>8%</w:t>
            </w:r>
          </w:p>
        </w:tc>
        <w:tc>
          <w:tcPr>
            <w:tcW w:w="1600" w:type="dxa"/>
            <w:vAlign w:val="bottom"/>
            <w:gridSpan w:val="3"/>
            <w:shd w:val="clear" w:color="auto" w:fill="CFF0FC"/>
          </w:tcPr>
          <w:p>
            <w:pPr>
              <w:jc w:val="center"/>
              <w:ind w:left="261"/>
              <w:spacing w:after="0"/>
              <w:rPr>
                <w:sz w:val="20"/>
                <w:szCs w:val="20"/>
                <w:color w:val="auto"/>
              </w:rPr>
            </w:pPr>
            <w:r>
              <w:rPr>
                <w:rFonts w:ascii="Arial" w:cs="Arial" w:eastAsia="Arial" w:hAnsi="Arial"/>
                <w:sz w:val="16"/>
                <w:szCs w:val="16"/>
                <w:color w:val="auto"/>
              </w:rPr>
              <w:t>(2%)</w:t>
            </w:r>
          </w:p>
        </w:tc>
      </w:tr>
      <w:tr>
        <w:trPr>
          <w:trHeight w:val="215"/>
        </w:trPr>
        <w:tc>
          <w:tcPr>
            <w:tcW w:w="4300" w:type="dxa"/>
            <w:vAlign w:val="bottom"/>
          </w:tcPr>
          <w:p>
            <w:pPr>
              <w:ind w:left="20"/>
              <w:spacing w:after="0"/>
              <w:rPr>
                <w:sz w:val="20"/>
                <w:szCs w:val="20"/>
                <w:color w:val="auto"/>
              </w:rPr>
            </w:pPr>
            <w:r>
              <w:rPr>
                <w:rFonts w:ascii="Arial" w:cs="Arial" w:eastAsia="Arial" w:hAnsi="Arial"/>
                <w:sz w:val="16"/>
                <w:szCs w:val="16"/>
                <w:color w:val="auto"/>
              </w:rPr>
              <w:t>Enterprise sales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31,729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26,641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8,774</w:t>
            </w:r>
          </w:p>
        </w:tc>
        <w:tc>
          <w:tcPr>
            <w:tcW w:w="1200" w:type="dxa"/>
            <w:vAlign w:val="bottom"/>
            <w:gridSpan w:val="2"/>
          </w:tcPr>
          <w:p>
            <w:pPr>
              <w:jc w:val="center"/>
              <w:ind w:left="239"/>
              <w:spacing w:after="0"/>
              <w:rPr>
                <w:sz w:val="20"/>
                <w:szCs w:val="20"/>
                <w:color w:val="auto"/>
              </w:rPr>
            </w:pPr>
            <w:r>
              <w:rPr>
                <w:rFonts w:ascii="Arial" w:cs="Arial" w:eastAsia="Arial" w:hAnsi="Arial"/>
                <w:sz w:val="16"/>
                <w:szCs w:val="16"/>
                <w:color w:val="auto"/>
                <w:w w:val="99"/>
              </w:rPr>
              <w:t>19%</w:t>
            </w:r>
          </w:p>
        </w:tc>
        <w:tc>
          <w:tcPr>
            <w:tcW w:w="1600" w:type="dxa"/>
            <w:vAlign w:val="bottom"/>
            <w:gridSpan w:val="3"/>
          </w:tcPr>
          <w:p>
            <w:pPr>
              <w:jc w:val="center"/>
              <w:ind w:left="261"/>
              <w:spacing w:after="0"/>
              <w:rPr>
                <w:sz w:val="20"/>
                <w:szCs w:val="20"/>
                <w:color w:val="auto"/>
              </w:rPr>
            </w:pPr>
            <w:r>
              <w:rPr>
                <w:rFonts w:ascii="Arial" w:cs="Arial" w:eastAsia="Arial" w:hAnsi="Arial"/>
                <w:sz w:val="16"/>
                <w:szCs w:val="16"/>
                <w:color w:val="auto"/>
              </w:rPr>
              <w:t>204%</w:t>
            </w:r>
          </w:p>
        </w:tc>
      </w:tr>
      <w:tr>
        <w:trPr>
          <w:trHeight w:val="217"/>
        </w:trPr>
        <w:tc>
          <w:tcPr>
            <w:tcW w:w="4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Population sequencing</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8,443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45,671</w:t>
            </w:r>
          </w:p>
        </w:tc>
        <w:tc>
          <w:tcPr>
            <w:tcW w:w="120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w w:val="99"/>
              </w:rPr>
              <w:t>11%</w:t>
            </w:r>
          </w:p>
        </w:tc>
        <w:tc>
          <w:tcPr>
            <w:tcW w:w="1600" w:type="dxa"/>
            <w:vAlign w:val="bottom"/>
            <w:gridSpan w:val="3"/>
            <w:shd w:val="clear" w:color="auto" w:fill="CFF0FC"/>
          </w:tcPr>
          <w:p>
            <w:pPr>
              <w:jc w:val="center"/>
              <w:ind w:left="241"/>
              <w:spacing w:after="0"/>
              <w:rPr>
                <w:sz w:val="20"/>
                <w:szCs w:val="20"/>
                <w:color w:val="auto"/>
              </w:rPr>
            </w:pPr>
            <w:r>
              <w:rPr>
                <w:rFonts w:ascii="Arial" w:cs="Arial" w:eastAsia="Arial" w:hAnsi="Arial"/>
                <w:sz w:val="16"/>
                <w:szCs w:val="16"/>
                <w:color w:val="auto"/>
              </w:rPr>
              <w:t>(82%)</w:t>
            </w:r>
          </w:p>
        </w:tc>
      </w:tr>
      <w:tr>
        <w:trPr>
          <w:trHeight w:val="216"/>
        </w:trPr>
        <w:tc>
          <w:tcPr>
            <w:tcW w:w="430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411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767</w:t>
            </w:r>
          </w:p>
        </w:tc>
        <w:tc>
          <w:tcPr>
            <w:tcW w:w="1200" w:type="dxa"/>
            <w:vAlign w:val="bottom"/>
            <w:gridSpan w:val="2"/>
          </w:tcPr>
          <w:p>
            <w:pPr>
              <w:jc w:val="center"/>
              <w:ind w:left="239"/>
              <w:spacing w:after="0"/>
              <w:rPr>
                <w:sz w:val="20"/>
                <w:szCs w:val="20"/>
                <w:color w:val="auto"/>
              </w:rPr>
            </w:pPr>
            <w:r>
              <w:rPr>
                <w:rFonts w:ascii="Arial" w:cs="Arial" w:eastAsia="Arial" w:hAnsi="Arial"/>
                <w:sz w:val="16"/>
                <w:szCs w:val="16"/>
                <w:color w:val="auto"/>
              </w:rPr>
              <w:t>6%</w:t>
            </w:r>
          </w:p>
        </w:tc>
        <w:tc>
          <w:tcPr>
            <w:tcW w:w="1600" w:type="dxa"/>
            <w:vAlign w:val="bottom"/>
            <w:gridSpan w:val="3"/>
          </w:tcPr>
          <w:p>
            <w:pPr>
              <w:jc w:val="center"/>
              <w:ind w:left="241"/>
              <w:spacing w:after="0"/>
              <w:rPr>
                <w:sz w:val="20"/>
                <w:szCs w:val="20"/>
                <w:color w:val="auto"/>
              </w:rPr>
            </w:pPr>
            <w:r>
              <w:rPr>
                <w:rFonts w:ascii="Arial" w:cs="Arial" w:eastAsia="Arial" w:hAnsi="Arial"/>
                <w:sz w:val="16"/>
                <w:szCs w:val="16"/>
                <w:color w:val="auto"/>
              </w:rPr>
              <w:t>(46%)</w:t>
            </w:r>
          </w:p>
        </w:tc>
      </w:tr>
      <w:tr>
        <w:trPr>
          <w:trHeight w:val="249"/>
        </w:trPr>
        <w:tc>
          <w:tcPr>
            <w:tcW w:w="4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73,481</w:t>
            </w: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65,047</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85,494</w:t>
            </w:r>
          </w:p>
        </w:tc>
        <w:tc>
          <w:tcPr>
            <w:tcW w:w="1200" w:type="dxa"/>
            <w:vAlign w:val="bottom"/>
            <w:tcBorders>
              <w:bottom w:val="single" w:sz="8" w:color="CFF0FC"/>
            </w:tcBorders>
            <w:gridSpan w:val="2"/>
            <w:shd w:val="clear" w:color="auto" w:fill="CFF0FC"/>
          </w:tcPr>
          <w:p>
            <w:pPr>
              <w:jc w:val="center"/>
              <w:ind w:left="239"/>
              <w:spacing w:after="0"/>
              <w:rPr>
                <w:sz w:val="20"/>
                <w:szCs w:val="20"/>
                <w:color w:val="auto"/>
              </w:rPr>
            </w:pPr>
            <w:r>
              <w:rPr>
                <w:rFonts w:ascii="Arial" w:cs="Arial" w:eastAsia="Arial" w:hAnsi="Arial"/>
                <w:sz w:val="16"/>
                <w:szCs w:val="16"/>
                <w:color w:val="auto"/>
                <w:w w:val="99"/>
              </w:rPr>
              <w:t>13%</w:t>
            </w:r>
          </w:p>
        </w:tc>
        <w:tc>
          <w:tcPr>
            <w:tcW w:w="1600" w:type="dxa"/>
            <w:vAlign w:val="bottom"/>
            <w:tcBorders>
              <w:bottom w:val="single" w:sz="8" w:color="CFF0FC"/>
            </w:tcBorders>
            <w:gridSpan w:val="3"/>
            <w:shd w:val="clear" w:color="auto" w:fill="CFF0FC"/>
          </w:tcPr>
          <w:p>
            <w:pPr>
              <w:jc w:val="center"/>
              <w:ind w:left="241"/>
              <w:spacing w:after="0"/>
              <w:rPr>
                <w:sz w:val="20"/>
                <w:szCs w:val="20"/>
                <w:color w:val="auto"/>
              </w:rPr>
            </w:pPr>
            <w:r>
              <w:rPr>
                <w:rFonts w:ascii="Arial" w:cs="Arial" w:eastAsia="Arial" w:hAnsi="Arial"/>
                <w:sz w:val="16"/>
                <w:szCs w:val="16"/>
                <w:color w:val="auto"/>
              </w:rPr>
              <w:t>(24%)</w:t>
            </w:r>
          </w:p>
        </w:tc>
      </w:tr>
      <w:tr>
        <w:trPr>
          <w:trHeight w:val="613"/>
        </w:trPr>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59</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51"/>
        </w:trPr>
        <w:tc>
          <w:tcPr>
            <w:tcW w:w="4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-916305</wp:posOffset>
            </wp:positionV>
            <wp:extent cx="93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-899160</wp:posOffset>
            </wp:positionV>
            <wp:extent cx="939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-916305</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-899160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-916305</wp:posOffset>
            </wp:positionV>
            <wp:extent cx="85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-899160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customers that made up at least 10% of total revenue in each year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114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2021</w:t>
            </w: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Natera, Inc.</w:t>
            </w:r>
          </w:p>
        </w:tc>
        <w:tc>
          <w:tcPr>
            <w:tcW w:w="1140" w:type="dxa"/>
            <w:vAlign w:val="bottom"/>
            <w:shd w:val="clear" w:color="auto" w:fill="CFF0FC"/>
          </w:tcPr>
          <w:p>
            <w:pPr>
              <w:jc w:val="center"/>
              <w:ind w:left="221"/>
              <w:spacing w:after="0"/>
              <w:rPr>
                <w:sz w:val="20"/>
                <w:szCs w:val="20"/>
                <w:color w:val="auto"/>
              </w:rPr>
            </w:pPr>
            <w:r>
              <w:rPr>
                <w:rFonts w:ascii="Arial" w:cs="Arial" w:eastAsia="Arial" w:hAnsi="Arial"/>
                <w:sz w:val="16"/>
                <w:szCs w:val="16"/>
                <w:color w:val="auto"/>
                <w:w w:val="99"/>
              </w:rPr>
              <w:t>43%</w:t>
            </w:r>
          </w:p>
        </w:tc>
        <w:tc>
          <w:tcPr>
            <w:tcW w:w="1880" w:type="dxa"/>
            <w:vAlign w:val="bottom"/>
            <w:gridSpan w:val="3"/>
            <w:shd w:val="clear" w:color="auto" w:fill="CFF0FC"/>
          </w:tcPr>
          <w:p>
            <w:pPr>
              <w:jc w:val="center"/>
              <w:ind w:left="361"/>
              <w:spacing w:after="0"/>
              <w:rPr>
                <w:sz w:val="20"/>
                <w:szCs w:val="20"/>
                <w:color w:val="auto"/>
              </w:rPr>
            </w:pPr>
            <w:r>
              <w:rPr>
                <w:rFonts w:ascii="Arial" w:cs="Arial" w:eastAsia="Arial" w:hAnsi="Arial"/>
                <w:sz w:val="16"/>
                <w:szCs w:val="16"/>
                <w:color w:val="auto"/>
                <w:w w:val="99"/>
              </w:rPr>
              <w:t>41%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center"/>
              <w:ind w:right="221"/>
              <w:spacing w:after="0"/>
              <w:rPr>
                <w:sz w:val="20"/>
                <w:szCs w:val="20"/>
                <w:color w:val="auto"/>
              </w:rPr>
            </w:pPr>
            <w:r>
              <w:rPr>
                <w:rFonts w:ascii="Arial" w:cs="Arial" w:eastAsia="Arial" w:hAnsi="Arial"/>
                <w:sz w:val="16"/>
                <w:szCs w:val="16"/>
                <w:color w:val="auto"/>
                <w:w w:val="99"/>
              </w:rPr>
              <w:t>10%</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VA MVP</w:t>
            </w:r>
          </w:p>
        </w:tc>
        <w:tc>
          <w:tcPr>
            <w:tcW w:w="1140" w:type="dxa"/>
            <w:vAlign w:val="bottom"/>
          </w:tcPr>
          <w:p>
            <w:pPr>
              <w:jc w:val="center"/>
              <w:ind w:left="221"/>
              <w:spacing w:after="0"/>
              <w:rPr>
                <w:sz w:val="20"/>
                <w:szCs w:val="20"/>
                <w:color w:val="auto"/>
              </w:rPr>
            </w:pPr>
            <w:r>
              <w:rPr>
                <w:rFonts w:ascii="Arial" w:cs="Arial" w:eastAsia="Arial" w:hAnsi="Arial"/>
                <w:sz w:val="16"/>
                <w:szCs w:val="16"/>
                <w:color w:val="auto"/>
                <w:w w:val="99"/>
              </w:rPr>
              <w:t>13%</w:t>
            </w:r>
          </w:p>
        </w:tc>
        <w:tc>
          <w:tcPr>
            <w:tcW w:w="1880" w:type="dxa"/>
            <w:vAlign w:val="bottom"/>
            <w:gridSpan w:val="3"/>
          </w:tcPr>
          <w:p>
            <w:pPr>
              <w:jc w:val="center"/>
              <w:ind w:left="361"/>
              <w:spacing w:after="0"/>
              <w:rPr>
                <w:sz w:val="20"/>
                <w:szCs w:val="20"/>
                <w:color w:val="auto"/>
              </w:rPr>
            </w:pPr>
            <w:r>
              <w:rPr>
                <w:rFonts w:ascii="Arial" w:cs="Arial" w:eastAsia="Arial" w:hAnsi="Arial"/>
                <w:sz w:val="16"/>
                <w:szCs w:val="16"/>
                <w:color w:val="auto"/>
                <w:w w:val="99"/>
              </w:rPr>
              <w:t>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21"/>
              <w:spacing w:after="0"/>
              <w:rPr>
                <w:sz w:val="20"/>
                <w:szCs w:val="20"/>
                <w:color w:val="auto"/>
              </w:rPr>
            </w:pPr>
            <w:r>
              <w:rPr>
                <w:rFonts w:ascii="Arial" w:cs="Arial" w:eastAsia="Arial" w:hAnsi="Arial"/>
                <w:sz w:val="16"/>
                <w:szCs w:val="16"/>
                <w:color w:val="auto"/>
                <w:w w:val="99"/>
              </w:rPr>
              <w:t>53%</w:t>
            </w:r>
          </w:p>
        </w:tc>
      </w:tr>
      <w:tr>
        <w:trPr>
          <w:trHeight w:val="217"/>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Merck &amp; Co., Inc.</w:t>
            </w:r>
          </w:p>
        </w:tc>
        <w:tc>
          <w:tcPr>
            <w:tcW w:w="1140" w:type="dxa"/>
            <w:vAlign w:val="bottom"/>
            <w:shd w:val="clear" w:color="auto" w:fill="CFF0FC"/>
          </w:tcPr>
          <w:p>
            <w:pPr>
              <w:jc w:val="center"/>
              <w:ind w:left="221"/>
              <w:spacing w:after="0"/>
              <w:rPr>
                <w:sz w:val="20"/>
                <w:szCs w:val="20"/>
                <w:color w:val="auto"/>
              </w:rPr>
            </w:pPr>
            <w:r>
              <w:rPr>
                <w:rFonts w:ascii="Arial" w:cs="Arial" w:eastAsia="Arial" w:hAnsi="Arial"/>
                <w:sz w:val="16"/>
                <w:szCs w:val="16"/>
                <w:color w:val="auto"/>
              </w:rPr>
              <w:t>*</w:t>
            </w:r>
          </w:p>
        </w:tc>
        <w:tc>
          <w:tcPr>
            <w:tcW w:w="1880" w:type="dxa"/>
            <w:vAlign w:val="bottom"/>
            <w:gridSpan w:val="3"/>
            <w:shd w:val="clear" w:color="auto" w:fill="CFF0FC"/>
          </w:tcPr>
          <w:p>
            <w:pPr>
              <w:jc w:val="center"/>
              <w:ind w:left="361"/>
              <w:spacing w:after="0"/>
              <w:rPr>
                <w:sz w:val="20"/>
                <w:szCs w:val="20"/>
                <w:color w:val="auto"/>
              </w:rPr>
            </w:pPr>
            <w:r>
              <w:rPr>
                <w:rFonts w:ascii="Arial" w:cs="Arial" w:eastAsia="Arial" w:hAnsi="Arial"/>
                <w:sz w:val="16"/>
                <w:szCs w:val="16"/>
                <w:color w:val="auto"/>
                <w:w w:val="99"/>
              </w:rPr>
              <w:t>11%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center"/>
              <w:ind w:right="201"/>
              <w:spacing w:after="0"/>
              <w:rPr>
                <w:sz w:val="20"/>
                <w:szCs w:val="20"/>
                <w:color w:val="auto"/>
              </w:rPr>
            </w:pPr>
            <w:r>
              <w:rPr>
                <w:rFonts w:ascii="Arial" w:cs="Arial" w:eastAsia="Arial" w:hAnsi="Arial"/>
                <w:sz w:val="16"/>
                <w:szCs w:val="16"/>
                <w:color w:val="auto"/>
                <w:w w:val="95"/>
              </w:rPr>
              <w:t>*</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 Less than 10% of revenue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17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Pharma tests and services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Revenue from pharma tests and services increased 8%, or $2.4 million, in 2023. Growth from new customers drove the revenue increase. Notably, three customers that were either new in 2023 or 2022, accounted for an increase of $3.8 million in revenue as these customers selected our advanced genomic tests for their clinical trials and research projects. Additionally, revenue from one of our customers developing personalized cancer therapies increased by $2.3 million. Those increases were partially offset by decreases in revenue from multiple customers due to non-recurring projects and variability in timing and spending levels on clinical trial projects in general.</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Enterprise sales</w:t>
      </w:r>
    </w:p>
    <w:p>
      <w:pPr>
        <w:spacing w:after="0" w:line="17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Revenue from enterprise sales increased 19%, or $5.1 million, in 2023. This was due to an increase in the volume of samples we tested for Natera, partially offset by lower selling prices. The number of samples we processed for Natera increased by over 55% in 2023.</w:t>
      </w:r>
    </w:p>
    <w:p>
      <w:pPr>
        <w:spacing w:after="0" w:line="11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amended our agreement with Natera during the fourth quarter of 2023 to extend minimum volume commitments through the end of 2024. Previously, Natera's volume commitments extended only through the first quarter of 2024. In addition, we plan to introduce a lower-cost version of our exome product offering for Natera in the first half of 2024 in order to support their price requirements, and we expect our total revenue from Natera in 2024 to decline, due to the lower prices.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Population sequencing</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Population sequencing revenue is made up entirely of sales to the VA MVP. The increase in revenue was driven by an increase in samples we tested, which offset a nearly 50% reduction in selling prices in 2023 as compared to 2022.</w:t>
      </w:r>
    </w:p>
    <w:p>
      <w:pPr>
        <w:spacing w:after="0" w:line="11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Revenue recognized each period is also impacted by timing of our fulfillment of samples under each annual task order. Our annual task orders received in 2023, 2022, and 2021 were $7.5 million, $10.0 million, and $9.7 million, respectively. Our contract with the VA MVP does not include specific testing turnaround times. Therefore, we have the ability to modulate the volume of samples processed from the VA MVP up or down to complement sample volumes from other customers, which can vary from period to period. As of the end of 2023, our remaining unfulfilled task orders amounted to $7.4 million, which we expect to recognize as revenue within the next 12 months.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Change</w:t>
            </w:r>
          </w:p>
        </w:tc>
      </w:tr>
      <w:tr>
        <w:trPr>
          <w:trHeight w:val="183"/>
        </w:trPr>
        <w:tc>
          <w:tcPr>
            <w:tcW w:w="4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rPr>
              <w:t>2023 vs 2022</w:t>
            </w: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 vs 2021</w:t>
            </w:r>
          </w:p>
        </w:tc>
      </w:tr>
      <w:tr>
        <w:trPr>
          <w:trHeight w:val="183"/>
        </w:trPr>
        <w:tc>
          <w:tcPr>
            <w:tcW w:w="4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55,273</w:t>
            </w: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51,697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53,837</w:t>
            </w:r>
          </w:p>
        </w:tc>
        <w:tc>
          <w:tcPr>
            <w:tcW w:w="120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rPr>
              <w:t>7%</w:t>
            </w:r>
          </w:p>
        </w:tc>
        <w:tc>
          <w:tcPr>
            <w:tcW w:w="1600" w:type="dxa"/>
            <w:vAlign w:val="bottom"/>
            <w:gridSpan w:val="3"/>
            <w:shd w:val="clear" w:color="auto" w:fill="CFF0FC"/>
          </w:tcPr>
          <w:p>
            <w:pPr>
              <w:jc w:val="center"/>
              <w:ind w:left="261"/>
              <w:spacing w:after="0"/>
              <w:rPr>
                <w:sz w:val="20"/>
                <w:szCs w:val="20"/>
                <w:color w:val="auto"/>
              </w:rPr>
            </w:pPr>
            <w:r>
              <w:rPr>
                <w:rFonts w:ascii="Arial" w:cs="Arial" w:eastAsia="Arial" w:hAnsi="Arial"/>
                <w:sz w:val="16"/>
                <w:szCs w:val="16"/>
                <w:color w:val="auto"/>
              </w:rPr>
              <w:t>(4%)</w:t>
            </w:r>
          </w:p>
        </w:tc>
      </w:tr>
      <w:tr>
        <w:trPr>
          <w:trHeight w:val="215"/>
        </w:trPr>
        <w:tc>
          <w:tcPr>
            <w:tcW w:w="43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8"/>
                <w:szCs w:val="18"/>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64,776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64,912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49,312</w:t>
            </w:r>
          </w:p>
        </w:tc>
        <w:tc>
          <w:tcPr>
            <w:tcW w:w="1200" w:type="dxa"/>
            <w:vAlign w:val="bottom"/>
            <w:gridSpan w:val="2"/>
          </w:tcPr>
          <w:p>
            <w:pPr>
              <w:jc w:val="center"/>
              <w:ind w:left="259"/>
              <w:spacing w:after="0"/>
              <w:rPr>
                <w:sz w:val="20"/>
                <w:szCs w:val="20"/>
                <w:color w:val="auto"/>
              </w:rPr>
            </w:pPr>
            <w:r>
              <w:rPr>
                <w:rFonts w:ascii="Arial" w:cs="Arial" w:eastAsia="Arial" w:hAnsi="Arial"/>
                <w:sz w:val="16"/>
                <w:szCs w:val="16"/>
                <w:color w:val="auto"/>
              </w:rPr>
              <w:t>(0%)</w:t>
            </w:r>
          </w:p>
        </w:tc>
        <w:tc>
          <w:tcPr>
            <w:tcW w:w="1600" w:type="dxa"/>
            <w:vAlign w:val="bottom"/>
            <w:gridSpan w:val="3"/>
          </w:tcPr>
          <w:p>
            <w:pPr>
              <w:jc w:val="center"/>
              <w:ind w:left="241"/>
              <w:spacing w:after="0"/>
              <w:rPr>
                <w:sz w:val="20"/>
                <w:szCs w:val="20"/>
                <w:color w:val="auto"/>
              </w:rPr>
            </w:pPr>
            <w:r>
              <w:rPr>
                <w:rFonts w:ascii="Arial" w:cs="Arial" w:eastAsia="Arial" w:hAnsi="Arial"/>
                <w:sz w:val="16"/>
                <w:szCs w:val="16"/>
                <w:color w:val="auto"/>
                <w:w w:val="99"/>
              </w:rPr>
              <w:t>32%</w:t>
            </w:r>
          </w:p>
        </w:tc>
      </w:tr>
      <w:tr>
        <w:trPr>
          <w:trHeight w:val="217"/>
        </w:trPr>
        <w:tc>
          <w:tcPr>
            <w:tcW w:w="4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49,726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63,969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47,698</w:t>
            </w:r>
          </w:p>
        </w:tc>
        <w:tc>
          <w:tcPr>
            <w:tcW w:w="120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rPr>
              <w:t>(22%)</w:t>
            </w:r>
          </w:p>
        </w:tc>
        <w:tc>
          <w:tcPr>
            <w:tcW w:w="1600" w:type="dxa"/>
            <w:vAlign w:val="bottom"/>
            <w:gridSpan w:val="3"/>
            <w:shd w:val="clear" w:color="auto" w:fill="CFF0FC"/>
          </w:tcPr>
          <w:p>
            <w:pPr>
              <w:jc w:val="center"/>
              <w:ind w:left="241"/>
              <w:spacing w:after="0"/>
              <w:rPr>
                <w:sz w:val="20"/>
                <w:szCs w:val="20"/>
                <w:color w:val="auto"/>
              </w:rPr>
            </w:pPr>
            <w:r>
              <w:rPr>
                <w:rFonts w:ascii="Arial" w:cs="Arial" w:eastAsia="Arial" w:hAnsi="Arial"/>
                <w:sz w:val="16"/>
                <w:szCs w:val="16"/>
                <w:color w:val="auto"/>
                <w:w w:val="99"/>
              </w:rPr>
              <w:t>34%</w:t>
            </w:r>
          </w:p>
        </w:tc>
      </w:tr>
      <w:tr>
        <w:trPr>
          <w:trHeight w:val="216"/>
        </w:trPr>
        <w:tc>
          <w:tcPr>
            <w:tcW w:w="4300" w:type="dxa"/>
            <w:vAlign w:val="bottom"/>
          </w:tcPr>
          <w:p>
            <w:pPr>
              <w:ind w:left="20"/>
              <w:spacing w:after="0"/>
              <w:rPr>
                <w:sz w:val="20"/>
                <w:szCs w:val="20"/>
                <w:color w:val="auto"/>
              </w:rPr>
            </w:pPr>
            <w:r>
              <w:rPr>
                <w:rFonts w:ascii="Arial" w:cs="Arial" w:eastAsia="Arial" w:hAnsi="Arial"/>
                <w:sz w:val="16"/>
                <w:szCs w:val="16"/>
                <w:color w:val="auto"/>
              </w:rPr>
              <w:t>Lease impairment</w:t>
            </w:r>
          </w:p>
        </w:tc>
        <w:tc>
          <w:tcPr>
            <w:tcW w:w="260" w:type="dxa"/>
            <w:vAlign w:val="bottom"/>
          </w:tcPr>
          <w:p>
            <w:pPr>
              <w:spacing w:after="0"/>
              <w:rPr>
                <w:sz w:val="18"/>
                <w:szCs w:val="18"/>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5,565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4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80" w:type="dxa"/>
            <w:vAlign w:val="bottom"/>
          </w:tcPr>
          <w:p>
            <w:pPr>
              <w:jc w:val="center"/>
              <w:ind w:left="122"/>
              <w:spacing w:after="0"/>
              <w:rPr>
                <w:sz w:val="20"/>
                <w:szCs w:val="20"/>
                <w:color w:val="auto"/>
              </w:rPr>
            </w:pPr>
            <w:r>
              <w:rPr>
                <w:rFonts w:ascii="Arial" w:cs="Arial" w:eastAsia="Arial" w:hAnsi="Arial"/>
                <w:sz w:val="16"/>
                <w:szCs w:val="16"/>
                <w:color w:val="auto"/>
                <w:w w:val="96"/>
              </w:rPr>
              <w:t>NM</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216"/>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Restructuring and other charges</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8,077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center"/>
              <w:ind w:left="122"/>
              <w:spacing w:after="0"/>
              <w:rPr>
                <w:sz w:val="20"/>
                <w:szCs w:val="20"/>
                <w:color w:val="auto"/>
              </w:rPr>
            </w:pPr>
            <w:r>
              <w:rPr>
                <w:rFonts w:ascii="Arial" w:cs="Arial" w:eastAsia="Arial" w:hAnsi="Arial"/>
                <w:sz w:val="16"/>
                <w:szCs w:val="16"/>
                <w:color w:val="auto"/>
                <w:w w:val="96"/>
              </w:rPr>
              <w:t>NM</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NM</w:t>
            </w:r>
          </w:p>
        </w:tc>
      </w:tr>
      <w:tr>
        <w:trPr>
          <w:trHeight w:val="209"/>
        </w:trPr>
        <w:tc>
          <w:tcPr>
            <w:tcW w:w="4300" w:type="dxa"/>
            <w:vAlign w:val="bottom"/>
          </w:tcPr>
          <w:p>
            <w:pPr>
              <w:ind w:left="200"/>
              <w:spacing w:after="0"/>
              <w:rPr>
                <w:sz w:val="20"/>
                <w:szCs w:val="20"/>
                <w:color w:val="auto"/>
              </w:rPr>
            </w:pPr>
            <w:r>
              <w:rPr>
                <w:rFonts w:ascii="Arial" w:cs="Arial" w:eastAsia="Arial" w:hAnsi="Arial"/>
                <w:sz w:val="16"/>
                <w:szCs w:val="16"/>
                <w:color w:val="auto"/>
              </w:rPr>
              <w:t>Total costs and expenses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183,417</w:t>
            </w:r>
          </w:p>
        </w:tc>
        <w:tc>
          <w:tcPr>
            <w:tcW w:w="40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180,578</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150,847</w:t>
            </w:r>
          </w:p>
        </w:tc>
        <w:tc>
          <w:tcPr>
            <w:tcW w:w="1200" w:type="dxa"/>
            <w:vAlign w:val="bottom"/>
            <w:gridSpan w:val="2"/>
          </w:tcPr>
          <w:p>
            <w:pPr>
              <w:jc w:val="center"/>
              <w:ind w:left="239"/>
              <w:spacing w:after="0"/>
              <w:rPr>
                <w:sz w:val="20"/>
                <w:szCs w:val="20"/>
                <w:color w:val="auto"/>
              </w:rPr>
            </w:pPr>
            <w:r>
              <w:rPr>
                <w:rFonts w:ascii="Arial" w:cs="Arial" w:eastAsia="Arial" w:hAnsi="Arial"/>
                <w:sz w:val="16"/>
                <w:szCs w:val="16"/>
                <w:color w:val="auto"/>
              </w:rPr>
              <w:t>2%</w:t>
            </w:r>
          </w:p>
        </w:tc>
        <w:tc>
          <w:tcPr>
            <w:tcW w:w="1600" w:type="dxa"/>
            <w:vAlign w:val="bottom"/>
            <w:gridSpan w:val="3"/>
          </w:tcPr>
          <w:p>
            <w:pPr>
              <w:jc w:val="center"/>
              <w:ind w:left="241"/>
              <w:spacing w:after="0"/>
              <w:rPr>
                <w:sz w:val="20"/>
                <w:szCs w:val="20"/>
                <w:color w:val="auto"/>
              </w:rPr>
            </w:pPr>
            <w:r>
              <w:rPr>
                <w:rFonts w:ascii="Arial" w:cs="Arial" w:eastAsia="Arial" w:hAnsi="Arial"/>
                <w:sz w:val="16"/>
                <w:szCs w:val="16"/>
                <w:color w:val="auto"/>
                <w:w w:val="99"/>
              </w:rPr>
              <w:t>20%</w:t>
            </w:r>
          </w:p>
        </w:tc>
      </w:tr>
      <w:tr>
        <w:trPr>
          <w:trHeight w:val="20"/>
        </w:trPr>
        <w:tc>
          <w:tcPr>
            <w:tcW w:w="4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-170815</wp:posOffset>
            </wp:positionV>
            <wp:extent cx="939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-170815</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increase in cost of revenue of 7%, or $3.6 million, was primarily due to higher revenue levels (revenue increased 13% over the same period), partially offset by dedication of more laboratory resources to support sample processing required for clinical evidence generation, which is a non-revenue generating activity and thus reported as R&amp;D expense. Specific components of the increase were a $4.9 million increase in direct material costs due to higher revenue levels, a $2.0 million increase in facilities and equipment costs (partly due to movement of our laboratory from our prior Menlo Park facility to the new Fremont facility), and a $2.0 million increase in laboratory supplies and consumables (enterprise customer orders require more supplies to process as compared to other customer categories); partially offset by a $5.3 million decrease in shared laboratory costs due to greater usage of our laboratory capacity for R&amp;D activities.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Research and development expenses remained flat in 2023 as compared to 2022. Increases in costs associated with clinical evidence generation and collaborations, and increases in facility costs (as a result of the R&amp;D function moving into our Fremont facility during 2023), were offset by cost savings from our reductions in workforce initiated in 2023.</w:t>
      </w:r>
    </w:p>
    <w:p>
      <w:pPr>
        <w:spacing w:after="0" w:line="13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Specific offsetting components of research and development expense include a $5.0 million increase in sample processing costs incurred in our laboratory for product development, collaborations, and clinical evidence generation, and a $2.2 million increase in facilities costs; offset by a $7.3 million decrease in personnel-related costs driven by our reductions in workforce.</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decrease in selling, general and administrative expenses of 22%, or $14.2 million was primarily due to cost savings from our reductions in workforce initiated in 2023.</w:t>
      </w:r>
    </w:p>
    <w:p>
      <w:pPr>
        <w:spacing w:after="0" w:line="11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Specific components of the decrease were a $11.7 million decrease in personnel-related costs driven by our reductions in workforce, a $5.1 million decrease in facilities costs as a result of the R&amp;D function and additional lab teams moving into our Fremont facility and consequently receiving a share of such facility costs that were previously allocated to SG&amp;A, and a $1.5 million decrease in professional services; partially offset by a $2.9 million increase in depreciation of office-related fixtures and furniture (driven by our Fremont headquarters), a $1.0 million increase in software and subscriptions costs, and a $0.2 million increase in marketing costs such as trade shows expenses.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Lease impairment</w:t>
      </w:r>
    </w:p>
    <w:p>
      <w:pPr>
        <w:spacing w:after="0" w:line="19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During the third quarter of 2023, we completed the move of our laboratory operations from our Menlo Park facility to our Fremont facility and began actively marketing the Menlo Park space for sublease. Accordingly, we evaluated the ongoing value of the operating lease right-of-use asset associated with the Menlo Park facility. Based on this evaluation, we determined that the right-of-use asset with a carrying amount of $6.7 million was no longer recoverable and was impaired and wrote it down to its estimated fair value of $1.1 million, which resulted in a noncash impairment loss of $5.6 million. Estimated fair value was based on expected future sublease cash flows (with the assistance of a third-party real estate broker), net of brokerage commissions and estimated tenant incentives, discounted at a market rate of return on similar assets. The estimation of fair value also included expected downtime prior to the commencement of a future sublease.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Restructuring and other charges</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During 2023, we initiated two rounds of workforce reductions to reduce our cash burn and increase operating efficiencies. Combined, our headcount was reduced by almost 50% from 2022 levels. We also closed our China operations.</w:t>
      </w:r>
    </w:p>
    <w:p>
      <w:pPr>
        <w:spacing w:after="0" w:line="12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$8.1 million in restructuring and other charges recognized in 2023 is comprised of $7.5 million in one-time employee termination benefits (including costs related to termination of our former China employees) and $0.6 million of other noncash charges (primarily asset disposals and impairments in connection with the closure of our China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Interest Expense and Other Income (Expense),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Change</w:t>
            </w:r>
          </w:p>
        </w:tc>
      </w:tr>
      <w:tr>
        <w:trPr>
          <w:trHeight w:val="183"/>
        </w:trPr>
        <w:tc>
          <w:tcPr>
            <w:tcW w:w="4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ind w:left="124"/>
              <w:spacing w:after="0"/>
              <w:rPr>
                <w:sz w:val="20"/>
                <w:szCs w:val="20"/>
                <w:color w:val="auto"/>
              </w:rPr>
            </w:pPr>
            <w:r>
              <w:rPr>
                <w:rFonts w:ascii="Arial" w:cs="Arial" w:eastAsia="Arial" w:hAnsi="Arial"/>
                <w:sz w:val="14"/>
                <w:szCs w:val="14"/>
                <w:b w:val="1"/>
                <w:bCs w:val="1"/>
                <w:color w:val="auto"/>
              </w:rPr>
              <w:t>2023 vs 2022</w:t>
            </w: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 vs 2021</w:t>
            </w:r>
          </w:p>
        </w:tc>
      </w:tr>
      <w:tr>
        <w:trPr>
          <w:trHeight w:val="183"/>
        </w:trPr>
        <w:tc>
          <w:tcPr>
            <w:tcW w:w="4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81"/>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5,901</w:t>
            </w: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2,396</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367</w:t>
            </w:r>
          </w:p>
        </w:tc>
        <w:tc>
          <w:tcPr>
            <w:tcW w:w="120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color w:val="auto"/>
              </w:rPr>
              <w:t>146%</w:t>
            </w:r>
          </w:p>
        </w:tc>
        <w:tc>
          <w:tcPr>
            <w:tcW w:w="1600" w:type="dxa"/>
            <w:vAlign w:val="bottom"/>
            <w:gridSpan w:val="3"/>
            <w:shd w:val="clear" w:color="auto" w:fill="CFF0FC"/>
          </w:tcPr>
          <w:p>
            <w:pPr>
              <w:jc w:val="right"/>
              <w:ind w:right="344"/>
              <w:spacing w:after="0"/>
              <w:rPr>
                <w:sz w:val="20"/>
                <w:szCs w:val="20"/>
                <w:color w:val="auto"/>
              </w:rPr>
            </w:pPr>
            <w:r>
              <w:rPr>
                <w:rFonts w:ascii="Arial" w:cs="Arial" w:eastAsia="Arial" w:hAnsi="Arial"/>
                <w:sz w:val="16"/>
                <w:szCs w:val="16"/>
                <w:color w:val="auto"/>
              </w:rPr>
              <w:t>553%</w:t>
            </w:r>
          </w:p>
        </w:tc>
      </w:tr>
      <w:tr>
        <w:trPr>
          <w:trHeight w:val="215"/>
        </w:trPr>
        <w:tc>
          <w:tcPr>
            <w:tcW w:w="43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(201 )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(184 )</w:t>
            </w:r>
          </w:p>
        </w:tc>
        <w:tc>
          <w:tcPr>
            <w:tcW w:w="1200" w:type="dxa"/>
            <w:vAlign w:val="bottom"/>
            <w:gridSpan w:val="2"/>
          </w:tcPr>
          <w:p>
            <w:pPr>
              <w:jc w:val="right"/>
              <w:ind w:right="144"/>
              <w:spacing w:after="0"/>
              <w:rPr>
                <w:sz w:val="20"/>
                <w:szCs w:val="20"/>
                <w:color w:val="auto"/>
              </w:rPr>
            </w:pPr>
            <w:r>
              <w:rPr>
                <w:rFonts w:ascii="Arial" w:cs="Arial" w:eastAsia="Arial" w:hAnsi="Arial"/>
                <w:sz w:val="16"/>
                <w:szCs w:val="16"/>
                <w:color w:val="auto"/>
              </w:rPr>
              <w:t>(45%)</w:t>
            </w:r>
          </w:p>
        </w:tc>
        <w:tc>
          <w:tcPr>
            <w:tcW w:w="1600" w:type="dxa"/>
            <w:vAlign w:val="bottom"/>
            <w:gridSpan w:val="3"/>
          </w:tcPr>
          <w:p>
            <w:pPr>
              <w:jc w:val="right"/>
              <w:ind w:right="444"/>
              <w:spacing w:after="0"/>
              <w:rPr>
                <w:sz w:val="20"/>
                <w:szCs w:val="20"/>
                <w:color w:val="auto"/>
              </w:rPr>
            </w:pPr>
            <w:r>
              <w:rPr>
                <w:rFonts w:ascii="Arial" w:cs="Arial" w:eastAsia="Arial" w:hAnsi="Arial"/>
                <w:sz w:val="16"/>
                <w:szCs w:val="16"/>
                <w:color w:val="auto"/>
              </w:rPr>
              <w:t>9%</w:t>
            </w:r>
          </w:p>
        </w:tc>
      </w:tr>
      <w:tr>
        <w:trPr>
          <w:trHeight w:val="217"/>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(4,068 )</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center"/>
              <w:ind w:left="124"/>
              <w:spacing w:after="0"/>
              <w:rPr>
                <w:sz w:val="20"/>
                <w:szCs w:val="20"/>
                <w:color w:val="auto"/>
              </w:rPr>
            </w:pPr>
            <w:r>
              <w:rPr>
                <w:rFonts w:ascii="Arial" w:cs="Arial" w:eastAsia="Arial" w:hAnsi="Arial"/>
                <w:sz w:val="16"/>
                <w:szCs w:val="16"/>
                <w:color w:val="auto"/>
                <w:w w:val="96"/>
              </w:rPr>
              <w:t>NM</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NM</w:t>
            </w:r>
          </w:p>
        </w:tc>
      </w:tr>
      <w:tr>
        <w:trPr>
          <w:trHeight w:val="210"/>
        </w:trPr>
        <w:tc>
          <w:tcPr>
            <w:tcW w:w="4300" w:type="dxa"/>
            <w:vAlign w:val="bottom"/>
          </w:tcPr>
          <w:p>
            <w:pPr>
              <w:ind w:left="20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1,723</w:t>
            </w:r>
          </w:p>
        </w:tc>
        <w:tc>
          <w:tcPr>
            <w:tcW w:w="40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2,256</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-170815</wp:posOffset>
            </wp:positionV>
            <wp:extent cx="93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-170815</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increase in interest income was due to increased yields on our investments. Interest expense is the recognition of imputed interest on noninterest bearing loans.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79" w:lineRule="exact"/>
        <w:rPr>
          <w:sz w:val="20"/>
          <w:szCs w:val="20"/>
          <w:color w:val="auto"/>
        </w:rPr>
      </w:pPr>
    </w:p>
    <w:p>
      <w:pPr>
        <w:jc w:val="both"/>
        <w:ind w:right="20" w:firstLine="749"/>
        <w:spacing w:after="0" w:line="254" w:lineRule="auto"/>
        <w:rPr>
          <w:sz w:val="20"/>
          <w:szCs w:val="20"/>
          <w:color w:val="auto"/>
        </w:rPr>
      </w:pPr>
      <w:r>
        <w:rPr>
          <w:rFonts w:ascii="Arial" w:cs="Arial" w:eastAsia="Arial" w:hAnsi="Arial"/>
          <w:sz w:val="16"/>
          <w:szCs w:val="16"/>
          <w:color w:val="auto"/>
        </w:rPr>
        <w:t>In connection with our November 2023 agreement with Tempus, we issued two warrants to purchase, in the aggregate, up to 9,218,800 shares of our common stock. If Tempus acquires any shares of common stock directly from us other than by exercising the warrants, then the total number of shares issuable upon exercise of the warrants will be reduced by such shares. Because the number of shares issuable upon settlement are subject to adjustment, the warrants are classified as liability instruments and are subject to remeasurement at each balance sheet date, with changes in fair value recognized as other income (expense). Additionally, since the initial fair value of the warrants of $6.9 million exceeded the total proceeds received from Tempus of $6 million, a loss of $0.9 million was immediately recognized within other income (expense).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Fair value of the warrants increased by $3.1 million as of December 31, 2023. The increase in fair value, plus the immediate loss of $0.9 million recognized upon issuance, resulted in a $4.0 million expense recognized in other income (expense), net during the year ended December 31, 2023.</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During 2022 and 2021, other income (expense), net consisted mainly of foreign currency remeasurements.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selected financial information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and short-term investments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114,179</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167,658</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287,064</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57,366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61,935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19,650</w:t>
            </w:r>
          </w:p>
        </w:tc>
      </w:tr>
      <w:tr>
        <w:trPr>
          <w:trHeight w:val="217"/>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Contract liabilities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7,216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1,264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3,982</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300" w:type="dxa"/>
            <w:vAlign w:val="bottom"/>
          </w:tcPr>
          <w:p>
            <w:pPr>
              <w:spacing w:after="0"/>
              <w:rPr>
                <w:sz w:val="18"/>
                <w:szCs w:val="18"/>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99,510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166,568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286,918</w:t>
            </w:r>
          </w:p>
        </w:tc>
      </w:tr>
    </w:tbl>
    <w:p>
      <w:pPr>
        <w:spacing w:after="0" w:line="17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From our inception through December 31, 2023, we have funded our operations primarily from $279.0 million in net proceeds from our follow-on equity offerings in August 2020 and January 2021, $144.0 million in net proceeds from our IPO in June 2019, $89.6 million from issuance of redeemable convertible preferred stock, $3.5 million in net proceeds from our ATM facility (see Note 2, Summary of Significant Accounting Policies), as well as cash from operations and debt financings. As of December 31, 2023, we had cash and cash equivalents of $57.0 million and short-term investments of $57.2 million.</w:t>
      </w:r>
    </w:p>
    <w:p>
      <w:pPr>
        <w:spacing w:after="0" w:line="137"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1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and anticipated cash flow from operations are insufficient to satisfy our liquidity requirements, including because of lower demand for our services or other risks described in this Annual Report on Form 10-K, we may seek to sell additional common or preferred equity or convertible debt securities, enter into an additional credit facility or another form of third-party funding or seek other debt financing. We filed a sales agreement prospectus in December 2023 pursuant to which we may offer and sell up to $50.0 million of shares of our common stock through our ATM facility.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35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of December 31, 2023, cash and cash equivalents held by foreign subsidiaries was $1.2 million, most of which was held by our China subsidiary. During the first half of 2023, we closed our China operations and, in February 2024, we completed the dissolution of the China entity and repatriated all cash that was held at the entity back to our headquarters.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(56,258 )   $</w:t>
            </w:r>
          </w:p>
        </w:tc>
        <w:tc>
          <w:tcPr>
            <w:tcW w:w="158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(70,233 )   $</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(70,828 )</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8"/>
                <w:szCs w:val="18"/>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color w:val="auto"/>
              </w:rPr>
              <w:t>13,099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52,537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(60,069 )</w:t>
            </w:r>
          </w:p>
        </w:tc>
      </w:tr>
      <w:tr>
        <w:trPr>
          <w:trHeight w:val="217"/>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11,031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1,366</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169,700</w:t>
            </w:r>
          </w:p>
        </w:tc>
      </w:tr>
    </w:tbl>
    <w:p>
      <w:pPr>
        <w:spacing w:after="0" w:line="17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$14.0 million decrease in cash used in operating activities during 2023 as compared to 2022 was primarily due to lower spend on operating expenses (particularly lower payroll expenses after our reductions in workforce initiated in 2023), higher customer deposits received (mostly in connection with our agreement with Moderna to support its ongoing clinical trials evaluating a personalized cancer vaccine), and efficient management of working capital; partially offset by lower landlord contributions received during 2023 versus 2022 in connection with our Fremont facility build-out.</w:t>
      </w:r>
    </w:p>
    <w:p>
      <w:pPr>
        <w:spacing w:after="0" w:line="13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$39.4 million decrease in cash provided by investing activities during 2023 as compared to 2022 was due to significantly lower net proceeds from short-term investment maturities, partially offset by a $39.0 million reduction in capital expenditures.</w:t>
      </w:r>
    </w:p>
    <w:p>
      <w:pPr>
        <w:spacing w:after="0" w:line="11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$9.7 million increase in cash provided by financing activities during 2023 as compared to 2022 was driven by $6 million in proceeds from issuance of warrants to Tempus and $3.5 million in net proceeds from sales of common stock under our ATM facility, both of which did not occur during 2022.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material cash requirements in the short- and long-term consist primarily of variable costs of revenue, operating expenditures, capital expenditures, property leases, and other. We plan to fund our material cash requirements with our existing cash and cash equivalents and short-term investments, which amounted to $114.2 million as of December 31, 2023, as well as anticipated cash receipts from customers. To fund our material cash requirements in the short- and long-term, we may also seek to sell additional common or preferred equity or convertible debt securities, enter into an additional credit facility or another form of third-party funding or seek other debt financing.</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i w:val="1"/>
          <w:iCs w:val="1"/>
          <w:color w:val="auto"/>
        </w:rPr>
        <w:t>Variable costs of revenue</w:t>
      </w:r>
      <w:r>
        <w:rPr>
          <w:rFonts w:ascii="Arial" w:cs="Arial" w:eastAsia="Arial" w:hAnsi="Arial"/>
          <w:sz w:val="16"/>
          <w:szCs w:val="16"/>
          <w:color w:val="auto"/>
        </w:rPr>
        <w:t>. From time to time in the ordinary course of business, we enter into agreements with vendors for the purchase of raw</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We currently expect spending in this area to increase in 2024 relative to 2023 to support expected higher levels of revenue.</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i w:val="1"/>
          <w:iCs w:val="1"/>
          <w:color w:val="auto"/>
        </w:rPr>
        <w:t>Operating expenditures</w:t>
      </w:r>
      <w:r>
        <w:rPr>
          <w:rFonts w:ascii="Arial" w:cs="Arial" w:eastAsia="Arial" w:hAnsi="Arial"/>
          <w:sz w:val="16"/>
          <w:szCs w:val="16"/>
          <w:color w:val="auto"/>
        </w:rPr>
        <w:t>. Our primary use of cash relates to employee compensation, spend on professional services, spend related to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and development projects, and other costs related to our research and development, selling, general and administrative functions. We currently expect to decrease our spend in these areas as a result of our workforce reductions initiated in 2023. On a long-term basis, we manage future cash requirements relative to our long-term business plans.</w:t>
      </w:r>
    </w:p>
    <w:p>
      <w:pPr>
        <w:spacing w:after="0" w:line="15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Capital expenditures are expected to decrease from 2023 levels as we have completed significant laboratory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additions. Going forward, our capital expenditures are expected to consist primarily of laboratory equipment and computer equipment. We currently expect capital expenditures to be approximately $1 million in 2024 and between $4 million to $6 million in each of the years 2025 and 2026.</w:t>
      </w:r>
    </w:p>
    <w:p>
      <w:pPr>
        <w:spacing w:after="0" w:line="13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i w:val="1"/>
          <w:iCs w:val="1"/>
          <w:color w:val="auto"/>
        </w:rPr>
        <w:t>Property leases</w:t>
      </w:r>
      <w:r>
        <w:rPr>
          <w:rFonts w:ascii="Arial" w:cs="Arial" w:eastAsia="Arial" w:hAnsi="Arial"/>
          <w:sz w:val="16"/>
          <w:szCs w:val="16"/>
          <w:color w:val="auto"/>
        </w:rPr>
        <w:t>. Our noncancelable operating lease payments were $78.6 million as of December 31, 2023. The timing of these future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by year, can be found in Part II, Item 8 of this Form 10-K in the Notes to Consolidated Financial Statements in Note 7, “Leases.”</w:t>
      </w:r>
    </w:p>
    <w:p>
      <w:pPr>
        <w:spacing w:after="0" w:line="11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 As of December 31, 2023, we have an outstanding noninterest bearing loan that was used to finance the purchase of equipment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laboratory. We owe a total of $2.5 million, with half of that amount owed in 2024 and the other half in 2025. Additionally, we had an outstanding noninterest bearing loan that was used to finance the purchase of internal use software licenses and related ongoing support. We will make a payment of $0.4 million in September 2024 to pay off this loan. Further discussion of this loan can be found in Part II, Item 8 of this Form 10-K in the Notes to Consolidated Financial Statements in Note 6, “Loans.”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consolidated financial statements are prepared in accordance with U.S. GAAP. The preparation of our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leases, and common stock warrants have the greatest potential impact on our consolidated financial statements. Therefore, we consider these to be our critical accounting policies and estimates.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generate our revenue from selling sequencing and data analysis services. We agree to provide services to our customers through a contract, which may be in the form of a combination of a signed agreement, statement of work and/or a purchase order.</w:t>
      </w:r>
    </w:p>
    <w:p>
      <w:pPr>
        <w:spacing w:after="0" w:line="11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have evaluated the performance obligations contained in contracts with customers to determine whether any of the performance obligations are distinct, such that the customers can benefit from the obligations on their own, and whether the obligations can be separately identifiable from other obligations in the contract. For the significant majority of our contracts to date, the customer orders a specified quantity of a sequencing; therefore, the delivery of the ordered quantity per the purchase order is accounted for as one performance obligation. Our contracts include only one performance obligation—the delivery of the sequencing and data analysis services to the customer.</w:t>
      </w:r>
    </w:p>
    <w:p>
      <w:pPr>
        <w:spacing w:after="0" w:line="15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Fees for our sequencing and data analysis services are predominantly based on a fixed price per sample. The fixed prices identified in the arrangements only change if a pricing amendment is agreed with a customer. In limited cases we provide our customers a discount if samples received above a certain volume are purchased. In such cases, the discount applies prospectively. We have analyzed such discounts if they represent a material right provided to a customer. We have concluded that such discounts generally do not represent a material right provided to a customer since they are not deemed to be incremental to the pricing offered to the customer or are not enforceable options to acquire additional goods. As a result, these discounts do not constitute a material right and do not meet the definition of a separate performance obligation, except in limited instances. We do not offer retrospective discounts or rebates.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Accordingly, all of the transaction price, net of any discounts, is allocated to one performance obligation. Therefore, upon delivery of the services, there are no remaining performance obligations.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Leases</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Lease liabilities are recognized at the present value of the fixed lease payments, reduced by landlord incentives, using a discount rate based on our current borrowing rate at the lease commencement date (the incremental borrowing rate), unless the rate implicit in the lease is readily determinable.</w:t>
      </w:r>
    </w:p>
    <w:p>
      <w:pPr>
        <w:spacing w:after="0" w:line="11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August 2021, we entered into a 13.5-year lease for our new corporate headquarters in Fremont, California. We estimated our incremental borrowing rate as the rate implicit in the lease was not readily determinable. To determine the incremental borrowing rate, we estimated our credit rating by comparing certain financial ratios and metrics of the Company to those of other issuers with publicly-available credit ratings from Standard &amp; Poor’s (S&amp;P). We then adjusted yields from publicly traded corporate bonds of companies of similar size and credit rating over a term approximating the term of our lease for the nature of the collateral. Our concluded incremental borrowing rate for this lease was 5.8%, which resulted in a lease liability and right-of-use asset of $44.7 million.</w:t>
      </w:r>
    </w:p>
    <w:p>
      <w:pPr>
        <w:spacing w:after="0" w:line="15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September 2022, the lease commencement date for our new facility in Fremont, California was delayed from the original intended date due to delays in the completion of the work necessary for us to move into the facility, which resulted in a reassessment of the lease term and consequently a remeasurement of the lease liability and corresponding adjustment to the carrying amount of the right-of-use asset based on an updated incremental borrowing rate. We estimated our incremental borrowing rate by using the same method described above and concluded that the incremental borrowing rate for the remeasured lease was 10.5%. The lease reassessment resulted in a $12.9 million reduction to right-of-use assets in 2022. The increase in our estimated borrowing rate between August 2021 and September 2022 mostly reflects the higher interest rate environment in 2022 as compared to 2021.</w:t>
      </w:r>
    </w:p>
    <w:p>
      <w:pPr>
        <w:spacing w:after="0" w:line="14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During the third quarter of 2023, we completed the move of our laboratory operations from our Menlo Park facility to our Fremont facility and began actively marketing the Menlo Park space for sublease. Accordingly, we evaluated the ongoing value of the operating lease right-of-use asset associated with the Menlo Park facility. Based on this evaluation, we determined that the right-of-use asset with a carrying amount of $6.7 million was no longer recoverable and was impaired and wrote it down to its estimated fair value of $1.1 million, which resulted in a noncash impairment loss of $5.6 million. Estimated fair value was based on expected future sublease cash flows (with the assistance of a third-party real estate broker), net of brokerage commissions and estimated tenant incentives, discounted at a market rate of return on similar assets. The estimation of fair value also included expected downtime prior to the commencement of a future sublease.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Common Stock Warrants</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November 2023, we entered into an agreement with Tempus to commercialize NeXT Personal Dx in the clinical diagnostics market. In connection with this agreement, we issued to Tempus two warrants to purchase, in the aggregate, up to 9,218,800 shares of our common stock. If Tempus acquires any shares of common stock directly from us other than by exercising the warrants, then the total number of shares issuable upon exercise of the warrants will be reduced by such shares. Because the number of shares issuable upon settlement are subject to adjustment, the warrants are classified as liability instruments and are subject to remeasurement at each balance sheet date, with changes in fair value recognized as other income (expense).</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Black-Scholes option-pricing model was used to estimate fair value of the warrants issued to Tempus at the date of issuance, November 28, 2023, and at each subsequent balance sheet date. Estimating fair value using the Black-Scholes option-pricing model requires a number of assumptions. Changes in the assumptions can materially affect the fair value and ultimately how much other income (or expense) is recognized. The inputs generally require analysis to develop.</w:t>
      </w:r>
    </w:p>
    <w:p>
      <w:pPr>
        <w:spacing w:after="0" w:line="70"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assumption represents the contractual period of each of the two warrants.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—Expected volatility was based on the Company's actual historical volatility over the expected terms of the warrants.</w:t>
      </w:r>
    </w:p>
    <w:p>
      <w:pPr>
        <w:spacing w:after="0" w:line="125"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—The Black-Scholes option-pricing valuation model calls for a single expected dividend yield as an input. We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have no history or expectation of paying cash dividends on our common stock.</w:t>
      </w:r>
    </w:p>
    <w:p>
      <w:pPr>
        <w:spacing w:after="0" w:line="48"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based on the yield available on U.S. Treasury zero-coupon issues similar in duration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expected term of the warrants.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94"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See the sections titled “Summary of Significant Accounting Policies—Recent Accounting Pronouncements” in Note 2 to our consolidated financial statements for additional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“smaller reporting company”, we are not required to provide the information under this item.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Page</w:t>
            </w:r>
          </w:p>
        </w:tc>
      </w:tr>
      <w:tr>
        <w:trPr>
          <w:trHeight w:val="155"/>
        </w:trPr>
        <w:tc>
          <w:tcPr>
            <w:tcW w:w="5400" w:type="dxa"/>
            <w:vAlign w:val="bottom"/>
            <w:tcBorders>
              <w:left w:val="single" w:sz="8" w:color="CFF0FC"/>
            </w:tcBorders>
            <w:gridSpan w:val="22"/>
            <w:shd w:val="clear" w:color="auto" w:fill="CFF0FC"/>
          </w:tcPr>
          <w:p>
            <w:pPr>
              <w:ind w:left="20"/>
              <w:spacing w:after="0" w:line="155" w:lineRule="exact"/>
              <w:rPr>
                <w:sz w:val="20"/>
                <w:szCs w:val="20"/>
                <w:color w:val="auto"/>
              </w:rPr>
            </w:pPr>
            <w:r>
              <w:rPr>
                <w:rFonts w:ascii="Arial" w:cs="Arial" w:eastAsia="Arial" w:hAnsi="Arial"/>
                <w:sz w:val="16"/>
                <w:szCs w:val="16"/>
                <w:color w:val="0000FF"/>
              </w:rPr>
              <w:t>Consolidated Balance Sheets</w:t>
            </w:r>
          </w:p>
        </w:tc>
        <w:tc>
          <w:tcPr>
            <w:tcW w:w="5840" w:type="dxa"/>
            <w:vAlign w:val="bottom"/>
            <w:gridSpan w:val="2"/>
            <w:shd w:val="clear" w:color="auto" w:fill="CFF0FC"/>
          </w:tcPr>
          <w:p>
            <w:pPr>
              <w:jc w:val="center"/>
              <w:ind w:left="4819"/>
              <w:spacing w:after="0" w:line="155" w:lineRule="exact"/>
              <w:rPr>
                <w:sz w:val="20"/>
                <w:szCs w:val="20"/>
                <w:color w:val="auto"/>
              </w:rPr>
            </w:pPr>
            <w:r>
              <w:rPr>
                <w:rFonts w:ascii="Arial" w:cs="Arial" w:eastAsia="Arial" w:hAnsi="Arial"/>
                <w:sz w:val="16"/>
                <w:szCs w:val="16"/>
                <w:color w:val="auto"/>
              </w:rPr>
              <w:t>66</w:t>
            </w:r>
          </w:p>
        </w:tc>
      </w:tr>
      <w:tr>
        <w:trPr>
          <w:trHeight w:val="21"/>
        </w:trPr>
        <w:tc>
          <w:tcPr>
            <w:tcW w:w="1160" w:type="dxa"/>
            <w:vAlign w:val="bottom"/>
            <w:tcBorders>
              <w:top w:val="single" w:sz="8" w:color="0000FF"/>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9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5400" w:type="dxa"/>
            <w:vAlign w:val="bottom"/>
            <w:gridSpan w:val="22"/>
          </w:tcPr>
          <w:p>
            <w:pPr>
              <w:ind w:left="20"/>
              <w:spacing w:after="0" w:line="162" w:lineRule="exact"/>
              <w:rPr>
                <w:sz w:val="20"/>
                <w:szCs w:val="20"/>
                <w:color w:val="auto"/>
              </w:rPr>
            </w:pPr>
            <w:r>
              <w:rPr>
                <w:rFonts w:ascii="Arial" w:cs="Arial" w:eastAsia="Arial" w:hAnsi="Arial"/>
                <w:sz w:val="16"/>
                <w:szCs w:val="16"/>
                <w:color w:val="0000FF"/>
              </w:rPr>
              <w:t>Consolidated Statements of Operations</w:t>
            </w:r>
          </w:p>
        </w:tc>
        <w:tc>
          <w:tcPr>
            <w:tcW w:w="5840" w:type="dxa"/>
            <w:vAlign w:val="bottom"/>
            <w:gridSpan w:val="2"/>
          </w:tcPr>
          <w:p>
            <w:pPr>
              <w:jc w:val="center"/>
              <w:ind w:left="4819"/>
              <w:spacing w:after="0" w:line="162" w:lineRule="exact"/>
              <w:rPr>
                <w:sz w:val="20"/>
                <w:szCs w:val="20"/>
                <w:color w:val="auto"/>
              </w:rPr>
            </w:pPr>
            <w:r>
              <w:rPr>
                <w:rFonts w:ascii="Arial" w:cs="Arial" w:eastAsia="Arial" w:hAnsi="Arial"/>
                <w:sz w:val="16"/>
                <w:szCs w:val="16"/>
                <w:color w:val="auto"/>
              </w:rPr>
              <w:t>67</w:t>
            </w:r>
          </w:p>
        </w:tc>
      </w:tr>
      <w:tr>
        <w:trPr>
          <w:trHeight w:val="21"/>
        </w:trPr>
        <w:tc>
          <w:tcPr>
            <w:tcW w:w="1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3580" w:type="dxa"/>
            <w:vAlign w:val="bottom"/>
            <w:tcBorders>
              <w:left w:val="single" w:sz="8" w:color="CFF0FC"/>
              <w:bottom w:val="single" w:sz="8" w:color="0000FF"/>
            </w:tcBorders>
            <w:gridSpan w:val="17"/>
            <w:shd w:val="clear" w:color="auto" w:fill="CFF0FC"/>
          </w:tcPr>
          <w:p>
            <w:pPr>
              <w:ind w:left="20"/>
              <w:spacing w:after="0" w:line="162" w:lineRule="exact"/>
              <w:rPr>
                <w:sz w:val="20"/>
                <w:szCs w:val="20"/>
                <w:color w:val="auto"/>
              </w:rPr>
            </w:pPr>
            <w:r>
              <w:rPr>
                <w:rFonts w:ascii="Arial" w:cs="Arial" w:eastAsia="Arial" w:hAnsi="Arial"/>
                <w:sz w:val="16"/>
                <w:szCs w:val="16"/>
                <w:color w:val="0000FF"/>
              </w:rPr>
              <w:t>Consolidated Statements of Comprehensive Loss</w:t>
            </w:r>
          </w:p>
        </w:tc>
        <w:tc>
          <w:tcPr>
            <w:tcW w:w="1820" w:type="dxa"/>
            <w:vAlign w:val="bottom"/>
            <w:tcBorders>
              <w:bottom w:val="single" w:sz="8" w:color="CFF0FC"/>
            </w:tcBorders>
            <w:gridSpan w:val="5"/>
            <w:shd w:val="clear" w:color="auto" w:fill="CFF0FC"/>
          </w:tcPr>
          <w:p>
            <w:pPr>
              <w:spacing w:after="0"/>
              <w:rPr>
                <w:sz w:val="15"/>
                <w:szCs w:val="15"/>
                <w:color w:val="auto"/>
              </w:rPr>
            </w:pPr>
          </w:p>
        </w:tc>
        <w:tc>
          <w:tcPr>
            <w:tcW w:w="5840" w:type="dxa"/>
            <w:vAlign w:val="bottom"/>
            <w:tcBorders>
              <w:bottom w:val="single" w:sz="8" w:color="CFF0FC"/>
            </w:tcBorders>
            <w:gridSpan w:val="2"/>
            <w:shd w:val="clear" w:color="auto" w:fill="CFF0FC"/>
          </w:tcPr>
          <w:p>
            <w:pPr>
              <w:jc w:val="center"/>
              <w:ind w:left="4819"/>
              <w:spacing w:after="0" w:line="162" w:lineRule="exact"/>
              <w:rPr>
                <w:sz w:val="20"/>
                <w:szCs w:val="20"/>
                <w:color w:val="auto"/>
              </w:rPr>
            </w:pPr>
            <w:r>
              <w:rPr>
                <w:rFonts w:ascii="Arial" w:cs="Arial" w:eastAsia="Arial" w:hAnsi="Arial"/>
                <w:sz w:val="16"/>
                <w:szCs w:val="16"/>
                <w:color w:val="auto"/>
              </w:rPr>
              <w:t>68</w:t>
            </w:r>
          </w:p>
        </w:tc>
      </w:tr>
      <w:tr>
        <w:trPr>
          <w:trHeight w:val="162"/>
        </w:trPr>
        <w:tc>
          <w:tcPr>
            <w:tcW w:w="5400" w:type="dxa"/>
            <w:vAlign w:val="bottom"/>
            <w:gridSpan w:val="22"/>
          </w:tcPr>
          <w:p>
            <w:pPr>
              <w:ind w:left="20"/>
              <w:spacing w:after="0" w:line="162" w:lineRule="exact"/>
              <w:rPr>
                <w:sz w:val="20"/>
                <w:szCs w:val="20"/>
                <w:color w:val="auto"/>
              </w:rPr>
            </w:pPr>
            <w:r>
              <w:rPr>
                <w:rFonts w:ascii="Arial" w:cs="Arial" w:eastAsia="Arial" w:hAnsi="Arial"/>
                <w:sz w:val="16"/>
                <w:szCs w:val="16"/>
                <w:color w:val="0000FF"/>
              </w:rPr>
              <w:t>Consolidated Statements of Stockholders’ Equity</w:t>
            </w:r>
          </w:p>
        </w:tc>
        <w:tc>
          <w:tcPr>
            <w:tcW w:w="5840" w:type="dxa"/>
            <w:vAlign w:val="bottom"/>
            <w:gridSpan w:val="2"/>
          </w:tcPr>
          <w:p>
            <w:pPr>
              <w:jc w:val="center"/>
              <w:ind w:left="4819"/>
              <w:spacing w:after="0" w:line="162" w:lineRule="exact"/>
              <w:rPr>
                <w:sz w:val="20"/>
                <w:szCs w:val="20"/>
                <w:color w:val="auto"/>
              </w:rPr>
            </w:pPr>
            <w:r>
              <w:rPr>
                <w:rFonts w:ascii="Arial" w:cs="Arial" w:eastAsia="Arial" w:hAnsi="Arial"/>
                <w:sz w:val="16"/>
                <w:szCs w:val="16"/>
                <w:color w:val="auto"/>
              </w:rPr>
              <w:t>69</w:t>
            </w:r>
          </w:p>
        </w:tc>
      </w:tr>
      <w:tr>
        <w:trPr>
          <w:trHeight w:val="21"/>
        </w:trPr>
        <w:tc>
          <w:tcPr>
            <w:tcW w:w="1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5400" w:type="dxa"/>
            <w:vAlign w:val="bottom"/>
            <w:tcBorders>
              <w:left w:val="single" w:sz="8" w:color="CFF0FC"/>
            </w:tcBorders>
            <w:gridSpan w:val="22"/>
            <w:shd w:val="clear" w:color="auto" w:fill="CFF0FC"/>
          </w:tcPr>
          <w:p>
            <w:pPr>
              <w:ind w:left="20"/>
              <w:spacing w:after="0" w:line="162" w:lineRule="exact"/>
              <w:rPr>
                <w:sz w:val="20"/>
                <w:szCs w:val="20"/>
                <w:color w:val="auto"/>
              </w:rPr>
            </w:pPr>
            <w:r>
              <w:rPr>
                <w:rFonts w:ascii="Arial" w:cs="Arial" w:eastAsia="Arial" w:hAnsi="Arial"/>
                <w:sz w:val="16"/>
                <w:szCs w:val="16"/>
                <w:color w:val="0000FF"/>
              </w:rPr>
              <w:t>Consolidated Statements of Cash Flows</w:t>
            </w:r>
          </w:p>
        </w:tc>
        <w:tc>
          <w:tcPr>
            <w:tcW w:w="5840" w:type="dxa"/>
            <w:vAlign w:val="bottom"/>
            <w:gridSpan w:val="2"/>
            <w:shd w:val="clear" w:color="auto" w:fill="CFF0FC"/>
          </w:tcPr>
          <w:p>
            <w:pPr>
              <w:jc w:val="center"/>
              <w:ind w:left="4819"/>
              <w:spacing w:after="0" w:line="162" w:lineRule="exact"/>
              <w:rPr>
                <w:sz w:val="20"/>
                <w:szCs w:val="20"/>
                <w:color w:val="auto"/>
              </w:rPr>
            </w:pPr>
            <w:r>
              <w:rPr>
                <w:rFonts w:ascii="Arial" w:cs="Arial" w:eastAsia="Arial" w:hAnsi="Arial"/>
                <w:sz w:val="16"/>
                <w:szCs w:val="16"/>
                <w:color w:val="auto"/>
              </w:rPr>
              <w:t>70</w:t>
            </w:r>
          </w:p>
        </w:tc>
      </w:tr>
      <w:tr>
        <w:trPr>
          <w:trHeight w:val="203"/>
        </w:trPr>
        <w:tc>
          <w:tcPr>
            <w:tcW w:w="1180" w:type="dxa"/>
            <w:vAlign w:val="bottom"/>
            <w:tcBorders>
              <w:top w:val="single" w:sz="8" w:color="0000FF"/>
            </w:tcBorders>
            <w:gridSpan w:val="2"/>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6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800" w:type="dxa"/>
            <w:vAlign w:val="bottom"/>
            <w:tcBorders>
              <w:top w:val="single" w:sz="8" w:color="CFF0FC"/>
            </w:tcBorders>
          </w:tcPr>
          <w:p>
            <w:pPr>
              <w:spacing w:after="0"/>
              <w:rPr>
                <w:sz w:val="17"/>
                <w:szCs w:val="17"/>
                <w:color w:val="auto"/>
              </w:rPr>
            </w:pPr>
          </w:p>
        </w:tc>
        <w:tc>
          <w:tcPr>
            <w:tcW w:w="490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r>
      <w:tr>
        <w:trPr>
          <w:trHeight w:val="203"/>
        </w:trPr>
        <w:tc>
          <w:tcPr>
            <w:tcW w:w="5400" w:type="dxa"/>
            <w:vAlign w:val="bottom"/>
            <w:tcBorders>
              <w:left w:val="single" w:sz="8" w:color="CFF0FC"/>
            </w:tcBorders>
            <w:gridSpan w:val="22"/>
            <w:shd w:val="clear" w:color="auto" w:fill="CFF0FC"/>
          </w:tcPr>
          <w:p>
            <w:pPr>
              <w:ind w:left="20"/>
              <w:spacing w:after="0"/>
              <w:rPr>
                <w:sz w:val="20"/>
                <w:szCs w:val="20"/>
                <w:color w:val="auto"/>
              </w:rPr>
            </w:pPr>
            <w:r>
              <w:rPr>
                <w:rFonts w:ascii="Arial" w:cs="Arial" w:eastAsia="Arial" w:hAnsi="Arial"/>
                <w:sz w:val="16"/>
                <w:szCs w:val="16"/>
                <w:color w:val="auto"/>
              </w:rPr>
              <w:t>Notes to Consolidated Financial Statements</w:t>
            </w:r>
          </w:p>
        </w:tc>
        <w:tc>
          <w:tcPr>
            <w:tcW w:w="49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162"/>
        </w:trPr>
        <w:tc>
          <w:tcPr>
            <w:tcW w:w="1160" w:type="dxa"/>
            <w:vAlign w:val="bottom"/>
          </w:tcPr>
          <w:p>
            <w:pPr>
              <w:ind w:left="380"/>
              <w:spacing w:after="0" w:line="162" w:lineRule="exact"/>
              <w:rPr>
                <w:sz w:val="20"/>
                <w:szCs w:val="20"/>
                <w:color w:val="auto"/>
              </w:rPr>
            </w:pPr>
            <w:r>
              <w:rPr>
                <w:rFonts w:ascii="Arial" w:cs="Arial" w:eastAsia="Arial" w:hAnsi="Arial"/>
                <w:sz w:val="16"/>
                <w:szCs w:val="16"/>
                <w:color w:val="auto"/>
              </w:rPr>
              <w:t>Note 1.</w:t>
            </w:r>
          </w:p>
        </w:tc>
        <w:tc>
          <w:tcPr>
            <w:tcW w:w="4240" w:type="dxa"/>
            <w:vAlign w:val="bottom"/>
            <w:gridSpan w:val="21"/>
          </w:tcPr>
          <w:p>
            <w:pPr>
              <w:ind w:left="20"/>
              <w:spacing w:after="0" w:line="162" w:lineRule="exact"/>
              <w:rPr>
                <w:sz w:val="20"/>
                <w:szCs w:val="20"/>
                <w:color w:val="auto"/>
              </w:rPr>
            </w:pPr>
            <w:r>
              <w:rPr>
                <w:rFonts w:ascii="Arial" w:cs="Arial" w:eastAsia="Arial" w:hAnsi="Arial"/>
                <w:sz w:val="16"/>
                <w:szCs w:val="16"/>
                <w:color w:val="0000FF"/>
              </w:rPr>
              <w:t>Company and Nature of Business</w:t>
            </w:r>
          </w:p>
        </w:tc>
        <w:tc>
          <w:tcPr>
            <w:tcW w:w="5840" w:type="dxa"/>
            <w:vAlign w:val="bottom"/>
            <w:gridSpan w:val="2"/>
          </w:tcPr>
          <w:p>
            <w:pPr>
              <w:jc w:val="center"/>
              <w:ind w:left="4819"/>
              <w:spacing w:after="0" w:line="162" w:lineRule="exact"/>
              <w:rPr>
                <w:sz w:val="20"/>
                <w:szCs w:val="20"/>
                <w:color w:val="auto"/>
              </w:rPr>
            </w:pPr>
            <w:r>
              <w:rPr>
                <w:rFonts w:ascii="Arial" w:cs="Arial" w:eastAsia="Arial" w:hAnsi="Arial"/>
                <w:sz w:val="16"/>
                <w:szCs w:val="16"/>
                <w:color w:val="auto"/>
              </w:rPr>
              <w:t>71</w:t>
            </w: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1160" w:type="dxa"/>
            <w:vAlign w:val="bottom"/>
            <w:tcBorders>
              <w:left w:val="single" w:sz="8" w:color="CFF0FC"/>
            </w:tcBorders>
            <w:shd w:val="clear" w:color="auto" w:fill="CFF0FC"/>
          </w:tcPr>
          <w:p>
            <w:pPr>
              <w:ind w:left="380"/>
              <w:spacing w:after="0" w:line="162" w:lineRule="exact"/>
              <w:rPr>
                <w:sz w:val="20"/>
                <w:szCs w:val="20"/>
                <w:color w:val="auto"/>
              </w:rPr>
            </w:pPr>
            <w:r>
              <w:rPr>
                <w:rFonts w:ascii="Arial" w:cs="Arial" w:eastAsia="Arial" w:hAnsi="Arial"/>
                <w:sz w:val="16"/>
                <w:szCs w:val="16"/>
                <w:color w:val="auto"/>
              </w:rPr>
              <w:t>Note 2.</w:t>
            </w:r>
          </w:p>
        </w:tc>
        <w:tc>
          <w:tcPr>
            <w:tcW w:w="4240" w:type="dxa"/>
            <w:vAlign w:val="bottom"/>
            <w:gridSpan w:val="21"/>
            <w:shd w:val="clear" w:color="auto" w:fill="CFF0FC"/>
          </w:tcPr>
          <w:p>
            <w:pPr>
              <w:ind w:left="20"/>
              <w:spacing w:after="0" w:line="162" w:lineRule="exact"/>
              <w:rPr>
                <w:sz w:val="20"/>
                <w:szCs w:val="20"/>
                <w:color w:val="auto"/>
              </w:rPr>
            </w:pPr>
            <w:r>
              <w:rPr>
                <w:rFonts w:ascii="Arial" w:cs="Arial" w:eastAsia="Arial" w:hAnsi="Arial"/>
                <w:sz w:val="16"/>
                <w:szCs w:val="16"/>
                <w:color w:val="0000FF"/>
              </w:rPr>
              <w:t>Summary of Significant Accounting Policies</w:t>
            </w:r>
          </w:p>
        </w:tc>
        <w:tc>
          <w:tcPr>
            <w:tcW w:w="5840" w:type="dxa"/>
            <w:vAlign w:val="bottom"/>
            <w:gridSpan w:val="2"/>
            <w:shd w:val="clear" w:color="auto" w:fill="CFF0FC"/>
          </w:tcPr>
          <w:p>
            <w:pPr>
              <w:jc w:val="center"/>
              <w:ind w:left="4819"/>
              <w:spacing w:after="0" w:line="162" w:lineRule="exact"/>
              <w:rPr>
                <w:sz w:val="20"/>
                <w:szCs w:val="20"/>
                <w:color w:val="auto"/>
              </w:rPr>
            </w:pPr>
            <w:r>
              <w:rPr>
                <w:rFonts w:ascii="Arial" w:cs="Arial" w:eastAsia="Arial" w:hAnsi="Arial"/>
                <w:sz w:val="16"/>
                <w:szCs w:val="16"/>
                <w:color w:val="auto"/>
              </w:rPr>
              <w:t>71</w:t>
            </w:r>
          </w:p>
        </w:tc>
      </w:tr>
      <w:tr>
        <w:trPr>
          <w:trHeight w:val="21"/>
        </w:trPr>
        <w:tc>
          <w:tcPr>
            <w:tcW w:w="1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9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1160" w:type="dxa"/>
            <w:vAlign w:val="bottom"/>
          </w:tcPr>
          <w:p>
            <w:pPr>
              <w:ind w:left="380"/>
              <w:spacing w:after="0" w:line="162" w:lineRule="exact"/>
              <w:rPr>
                <w:sz w:val="20"/>
                <w:szCs w:val="20"/>
                <w:color w:val="auto"/>
              </w:rPr>
            </w:pPr>
            <w:r>
              <w:rPr>
                <w:rFonts w:ascii="Arial" w:cs="Arial" w:eastAsia="Arial" w:hAnsi="Arial"/>
                <w:sz w:val="16"/>
                <w:szCs w:val="16"/>
                <w:color w:val="auto"/>
              </w:rPr>
              <w:t>Note 3.</w:t>
            </w:r>
          </w:p>
        </w:tc>
        <w:tc>
          <w:tcPr>
            <w:tcW w:w="4240" w:type="dxa"/>
            <w:vAlign w:val="bottom"/>
            <w:gridSpan w:val="21"/>
          </w:tcPr>
          <w:p>
            <w:pPr>
              <w:ind w:left="20"/>
              <w:spacing w:after="0" w:line="162" w:lineRule="exact"/>
              <w:rPr>
                <w:sz w:val="20"/>
                <w:szCs w:val="20"/>
                <w:color w:val="auto"/>
              </w:rPr>
            </w:pPr>
            <w:r>
              <w:rPr>
                <w:rFonts w:ascii="Arial" w:cs="Arial" w:eastAsia="Arial" w:hAnsi="Arial"/>
                <w:sz w:val="16"/>
                <w:szCs w:val="16"/>
                <w:color w:val="0000FF"/>
              </w:rPr>
              <w:t>Revenue</w:t>
            </w:r>
          </w:p>
        </w:tc>
        <w:tc>
          <w:tcPr>
            <w:tcW w:w="5840" w:type="dxa"/>
            <w:vAlign w:val="bottom"/>
            <w:gridSpan w:val="2"/>
          </w:tcPr>
          <w:p>
            <w:pPr>
              <w:jc w:val="center"/>
              <w:ind w:left="4819"/>
              <w:spacing w:after="0" w:line="162" w:lineRule="exact"/>
              <w:rPr>
                <w:sz w:val="20"/>
                <w:szCs w:val="20"/>
                <w:color w:val="auto"/>
              </w:rPr>
            </w:pPr>
            <w:r>
              <w:rPr>
                <w:rFonts w:ascii="Arial" w:cs="Arial" w:eastAsia="Arial" w:hAnsi="Arial"/>
                <w:sz w:val="16"/>
                <w:szCs w:val="16"/>
                <w:color w:val="auto"/>
              </w:rPr>
              <w:t>76</w:t>
            </w: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1160" w:type="dxa"/>
            <w:vAlign w:val="bottom"/>
            <w:tcBorders>
              <w:left w:val="single" w:sz="8" w:color="CFF0FC"/>
            </w:tcBorders>
            <w:shd w:val="clear" w:color="auto" w:fill="CFF0FC"/>
          </w:tcPr>
          <w:p>
            <w:pPr>
              <w:ind w:left="380"/>
              <w:spacing w:after="0" w:line="162" w:lineRule="exact"/>
              <w:rPr>
                <w:sz w:val="20"/>
                <w:szCs w:val="20"/>
                <w:color w:val="auto"/>
              </w:rPr>
            </w:pPr>
            <w:r>
              <w:rPr>
                <w:rFonts w:ascii="Arial" w:cs="Arial" w:eastAsia="Arial" w:hAnsi="Arial"/>
                <w:sz w:val="16"/>
                <w:szCs w:val="16"/>
                <w:color w:val="auto"/>
              </w:rPr>
              <w:t>Note 4.</w:t>
            </w:r>
          </w:p>
        </w:tc>
        <w:tc>
          <w:tcPr>
            <w:tcW w:w="4240" w:type="dxa"/>
            <w:vAlign w:val="bottom"/>
            <w:gridSpan w:val="21"/>
            <w:shd w:val="clear" w:color="auto" w:fill="CFF0FC"/>
          </w:tcPr>
          <w:p>
            <w:pPr>
              <w:ind w:left="20"/>
              <w:spacing w:after="0" w:line="162" w:lineRule="exact"/>
              <w:rPr>
                <w:sz w:val="20"/>
                <w:szCs w:val="20"/>
                <w:color w:val="auto"/>
              </w:rPr>
            </w:pPr>
            <w:r>
              <w:rPr>
                <w:rFonts w:ascii="Arial" w:cs="Arial" w:eastAsia="Arial" w:hAnsi="Arial"/>
                <w:sz w:val="16"/>
                <w:szCs w:val="16"/>
                <w:color w:val="0000FF"/>
              </w:rPr>
              <w:t>Balance Sheet Details</w:t>
            </w:r>
          </w:p>
        </w:tc>
        <w:tc>
          <w:tcPr>
            <w:tcW w:w="5840" w:type="dxa"/>
            <w:vAlign w:val="bottom"/>
            <w:gridSpan w:val="2"/>
            <w:shd w:val="clear" w:color="auto" w:fill="CFF0FC"/>
          </w:tcPr>
          <w:p>
            <w:pPr>
              <w:jc w:val="center"/>
              <w:ind w:left="4819"/>
              <w:spacing w:after="0" w:line="162" w:lineRule="exact"/>
              <w:rPr>
                <w:sz w:val="20"/>
                <w:szCs w:val="20"/>
                <w:color w:val="auto"/>
              </w:rPr>
            </w:pPr>
            <w:r>
              <w:rPr>
                <w:rFonts w:ascii="Arial" w:cs="Arial" w:eastAsia="Arial" w:hAnsi="Arial"/>
                <w:sz w:val="16"/>
                <w:szCs w:val="16"/>
                <w:color w:val="auto"/>
              </w:rPr>
              <w:t>77</w:t>
            </w:r>
          </w:p>
        </w:tc>
      </w:tr>
      <w:tr>
        <w:trPr>
          <w:trHeight w:val="21"/>
        </w:trPr>
        <w:tc>
          <w:tcPr>
            <w:tcW w:w="1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9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1160" w:type="dxa"/>
            <w:vAlign w:val="bottom"/>
          </w:tcPr>
          <w:p>
            <w:pPr>
              <w:ind w:left="380"/>
              <w:spacing w:after="0" w:line="162" w:lineRule="exact"/>
              <w:rPr>
                <w:sz w:val="20"/>
                <w:szCs w:val="20"/>
                <w:color w:val="auto"/>
              </w:rPr>
            </w:pPr>
            <w:r>
              <w:rPr>
                <w:rFonts w:ascii="Arial" w:cs="Arial" w:eastAsia="Arial" w:hAnsi="Arial"/>
                <w:sz w:val="16"/>
                <w:szCs w:val="16"/>
                <w:color w:val="auto"/>
              </w:rPr>
              <w:t>Note 5.</w:t>
            </w:r>
          </w:p>
        </w:tc>
        <w:tc>
          <w:tcPr>
            <w:tcW w:w="4240" w:type="dxa"/>
            <w:vAlign w:val="bottom"/>
            <w:gridSpan w:val="21"/>
          </w:tcPr>
          <w:p>
            <w:pPr>
              <w:ind w:left="20"/>
              <w:spacing w:after="0" w:line="162" w:lineRule="exact"/>
              <w:rPr>
                <w:sz w:val="20"/>
                <w:szCs w:val="20"/>
                <w:color w:val="auto"/>
              </w:rPr>
            </w:pPr>
            <w:r>
              <w:rPr>
                <w:rFonts w:ascii="Arial" w:cs="Arial" w:eastAsia="Arial" w:hAnsi="Arial"/>
                <w:sz w:val="16"/>
                <w:szCs w:val="16"/>
                <w:color w:val="0000FF"/>
              </w:rPr>
              <w:t>Fair Value Measurements</w:t>
            </w:r>
          </w:p>
        </w:tc>
        <w:tc>
          <w:tcPr>
            <w:tcW w:w="5840" w:type="dxa"/>
            <w:vAlign w:val="bottom"/>
            <w:gridSpan w:val="2"/>
          </w:tcPr>
          <w:p>
            <w:pPr>
              <w:jc w:val="center"/>
              <w:ind w:left="4819"/>
              <w:spacing w:after="0" w:line="162" w:lineRule="exact"/>
              <w:rPr>
                <w:sz w:val="20"/>
                <w:szCs w:val="20"/>
                <w:color w:val="auto"/>
              </w:rPr>
            </w:pPr>
            <w:r>
              <w:rPr>
                <w:rFonts w:ascii="Arial" w:cs="Arial" w:eastAsia="Arial" w:hAnsi="Arial"/>
                <w:sz w:val="16"/>
                <w:szCs w:val="16"/>
                <w:color w:val="auto"/>
              </w:rPr>
              <w:t>78</w:t>
            </w: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1160" w:type="dxa"/>
            <w:vAlign w:val="bottom"/>
            <w:tcBorders>
              <w:left w:val="single" w:sz="8" w:color="CFF0FC"/>
            </w:tcBorders>
            <w:shd w:val="clear" w:color="auto" w:fill="CFF0FC"/>
          </w:tcPr>
          <w:p>
            <w:pPr>
              <w:ind w:left="380"/>
              <w:spacing w:after="0" w:line="162" w:lineRule="exact"/>
              <w:rPr>
                <w:sz w:val="20"/>
                <w:szCs w:val="20"/>
                <w:color w:val="auto"/>
              </w:rPr>
            </w:pPr>
            <w:r>
              <w:rPr>
                <w:rFonts w:ascii="Arial" w:cs="Arial" w:eastAsia="Arial" w:hAnsi="Arial"/>
                <w:sz w:val="16"/>
                <w:szCs w:val="16"/>
                <w:color w:val="auto"/>
              </w:rPr>
              <w:t>Note 6.</w:t>
            </w:r>
          </w:p>
        </w:tc>
        <w:tc>
          <w:tcPr>
            <w:tcW w:w="4240" w:type="dxa"/>
            <w:vAlign w:val="bottom"/>
            <w:gridSpan w:val="21"/>
            <w:shd w:val="clear" w:color="auto" w:fill="CFF0FC"/>
          </w:tcPr>
          <w:p>
            <w:pPr>
              <w:ind w:left="20"/>
              <w:spacing w:after="0" w:line="162" w:lineRule="exact"/>
              <w:rPr>
                <w:sz w:val="20"/>
                <w:szCs w:val="20"/>
                <w:color w:val="auto"/>
              </w:rPr>
            </w:pPr>
            <w:r>
              <w:rPr>
                <w:rFonts w:ascii="Arial" w:cs="Arial" w:eastAsia="Arial" w:hAnsi="Arial"/>
                <w:sz w:val="16"/>
                <w:szCs w:val="16"/>
                <w:color w:val="0000FF"/>
              </w:rPr>
              <w:t>Loans</w:t>
            </w:r>
          </w:p>
        </w:tc>
        <w:tc>
          <w:tcPr>
            <w:tcW w:w="5840" w:type="dxa"/>
            <w:vAlign w:val="bottom"/>
            <w:gridSpan w:val="2"/>
            <w:shd w:val="clear" w:color="auto" w:fill="CFF0FC"/>
          </w:tcPr>
          <w:p>
            <w:pPr>
              <w:jc w:val="center"/>
              <w:ind w:left="4819"/>
              <w:spacing w:after="0" w:line="162" w:lineRule="exact"/>
              <w:rPr>
                <w:sz w:val="20"/>
                <w:szCs w:val="20"/>
                <w:color w:val="auto"/>
              </w:rPr>
            </w:pPr>
            <w:r>
              <w:rPr>
                <w:rFonts w:ascii="Arial" w:cs="Arial" w:eastAsia="Arial" w:hAnsi="Arial"/>
                <w:sz w:val="16"/>
                <w:szCs w:val="16"/>
                <w:color w:val="auto"/>
              </w:rPr>
              <w:t>79</w:t>
            </w:r>
          </w:p>
        </w:tc>
      </w:tr>
      <w:tr>
        <w:trPr>
          <w:trHeight w:val="21"/>
        </w:trPr>
        <w:tc>
          <w:tcPr>
            <w:tcW w:w="1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9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1160" w:type="dxa"/>
            <w:vAlign w:val="bottom"/>
          </w:tcPr>
          <w:p>
            <w:pPr>
              <w:ind w:left="380"/>
              <w:spacing w:after="0" w:line="162" w:lineRule="exact"/>
              <w:rPr>
                <w:sz w:val="20"/>
                <w:szCs w:val="20"/>
                <w:color w:val="auto"/>
              </w:rPr>
            </w:pPr>
            <w:r>
              <w:rPr>
                <w:rFonts w:ascii="Arial" w:cs="Arial" w:eastAsia="Arial" w:hAnsi="Arial"/>
                <w:sz w:val="16"/>
                <w:szCs w:val="16"/>
                <w:color w:val="auto"/>
              </w:rPr>
              <w:t>Note 7.</w:t>
            </w:r>
          </w:p>
        </w:tc>
        <w:tc>
          <w:tcPr>
            <w:tcW w:w="4240" w:type="dxa"/>
            <w:vAlign w:val="bottom"/>
            <w:gridSpan w:val="21"/>
          </w:tcPr>
          <w:p>
            <w:pPr>
              <w:ind w:left="20"/>
              <w:spacing w:after="0" w:line="162" w:lineRule="exact"/>
              <w:rPr>
                <w:sz w:val="20"/>
                <w:szCs w:val="20"/>
                <w:color w:val="auto"/>
              </w:rPr>
            </w:pPr>
            <w:r>
              <w:rPr>
                <w:rFonts w:ascii="Arial" w:cs="Arial" w:eastAsia="Arial" w:hAnsi="Arial"/>
                <w:sz w:val="16"/>
                <w:szCs w:val="16"/>
                <w:color w:val="0000FF"/>
              </w:rPr>
              <w:t>Leases</w:t>
            </w:r>
          </w:p>
        </w:tc>
        <w:tc>
          <w:tcPr>
            <w:tcW w:w="5840" w:type="dxa"/>
            <w:vAlign w:val="bottom"/>
            <w:gridSpan w:val="2"/>
          </w:tcPr>
          <w:p>
            <w:pPr>
              <w:jc w:val="center"/>
              <w:ind w:left="4819"/>
              <w:spacing w:after="0" w:line="162" w:lineRule="exact"/>
              <w:rPr>
                <w:sz w:val="20"/>
                <w:szCs w:val="20"/>
                <w:color w:val="auto"/>
              </w:rPr>
            </w:pPr>
            <w:r>
              <w:rPr>
                <w:rFonts w:ascii="Arial" w:cs="Arial" w:eastAsia="Arial" w:hAnsi="Arial"/>
                <w:sz w:val="16"/>
                <w:szCs w:val="16"/>
                <w:color w:val="auto"/>
              </w:rPr>
              <w:t>79</w:t>
            </w: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1160" w:type="dxa"/>
            <w:vAlign w:val="bottom"/>
            <w:tcBorders>
              <w:left w:val="single" w:sz="8" w:color="CFF0FC"/>
            </w:tcBorders>
            <w:shd w:val="clear" w:color="auto" w:fill="CFF0FC"/>
          </w:tcPr>
          <w:p>
            <w:pPr>
              <w:ind w:left="380"/>
              <w:spacing w:after="0" w:line="162" w:lineRule="exact"/>
              <w:rPr>
                <w:sz w:val="20"/>
                <w:szCs w:val="20"/>
                <w:color w:val="auto"/>
              </w:rPr>
            </w:pPr>
            <w:r>
              <w:rPr>
                <w:rFonts w:ascii="Arial" w:cs="Arial" w:eastAsia="Arial" w:hAnsi="Arial"/>
                <w:sz w:val="16"/>
                <w:szCs w:val="16"/>
                <w:color w:val="auto"/>
              </w:rPr>
              <w:t>Note 8.</w:t>
            </w:r>
          </w:p>
        </w:tc>
        <w:tc>
          <w:tcPr>
            <w:tcW w:w="4240" w:type="dxa"/>
            <w:vAlign w:val="bottom"/>
            <w:gridSpan w:val="21"/>
            <w:shd w:val="clear" w:color="auto" w:fill="CFF0FC"/>
          </w:tcPr>
          <w:p>
            <w:pPr>
              <w:ind w:left="20"/>
              <w:spacing w:after="0" w:line="162" w:lineRule="exact"/>
              <w:rPr>
                <w:sz w:val="20"/>
                <w:szCs w:val="20"/>
                <w:color w:val="auto"/>
              </w:rPr>
            </w:pPr>
            <w:r>
              <w:rPr>
                <w:rFonts w:ascii="Arial" w:cs="Arial" w:eastAsia="Arial" w:hAnsi="Arial"/>
                <w:sz w:val="16"/>
                <w:szCs w:val="16"/>
                <w:color w:val="0000FF"/>
              </w:rPr>
              <w:t>Tempus Agreement</w:t>
            </w:r>
          </w:p>
        </w:tc>
        <w:tc>
          <w:tcPr>
            <w:tcW w:w="5840" w:type="dxa"/>
            <w:vAlign w:val="bottom"/>
            <w:gridSpan w:val="2"/>
            <w:shd w:val="clear" w:color="auto" w:fill="CFF0FC"/>
          </w:tcPr>
          <w:p>
            <w:pPr>
              <w:jc w:val="center"/>
              <w:ind w:left="4819"/>
              <w:spacing w:after="0" w:line="162" w:lineRule="exact"/>
              <w:rPr>
                <w:sz w:val="20"/>
                <w:szCs w:val="20"/>
                <w:color w:val="auto"/>
              </w:rPr>
            </w:pPr>
            <w:r>
              <w:rPr>
                <w:rFonts w:ascii="Arial" w:cs="Arial" w:eastAsia="Arial" w:hAnsi="Arial"/>
                <w:sz w:val="16"/>
                <w:szCs w:val="16"/>
                <w:color w:val="auto"/>
              </w:rPr>
              <w:t>81</w:t>
            </w:r>
          </w:p>
        </w:tc>
      </w:tr>
      <w:tr>
        <w:trPr>
          <w:trHeight w:val="21"/>
        </w:trPr>
        <w:tc>
          <w:tcPr>
            <w:tcW w:w="1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9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1160" w:type="dxa"/>
            <w:vAlign w:val="bottom"/>
          </w:tcPr>
          <w:p>
            <w:pPr>
              <w:ind w:left="380"/>
              <w:spacing w:after="0" w:line="162" w:lineRule="exact"/>
              <w:rPr>
                <w:sz w:val="20"/>
                <w:szCs w:val="20"/>
                <w:color w:val="auto"/>
              </w:rPr>
            </w:pPr>
            <w:r>
              <w:rPr>
                <w:rFonts w:ascii="Arial" w:cs="Arial" w:eastAsia="Arial" w:hAnsi="Arial"/>
                <w:sz w:val="16"/>
                <w:szCs w:val="16"/>
                <w:color w:val="auto"/>
              </w:rPr>
              <w:t>Note 9.</w:t>
            </w:r>
          </w:p>
        </w:tc>
        <w:tc>
          <w:tcPr>
            <w:tcW w:w="4240" w:type="dxa"/>
            <w:vAlign w:val="bottom"/>
            <w:gridSpan w:val="21"/>
          </w:tcPr>
          <w:p>
            <w:pPr>
              <w:ind w:left="20"/>
              <w:spacing w:after="0" w:line="162" w:lineRule="exact"/>
              <w:rPr>
                <w:sz w:val="20"/>
                <w:szCs w:val="20"/>
                <w:color w:val="auto"/>
              </w:rPr>
            </w:pPr>
            <w:r>
              <w:rPr>
                <w:rFonts w:ascii="Arial" w:cs="Arial" w:eastAsia="Arial" w:hAnsi="Arial"/>
                <w:sz w:val="16"/>
                <w:szCs w:val="16"/>
                <w:color w:val="0000FF"/>
              </w:rPr>
              <w:t>Restructuring and Other Charges</w:t>
            </w:r>
          </w:p>
        </w:tc>
        <w:tc>
          <w:tcPr>
            <w:tcW w:w="5840" w:type="dxa"/>
            <w:vAlign w:val="bottom"/>
            <w:gridSpan w:val="2"/>
          </w:tcPr>
          <w:p>
            <w:pPr>
              <w:jc w:val="center"/>
              <w:ind w:left="4819"/>
              <w:spacing w:after="0" w:line="162" w:lineRule="exact"/>
              <w:rPr>
                <w:sz w:val="20"/>
                <w:szCs w:val="20"/>
                <w:color w:val="auto"/>
              </w:rPr>
            </w:pPr>
            <w:r>
              <w:rPr>
                <w:rFonts w:ascii="Arial" w:cs="Arial" w:eastAsia="Arial" w:hAnsi="Arial"/>
                <w:sz w:val="16"/>
                <w:szCs w:val="16"/>
                <w:color w:val="auto"/>
              </w:rPr>
              <w:t>82</w:t>
            </w: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1160" w:type="dxa"/>
            <w:vAlign w:val="bottom"/>
            <w:tcBorders>
              <w:left w:val="single" w:sz="8" w:color="CFF0FC"/>
            </w:tcBorders>
            <w:shd w:val="clear" w:color="auto" w:fill="CFF0FC"/>
          </w:tcPr>
          <w:p>
            <w:pPr>
              <w:ind w:left="380"/>
              <w:spacing w:after="0" w:line="162" w:lineRule="exact"/>
              <w:rPr>
                <w:sz w:val="20"/>
                <w:szCs w:val="20"/>
                <w:color w:val="auto"/>
              </w:rPr>
            </w:pPr>
            <w:r>
              <w:rPr>
                <w:rFonts w:ascii="Arial" w:cs="Arial" w:eastAsia="Arial" w:hAnsi="Arial"/>
                <w:sz w:val="16"/>
                <w:szCs w:val="16"/>
                <w:color w:val="auto"/>
              </w:rPr>
              <w:t>Note 10.</w:t>
            </w:r>
          </w:p>
        </w:tc>
        <w:tc>
          <w:tcPr>
            <w:tcW w:w="4240" w:type="dxa"/>
            <w:vAlign w:val="bottom"/>
            <w:gridSpan w:val="21"/>
            <w:shd w:val="clear" w:color="auto" w:fill="CFF0FC"/>
          </w:tcPr>
          <w:p>
            <w:pPr>
              <w:ind w:left="20"/>
              <w:spacing w:after="0" w:line="162" w:lineRule="exact"/>
              <w:rPr>
                <w:sz w:val="20"/>
                <w:szCs w:val="20"/>
                <w:color w:val="auto"/>
              </w:rPr>
            </w:pPr>
            <w:r>
              <w:rPr>
                <w:rFonts w:ascii="Arial" w:cs="Arial" w:eastAsia="Arial" w:hAnsi="Arial"/>
                <w:sz w:val="16"/>
                <w:szCs w:val="16"/>
                <w:color w:val="0000FF"/>
              </w:rPr>
              <w:t>Stock-Based Compensation</w:t>
            </w:r>
          </w:p>
        </w:tc>
        <w:tc>
          <w:tcPr>
            <w:tcW w:w="5840" w:type="dxa"/>
            <w:vAlign w:val="bottom"/>
            <w:gridSpan w:val="2"/>
            <w:shd w:val="clear" w:color="auto" w:fill="CFF0FC"/>
          </w:tcPr>
          <w:p>
            <w:pPr>
              <w:jc w:val="center"/>
              <w:ind w:left="4819"/>
              <w:spacing w:after="0" w:line="162" w:lineRule="exact"/>
              <w:rPr>
                <w:sz w:val="20"/>
                <w:szCs w:val="20"/>
                <w:color w:val="auto"/>
              </w:rPr>
            </w:pPr>
            <w:r>
              <w:rPr>
                <w:rFonts w:ascii="Arial" w:cs="Arial" w:eastAsia="Arial" w:hAnsi="Arial"/>
                <w:sz w:val="16"/>
                <w:szCs w:val="16"/>
                <w:color w:val="auto"/>
              </w:rPr>
              <w:t>83</w:t>
            </w:r>
          </w:p>
        </w:tc>
      </w:tr>
      <w:tr>
        <w:trPr>
          <w:trHeight w:val="21"/>
        </w:trPr>
        <w:tc>
          <w:tcPr>
            <w:tcW w:w="1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9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5400" w:type="dxa"/>
            <w:vAlign w:val="bottom"/>
            <w:gridSpan w:val="22"/>
          </w:tcPr>
          <w:p>
            <w:pPr>
              <w:ind w:left="380"/>
              <w:spacing w:after="0" w:line="162" w:lineRule="exact"/>
              <w:rPr>
                <w:sz w:val="20"/>
                <w:szCs w:val="20"/>
                <w:color w:val="auto"/>
              </w:rPr>
            </w:pPr>
            <w:r>
              <w:rPr>
                <w:rFonts w:ascii="Arial" w:cs="Arial" w:eastAsia="Arial" w:hAnsi="Arial"/>
                <w:sz w:val="16"/>
                <w:szCs w:val="16"/>
                <w:color w:val="auto"/>
              </w:rPr>
              <w:t xml:space="preserve">Note 11.  </w:t>
            </w:r>
            <w:r>
              <w:rPr>
                <w:rFonts w:ascii="Arial" w:cs="Arial" w:eastAsia="Arial" w:hAnsi="Arial"/>
                <w:sz w:val="16"/>
                <w:szCs w:val="16"/>
                <w:color w:val="0000FF"/>
              </w:rPr>
              <w:t>Commitments and Contingencies</w:t>
            </w:r>
          </w:p>
        </w:tc>
        <w:tc>
          <w:tcPr>
            <w:tcW w:w="5840" w:type="dxa"/>
            <w:vAlign w:val="bottom"/>
            <w:gridSpan w:val="2"/>
          </w:tcPr>
          <w:p>
            <w:pPr>
              <w:jc w:val="center"/>
              <w:ind w:left="4819"/>
              <w:spacing w:after="0" w:line="162" w:lineRule="exact"/>
              <w:rPr>
                <w:sz w:val="20"/>
                <w:szCs w:val="20"/>
                <w:color w:val="auto"/>
              </w:rPr>
            </w:pPr>
            <w:r>
              <w:rPr>
                <w:rFonts w:ascii="Arial" w:cs="Arial" w:eastAsia="Arial" w:hAnsi="Arial"/>
                <w:sz w:val="16"/>
                <w:szCs w:val="16"/>
                <w:color w:val="auto"/>
              </w:rPr>
              <w:t>86</w:t>
            </w:r>
          </w:p>
        </w:tc>
      </w:tr>
      <w:tr>
        <w:trPr>
          <w:trHeight w:val="21"/>
        </w:trPr>
        <w:tc>
          <w:tcPr>
            <w:tcW w:w="11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1160" w:type="dxa"/>
            <w:vAlign w:val="bottom"/>
            <w:tcBorders>
              <w:left w:val="single" w:sz="8" w:color="CFF0FC"/>
            </w:tcBorders>
            <w:shd w:val="clear" w:color="auto" w:fill="CFF0FC"/>
          </w:tcPr>
          <w:p>
            <w:pPr>
              <w:ind w:left="380"/>
              <w:spacing w:after="0" w:line="162" w:lineRule="exact"/>
              <w:rPr>
                <w:sz w:val="20"/>
                <w:szCs w:val="20"/>
                <w:color w:val="auto"/>
              </w:rPr>
            </w:pPr>
            <w:r>
              <w:rPr>
                <w:rFonts w:ascii="Arial" w:cs="Arial" w:eastAsia="Arial" w:hAnsi="Arial"/>
                <w:sz w:val="16"/>
                <w:szCs w:val="16"/>
                <w:color w:val="auto"/>
              </w:rPr>
              <w:t>Note 12.</w:t>
            </w:r>
          </w:p>
        </w:tc>
        <w:tc>
          <w:tcPr>
            <w:tcW w:w="4240" w:type="dxa"/>
            <w:vAlign w:val="bottom"/>
            <w:gridSpan w:val="21"/>
            <w:shd w:val="clear" w:color="auto" w:fill="CFF0FC"/>
          </w:tcPr>
          <w:p>
            <w:pPr>
              <w:ind w:left="20"/>
              <w:spacing w:after="0" w:line="162" w:lineRule="exact"/>
              <w:rPr>
                <w:sz w:val="20"/>
                <w:szCs w:val="20"/>
                <w:color w:val="auto"/>
              </w:rPr>
            </w:pPr>
            <w:r>
              <w:rPr>
                <w:rFonts w:ascii="Arial" w:cs="Arial" w:eastAsia="Arial" w:hAnsi="Arial"/>
                <w:sz w:val="16"/>
                <w:szCs w:val="16"/>
                <w:color w:val="0000FF"/>
              </w:rPr>
              <w:t>Basic and Diluted Net Loss Per Common Share</w:t>
            </w:r>
          </w:p>
        </w:tc>
        <w:tc>
          <w:tcPr>
            <w:tcW w:w="5840" w:type="dxa"/>
            <w:vAlign w:val="bottom"/>
            <w:gridSpan w:val="2"/>
            <w:shd w:val="clear" w:color="auto" w:fill="CFF0FC"/>
          </w:tcPr>
          <w:p>
            <w:pPr>
              <w:jc w:val="center"/>
              <w:ind w:left="4819"/>
              <w:spacing w:after="0" w:line="162" w:lineRule="exact"/>
              <w:rPr>
                <w:sz w:val="20"/>
                <w:szCs w:val="20"/>
                <w:color w:val="auto"/>
              </w:rPr>
            </w:pPr>
            <w:r>
              <w:rPr>
                <w:rFonts w:ascii="Arial" w:cs="Arial" w:eastAsia="Arial" w:hAnsi="Arial"/>
                <w:sz w:val="16"/>
                <w:szCs w:val="16"/>
                <w:color w:val="auto"/>
              </w:rPr>
              <w:t>87</w:t>
            </w:r>
          </w:p>
        </w:tc>
      </w:tr>
      <w:tr>
        <w:trPr>
          <w:trHeight w:val="21"/>
        </w:trPr>
        <w:tc>
          <w:tcPr>
            <w:tcW w:w="1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9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1160" w:type="dxa"/>
            <w:vAlign w:val="bottom"/>
          </w:tcPr>
          <w:p>
            <w:pPr>
              <w:ind w:left="380"/>
              <w:spacing w:after="0" w:line="162" w:lineRule="exact"/>
              <w:rPr>
                <w:sz w:val="20"/>
                <w:szCs w:val="20"/>
                <w:color w:val="auto"/>
              </w:rPr>
            </w:pPr>
            <w:r>
              <w:rPr>
                <w:rFonts w:ascii="Arial" w:cs="Arial" w:eastAsia="Arial" w:hAnsi="Arial"/>
                <w:sz w:val="16"/>
                <w:szCs w:val="16"/>
                <w:color w:val="auto"/>
              </w:rPr>
              <w:t>Note 13.</w:t>
            </w:r>
          </w:p>
        </w:tc>
        <w:tc>
          <w:tcPr>
            <w:tcW w:w="4240" w:type="dxa"/>
            <w:vAlign w:val="bottom"/>
            <w:gridSpan w:val="21"/>
          </w:tcPr>
          <w:p>
            <w:pPr>
              <w:ind w:left="20"/>
              <w:spacing w:after="0" w:line="162" w:lineRule="exact"/>
              <w:rPr>
                <w:sz w:val="20"/>
                <w:szCs w:val="20"/>
                <w:color w:val="auto"/>
              </w:rPr>
            </w:pPr>
            <w:r>
              <w:rPr>
                <w:rFonts w:ascii="Arial" w:cs="Arial" w:eastAsia="Arial" w:hAnsi="Arial"/>
                <w:sz w:val="16"/>
                <w:szCs w:val="16"/>
                <w:color w:val="0000FF"/>
              </w:rPr>
              <w:t>Income Taxes</w:t>
            </w:r>
          </w:p>
        </w:tc>
        <w:tc>
          <w:tcPr>
            <w:tcW w:w="5840" w:type="dxa"/>
            <w:vAlign w:val="bottom"/>
            <w:gridSpan w:val="2"/>
          </w:tcPr>
          <w:p>
            <w:pPr>
              <w:jc w:val="center"/>
              <w:ind w:left="4819"/>
              <w:spacing w:after="0" w:line="162" w:lineRule="exact"/>
              <w:rPr>
                <w:sz w:val="20"/>
                <w:szCs w:val="20"/>
                <w:color w:val="auto"/>
              </w:rPr>
            </w:pPr>
            <w:r>
              <w:rPr>
                <w:rFonts w:ascii="Arial" w:cs="Arial" w:eastAsia="Arial" w:hAnsi="Arial"/>
                <w:sz w:val="16"/>
                <w:szCs w:val="16"/>
                <w:color w:val="auto"/>
              </w:rPr>
              <w:t>88</w:t>
            </w: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3"/>
        </w:trPr>
        <w:tc>
          <w:tcPr>
            <w:tcW w:w="1180" w:type="dxa"/>
            <w:vAlign w:val="bottom"/>
            <w:tcBorders>
              <w:left w:val="single" w:sz="8" w:color="CFF0FC"/>
            </w:tcBorders>
            <w:gridSpan w:val="2"/>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9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162"/>
        </w:trPr>
        <w:tc>
          <w:tcPr>
            <w:tcW w:w="5400" w:type="dxa"/>
            <w:vAlign w:val="bottom"/>
            <w:gridSpan w:val="22"/>
          </w:tcPr>
          <w:p>
            <w:pPr>
              <w:ind w:left="20"/>
              <w:spacing w:after="0" w:line="162" w:lineRule="exact"/>
              <w:rPr>
                <w:sz w:val="20"/>
                <w:szCs w:val="20"/>
                <w:color w:val="auto"/>
              </w:rPr>
            </w:pPr>
            <w:r>
              <w:rPr>
                <w:rFonts w:ascii="Arial" w:cs="Arial" w:eastAsia="Arial" w:hAnsi="Arial"/>
                <w:sz w:val="16"/>
                <w:szCs w:val="16"/>
                <w:color w:val="0000FF"/>
              </w:rPr>
              <w:t>Reports of Independent Registered Public Accounting Firms</w:t>
            </w:r>
          </w:p>
        </w:tc>
        <w:tc>
          <w:tcPr>
            <w:tcW w:w="5840" w:type="dxa"/>
            <w:vAlign w:val="bottom"/>
            <w:gridSpan w:val="2"/>
          </w:tcPr>
          <w:p>
            <w:pPr>
              <w:jc w:val="center"/>
              <w:ind w:left="4819"/>
              <w:spacing w:after="0" w:line="162" w:lineRule="exact"/>
              <w:rPr>
                <w:sz w:val="20"/>
                <w:szCs w:val="20"/>
                <w:color w:val="auto"/>
              </w:rPr>
            </w:pPr>
            <w:r>
              <w:rPr>
                <w:rFonts w:ascii="Arial" w:cs="Arial" w:eastAsia="Arial" w:hAnsi="Arial"/>
                <w:sz w:val="16"/>
                <w:szCs w:val="16"/>
                <w:color w:val="auto"/>
              </w:rPr>
              <w:t>91</w:t>
            </w:r>
          </w:p>
        </w:tc>
      </w:tr>
      <w:tr>
        <w:trPr>
          <w:trHeight w:val="20"/>
        </w:trPr>
        <w:tc>
          <w:tcPr>
            <w:tcW w:w="4320" w:type="dxa"/>
            <w:vAlign w:val="bottom"/>
            <w:tcBorders>
              <w:left w:val="single" w:sz="8" w:color="0000EE"/>
            </w:tcBorders>
            <w:gridSpan w:val="20"/>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8"/>
        </w:trPr>
        <w:tc>
          <w:tcPr>
            <w:tcW w:w="5400" w:type="dxa"/>
            <w:vAlign w:val="bottom"/>
            <w:gridSpan w:val="22"/>
          </w:tcPr>
          <w:p>
            <w:pPr>
              <w:ind w:left="20"/>
              <w:spacing w:after="0"/>
              <w:rPr>
                <w:sz w:val="20"/>
                <w:szCs w:val="20"/>
                <w:color w:val="auto"/>
              </w:rPr>
            </w:pPr>
            <w:r>
              <w:rPr>
                <w:rFonts w:ascii="Arial" w:cs="Arial" w:eastAsia="Arial" w:hAnsi="Arial"/>
                <w:sz w:val="16"/>
                <w:szCs w:val="16"/>
                <w:color w:val="auto"/>
              </w:rPr>
              <w:t>(BDO USA, P.C., PCAOB ID: 243; Deloitte &amp; Touche LLP, PCAOB ID: 34)</w:t>
            </w:r>
          </w:p>
        </w:tc>
        <w:tc>
          <w:tcPr>
            <w:tcW w:w="49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634"/>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900" w:type="dxa"/>
            <w:vAlign w:val="bottom"/>
          </w:tcPr>
          <w:p>
            <w:pPr>
              <w:jc w:val="right"/>
              <w:ind w:right="4499"/>
              <w:spacing w:after="0"/>
              <w:rPr>
                <w:sz w:val="20"/>
                <w:szCs w:val="20"/>
                <w:color w:val="auto"/>
              </w:rPr>
            </w:pPr>
            <w:r>
              <w:rPr>
                <w:rFonts w:ascii="Arial" w:cs="Arial" w:eastAsia="Arial" w:hAnsi="Arial"/>
                <w:sz w:val="16"/>
                <w:szCs w:val="16"/>
                <w:color w:val="auto"/>
              </w:rPr>
              <w:t>65</w:t>
            </w:r>
          </w:p>
        </w:tc>
        <w:tc>
          <w:tcPr>
            <w:tcW w:w="940" w:type="dxa"/>
            <w:vAlign w:val="bottom"/>
          </w:tcPr>
          <w:p>
            <w:pPr>
              <w:spacing w:after="0"/>
              <w:rPr>
                <w:sz w:val="24"/>
                <w:szCs w:val="24"/>
                <w:color w:val="auto"/>
              </w:rPr>
            </w:pPr>
          </w:p>
        </w:tc>
      </w:tr>
      <w:tr>
        <w:trPr>
          <w:trHeight w:val="751"/>
        </w:trPr>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December 31, 2023</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December 31, 2022</w:t>
            </w: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56,984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89,128</w:t>
            </w: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57,195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78,530</w:t>
            </w: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17,730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16,642</w:t>
            </w: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Inventory and other deferred costs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10,474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8,591</w:t>
            </w:r>
          </w:p>
        </w:tc>
      </w:tr>
      <w:tr>
        <w:trPr>
          <w:trHeight w:val="217"/>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4,361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6,808</w:t>
            </w:r>
          </w:p>
        </w:tc>
      </w:tr>
      <w:tr>
        <w:trPr>
          <w:trHeight w:val="209"/>
        </w:trPr>
        <w:tc>
          <w:tcPr>
            <w:tcW w:w="7720" w:type="dxa"/>
            <w:vAlign w:val="bottom"/>
          </w:tcPr>
          <w:p>
            <w:pPr>
              <w:ind w:left="56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146,744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199,699</w:t>
            </w: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57,366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61,935</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17,852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26,480</w:t>
            </w:r>
          </w:p>
        </w:tc>
      </w:tr>
      <w:tr>
        <w:trPr>
          <w:trHeight w:val="21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assets</w:t>
            </w: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3,137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4,586</w:t>
            </w:r>
          </w:p>
        </w:tc>
      </w:tr>
      <w:tr>
        <w:trPr>
          <w:trHeight w:val="209"/>
        </w:trPr>
        <w:tc>
          <w:tcPr>
            <w:tcW w:w="7720" w:type="dxa"/>
            <w:vAlign w:val="bottom"/>
          </w:tcPr>
          <w:p>
            <w:pPr>
              <w:ind w:left="56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225,099</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292,700</w:t>
            </w:r>
          </w:p>
        </w:tc>
      </w:tr>
      <w:tr>
        <w:trPr>
          <w:trHeight w:val="20"/>
        </w:trPr>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14,920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12,854</w:t>
            </w: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Accrued and other current liabilities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23,941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19,013</w:t>
            </w: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Contract liabilities</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3,288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1,264</w:t>
            </w: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Short-term warrant liability</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5,085</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77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47,234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33,131</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38,321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41,041</w:t>
            </w: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warrant liability</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4,942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5,161</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389</w:t>
            </w:r>
          </w:p>
        </w:tc>
      </w:tr>
      <w:tr>
        <w:trPr>
          <w:trHeight w:val="209"/>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95,658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74,561</w:t>
            </w:r>
          </w:p>
        </w:tc>
      </w:tr>
      <w:tr>
        <w:trPr>
          <w:trHeight w:val="209"/>
        </w:trPr>
        <w:tc>
          <w:tcPr>
            <w:tcW w:w="772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5"/>
        </w:trPr>
        <w:tc>
          <w:tcPr>
            <w:tcW w:w="7720" w:type="dxa"/>
            <w:vAlign w:val="bottom"/>
          </w:tcPr>
          <w:p>
            <w:pPr>
              <w:ind w:left="38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$0.0001 par value — 200,000,000 shares authorized; 50,480,694 and</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r>
      <w:tr>
        <w:trPr>
          <w:trHeight w:val="21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46,707,084 shares issued and outstanding, respectively</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r>
      <w:tr>
        <w:trPr>
          <w:trHeight w:val="215"/>
        </w:trPr>
        <w:tc>
          <w:tcPr>
            <w:tcW w:w="772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598,364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579,456</w:t>
            </w:r>
          </w:p>
        </w:tc>
      </w:tr>
      <w:tr>
        <w:trPr>
          <w:trHeight w:val="21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(222 )</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(912 )</w:t>
            </w:r>
          </w:p>
        </w:tc>
      </w:tr>
      <w:tr>
        <w:trPr>
          <w:trHeight w:val="216"/>
        </w:trPr>
        <w:tc>
          <w:tcPr>
            <w:tcW w:w="772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(468,706 )</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(360,410 )</w:t>
            </w:r>
          </w:p>
        </w:tc>
      </w:tr>
      <w:tr>
        <w:trPr>
          <w:trHeight w:val="210"/>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129,441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218,139</w:t>
            </w:r>
          </w:p>
        </w:tc>
      </w:tr>
      <w:tr>
        <w:trPr>
          <w:trHeight w:val="209"/>
        </w:trPr>
        <w:tc>
          <w:tcPr>
            <w:tcW w:w="7720" w:type="dxa"/>
            <w:vAlign w:val="bottom"/>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225,099</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292,700</w:t>
            </w:r>
          </w:p>
        </w:tc>
      </w:tr>
      <w:tr>
        <w:trPr>
          <w:trHeight w:val="20"/>
        </w:trPr>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-3659505</wp:posOffset>
            </wp:positionV>
            <wp:extent cx="1111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-3102610</wp:posOffset>
            </wp:positionV>
            <wp:extent cx="1111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-1405255</wp:posOffset>
            </wp:positionV>
            <wp:extent cx="1111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2"/>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73,481</w:t>
            </w:r>
          </w:p>
        </w:tc>
        <w:tc>
          <w:tcPr>
            <w:tcW w:w="4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65,047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85,494</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55,273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51,697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53,837</w:t>
            </w:r>
          </w:p>
        </w:tc>
      </w:tr>
      <w:tr>
        <w:trPr>
          <w:trHeight w:val="215"/>
        </w:trPr>
        <w:tc>
          <w:tcPr>
            <w:tcW w:w="664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64,776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64,912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49,312</w:t>
            </w:r>
          </w:p>
        </w:tc>
      </w:tr>
      <w:tr>
        <w:trPr>
          <w:trHeight w:val="217"/>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49,726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63,969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47,698</w:t>
            </w:r>
          </w:p>
        </w:tc>
      </w:tr>
      <w:tr>
        <w:trPr>
          <w:trHeight w:val="215"/>
        </w:trPr>
        <w:tc>
          <w:tcPr>
            <w:tcW w:w="6640" w:type="dxa"/>
            <w:vAlign w:val="bottom"/>
          </w:tcPr>
          <w:p>
            <w:pPr>
              <w:ind w:left="200"/>
              <w:spacing w:after="0"/>
              <w:rPr>
                <w:sz w:val="20"/>
                <w:szCs w:val="20"/>
                <w:color w:val="auto"/>
              </w:rPr>
            </w:pPr>
            <w:r>
              <w:rPr>
                <w:rFonts w:ascii="Arial" w:cs="Arial" w:eastAsia="Arial" w:hAnsi="Arial"/>
                <w:sz w:val="16"/>
                <w:szCs w:val="16"/>
                <w:color w:val="auto"/>
              </w:rPr>
              <w:t>Lease impairment</w:t>
            </w:r>
          </w:p>
        </w:tc>
        <w:tc>
          <w:tcPr>
            <w:tcW w:w="30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5,565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7"/>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and other charges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8,077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9"/>
        </w:trPr>
        <w:tc>
          <w:tcPr>
            <w:tcW w:w="664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Total costs and expenses</w:t>
            </w: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183,417</w:t>
            </w: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180,578</w:t>
            </w: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150,847</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(109,936 )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(115,531 )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(65,353 )</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5,901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2,396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367</w:t>
            </w:r>
          </w:p>
        </w:tc>
      </w:tr>
      <w:tr>
        <w:trPr>
          <w:trHeight w:val="217"/>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(184 )</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(4,068 )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(42 )</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(108,213 )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(113,275 )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(65,212 )</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r>
      <w:tr>
        <w:trPr>
          <w:trHeight w:val="249"/>
        </w:trPr>
        <w:tc>
          <w:tcPr>
            <w:tcW w:w="66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(108,296 )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(113,315 )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(65,226 )</w:t>
            </w:r>
          </w:p>
        </w:tc>
      </w:tr>
      <w:tr>
        <w:trPr>
          <w:trHeight w:val="197"/>
        </w:trPr>
        <w:tc>
          <w:tcPr>
            <w:tcW w:w="664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(2.25 )</w:t>
            </w: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(2.48 )</w:t>
            </w:r>
          </w:p>
        </w:tc>
        <w:tc>
          <w:tcPr>
            <w:tcW w:w="14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(1.49 )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Weighted-average shares outstanding, basic and diluted</w:t>
            </w: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48,175,201</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45,704,805</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43,886,730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-1482090</wp:posOffset>
            </wp:positionV>
            <wp:extent cx="1028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-1482090</wp:posOffset>
            </wp:positionV>
            <wp:extent cx="939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-350520</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-333375</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-350520</wp:posOffset>
            </wp:positionV>
            <wp:extent cx="939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-333375</wp:posOffset>
            </wp:positionV>
            <wp:extent cx="939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(108,296 )</w:t>
            </w:r>
          </w:p>
        </w:tc>
        <w:tc>
          <w:tcPr>
            <w:tcW w:w="4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(113,315 )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(65,226 )</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49</w:t>
            </w:r>
          </w:p>
        </w:tc>
      </w:tr>
      <w:tr>
        <w:trPr>
          <w:trHeight w:val="216"/>
        </w:trPr>
        <w:tc>
          <w:tcPr>
            <w:tcW w:w="6640" w:type="dxa"/>
            <w:vAlign w:val="bottom"/>
          </w:tcPr>
          <w:p>
            <w:pPr>
              <w:ind w:left="200"/>
              <w:spacing w:after="0"/>
              <w:rPr>
                <w:sz w:val="20"/>
                <w:szCs w:val="20"/>
                <w:color w:val="auto"/>
              </w:rPr>
            </w:pPr>
            <w:r>
              <w:rPr>
                <w:rFonts w:ascii="Arial" w:cs="Arial" w:eastAsia="Arial" w:hAnsi="Arial"/>
                <w:sz w:val="16"/>
                <w:szCs w:val="16"/>
                <w:color w:val="auto"/>
              </w:rPr>
              <w:t>Change in unrealized gain (loss) on available-for-sale debt securities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671</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(237 )</w:t>
            </w: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(107,606 )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(114,061 )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(65,414 )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18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920" w:type="dxa"/>
            <w:vAlign w:val="bottom"/>
            <w:gridSpan w:val="3"/>
            <w:vMerge w:val="restart"/>
          </w:tcPr>
          <w:p>
            <w:pPr>
              <w:jc w:val="right"/>
              <w:ind w:right="264"/>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Comprehens</w:t>
            </w: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92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200"/>
              <w:spacing w:after="0"/>
              <w:rPr>
                <w:sz w:val="20"/>
                <w:szCs w:val="20"/>
                <w:color w:val="auto"/>
              </w:rPr>
            </w:pPr>
            <w:r>
              <w:rPr>
                <w:rFonts w:ascii="Arial" w:cs="Arial" w:eastAsia="Arial" w:hAnsi="Arial"/>
                <w:sz w:val="14"/>
                <w:szCs w:val="14"/>
                <w:b w:val="1"/>
                <w:bCs w:val="1"/>
                <w:color w:val="auto"/>
              </w:rPr>
              <w:t>ive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20"/>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80"/>
              <w:spacing w:after="0"/>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220"/>
              <w:spacing w:after="0" w:line="160"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00" w:type="dxa"/>
            <w:vAlign w:val="bottom"/>
          </w:tcPr>
          <w:p>
            <w:pPr>
              <w:spacing w:after="0"/>
              <w:rPr>
                <w:sz w:val="17"/>
                <w:szCs w:val="17"/>
                <w:color w:val="auto"/>
              </w:rPr>
            </w:pPr>
          </w:p>
        </w:tc>
        <w:tc>
          <w:tcPr>
            <w:tcW w:w="10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9"/>
              </w:rPr>
              <w:t>(Loss)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1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460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CFF0FC"/>
            </w:tcBorders>
            <w:shd w:val="clear" w:color="auto" w:fill="CFF0FC"/>
          </w:tcPr>
          <w:p>
            <w:pPr>
              <w:jc w:val="right"/>
              <w:ind w:right="60"/>
              <w:spacing w:after="0" w:line="162" w:lineRule="exact"/>
              <w:rPr>
                <w:sz w:val="20"/>
                <w:szCs w:val="20"/>
                <w:color w:val="auto"/>
              </w:rPr>
            </w:pPr>
            <w:r>
              <w:rPr>
                <w:rFonts w:ascii="Arial" w:cs="Arial" w:eastAsia="Arial" w:hAnsi="Arial"/>
                <w:sz w:val="16"/>
                <w:szCs w:val="16"/>
                <w:color w:val="auto"/>
              </w:rPr>
              <w:t>39,105,54</w:t>
            </w:r>
          </w:p>
        </w:tc>
        <w:tc>
          <w:tcPr>
            <w:tcW w:w="120" w:type="dxa"/>
            <w:vAlign w:val="bottom"/>
            <w:tcBorders>
              <w:top w:val="single" w:sz="8" w:color="CFF0FC"/>
            </w:tcBorders>
            <w:shd w:val="clear" w:color="auto" w:fill="CFF0FC"/>
          </w:tcPr>
          <w:p>
            <w:pPr>
              <w:spacing w:after="0"/>
              <w:rPr>
                <w:sz w:val="14"/>
                <w:szCs w:val="14"/>
                <w:color w:val="auto"/>
              </w:rPr>
            </w:pPr>
          </w:p>
        </w:tc>
        <w:tc>
          <w:tcPr>
            <w:tcW w:w="7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8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2020</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c>
          <w:tcPr>
            <w:tcW w:w="840" w:type="dxa"/>
            <w:vAlign w:val="bottom"/>
            <w:gridSpan w:val="2"/>
            <w:shd w:val="clear" w:color="auto" w:fill="CFF0FC"/>
          </w:tcPr>
          <w:p>
            <w:pPr>
              <w:jc w:val="right"/>
              <w:ind w:right="544"/>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376,788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(181,869 )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194,945</w:t>
            </w:r>
          </w:p>
        </w:tc>
        <w:tc>
          <w:tcPr>
            <w:tcW w:w="0" w:type="dxa"/>
            <w:vAlign w:val="bottom"/>
          </w:tcPr>
          <w:p>
            <w:pPr>
              <w:spacing w:after="0"/>
              <w:rPr>
                <w:sz w:val="1"/>
                <w:szCs w:val="1"/>
                <w:color w:val="auto"/>
              </w:rPr>
            </w:pPr>
          </w:p>
        </w:tc>
      </w:tr>
      <w:tr>
        <w:trPr>
          <w:trHeight w:val="209"/>
        </w:trPr>
        <w:tc>
          <w:tcPr>
            <w:tcW w:w="460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Proceeds from follow-on offering, net of offering costs</w:t>
            </w:r>
          </w:p>
        </w:tc>
        <w:tc>
          <w:tcPr>
            <w:tcW w:w="10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4,542,500</w:t>
            </w:r>
          </w:p>
        </w:tc>
        <w:tc>
          <w:tcPr>
            <w:tcW w:w="120" w:type="dxa"/>
            <w:vAlign w:val="bottom"/>
            <w:tcBorders>
              <w:top w:val="single" w:sz="8" w:color="CFF0FC"/>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161,916</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161,916</w:t>
            </w:r>
          </w:p>
        </w:tc>
        <w:tc>
          <w:tcPr>
            <w:tcW w:w="0" w:type="dxa"/>
            <w:vAlign w:val="bottom"/>
          </w:tcPr>
          <w:p>
            <w:pPr>
              <w:spacing w:after="0"/>
              <w:rPr>
                <w:sz w:val="1"/>
                <w:szCs w:val="1"/>
                <w:color w:val="auto"/>
              </w:rPr>
            </w:pPr>
          </w:p>
        </w:tc>
      </w:tr>
      <w:tr>
        <w:trPr>
          <w:trHeight w:val="217"/>
        </w:trPr>
        <w:tc>
          <w:tcPr>
            <w:tcW w:w="4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862,056</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2,096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215"/>
        </w:trPr>
        <w:tc>
          <w:tcPr>
            <w:tcW w:w="4600" w:type="dxa"/>
            <w:vAlign w:val="bottom"/>
          </w:tcPr>
          <w:p>
            <w:pPr>
              <w:ind w:left="380"/>
              <w:spacing w:after="0"/>
              <w:rPr>
                <w:sz w:val="20"/>
                <w:szCs w:val="20"/>
                <w:color w:val="auto"/>
              </w:rPr>
            </w:pPr>
            <w:r>
              <w:rPr>
                <w:rFonts w:ascii="Arial" w:cs="Arial" w:eastAsia="Arial" w:hAnsi="Arial"/>
                <w:sz w:val="16"/>
                <w:szCs w:val="16"/>
                <w:color w:val="auto"/>
              </w:rPr>
              <w:t>Proceeds from ESPP</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128,289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2,380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17"/>
        </w:trPr>
        <w:tc>
          <w:tcPr>
            <w:tcW w:w="4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Restricted stock units vested</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266,119</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60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14,378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14,378</w:t>
            </w:r>
          </w:p>
        </w:tc>
        <w:tc>
          <w:tcPr>
            <w:tcW w:w="0" w:type="dxa"/>
            <w:vAlign w:val="bottom"/>
          </w:tcPr>
          <w:p>
            <w:pPr>
              <w:spacing w:after="0"/>
              <w:rPr>
                <w:sz w:val="1"/>
                <w:szCs w:val="1"/>
                <w:color w:val="auto"/>
              </w:rPr>
            </w:pPr>
          </w:p>
        </w:tc>
      </w:tr>
      <w:tr>
        <w:trPr>
          <w:trHeight w:val="217"/>
        </w:trPr>
        <w:tc>
          <w:tcPr>
            <w:tcW w:w="4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5"/>
        </w:trPr>
        <w:tc>
          <w:tcPr>
            <w:tcW w:w="4600" w:type="dxa"/>
            <w:vAlign w:val="bottom"/>
          </w:tcPr>
          <w:p>
            <w:pPr>
              <w:ind w:left="380"/>
              <w:spacing w:after="0"/>
              <w:rPr>
                <w:sz w:val="20"/>
                <w:szCs w:val="20"/>
                <w:color w:val="auto"/>
              </w:rPr>
            </w:pPr>
            <w:r>
              <w:rPr>
                <w:rFonts w:ascii="Arial" w:cs="Arial" w:eastAsia="Arial" w:hAnsi="Arial"/>
                <w:sz w:val="16"/>
                <w:szCs w:val="16"/>
                <w:color w:val="auto"/>
              </w:rPr>
              <w:t>Unrealized loss on available-for-sale debt securities</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(237 )</w:t>
            </w:r>
          </w:p>
        </w:tc>
        <w:tc>
          <w:tcPr>
            <w:tcW w:w="0" w:type="dxa"/>
            <w:vAlign w:val="bottom"/>
          </w:tcPr>
          <w:p>
            <w:pPr>
              <w:spacing w:after="0"/>
              <w:rPr>
                <w:sz w:val="1"/>
                <w:szCs w:val="1"/>
                <w:color w:val="auto"/>
              </w:rPr>
            </w:pPr>
          </w:p>
        </w:tc>
      </w:tr>
      <w:tr>
        <w:trPr>
          <w:trHeight w:val="217"/>
        </w:trPr>
        <w:tc>
          <w:tcPr>
            <w:tcW w:w="4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loss</w:t>
            </w:r>
          </w:p>
        </w:tc>
        <w:tc>
          <w:tcPr>
            <w:tcW w:w="10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(65,226 )</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(65,226 )</w:t>
            </w: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1080" w:type="dxa"/>
            <w:vAlign w:val="bottom"/>
          </w:tcPr>
          <w:p>
            <w:pPr>
              <w:jc w:val="right"/>
              <w:ind w:right="60"/>
              <w:spacing w:after="0" w:line="182" w:lineRule="exact"/>
              <w:rPr>
                <w:sz w:val="20"/>
                <w:szCs w:val="20"/>
                <w:color w:val="auto"/>
              </w:rPr>
            </w:pPr>
            <w:r>
              <w:rPr>
                <w:rFonts w:ascii="Arial" w:cs="Arial" w:eastAsia="Arial" w:hAnsi="Arial"/>
                <w:sz w:val="16"/>
                <w:szCs w:val="16"/>
                <w:color w:val="auto"/>
              </w:rPr>
              <w:t>44,904,51</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Arial" w:cs="Arial" w:eastAsia="Arial" w:hAnsi="Arial"/>
                <w:sz w:val="16"/>
                <w:szCs w:val="16"/>
                <w:color w:val="auto"/>
              </w:rPr>
              <w:t>Balance—December 31, 2021</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557,558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(247,095 )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310,301</w:t>
            </w: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488,187</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1,010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5"/>
        </w:trPr>
        <w:tc>
          <w:tcPr>
            <w:tcW w:w="4600" w:type="dxa"/>
            <w:vAlign w:val="bottom"/>
          </w:tcPr>
          <w:p>
            <w:pPr>
              <w:ind w:left="380"/>
              <w:spacing w:after="0"/>
              <w:rPr>
                <w:sz w:val="20"/>
                <w:szCs w:val="20"/>
                <w:color w:val="auto"/>
              </w:rPr>
            </w:pPr>
            <w:r>
              <w:rPr>
                <w:rFonts w:ascii="Arial" w:cs="Arial" w:eastAsia="Arial" w:hAnsi="Arial"/>
                <w:sz w:val="16"/>
                <w:szCs w:val="16"/>
                <w:color w:val="auto"/>
              </w:rPr>
              <w:t>Proceeds from ESPP</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416,514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217"/>
        </w:trPr>
        <w:tc>
          <w:tcPr>
            <w:tcW w:w="4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Restricted stock units vested</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897,871</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60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19,433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19,433</w:t>
            </w:r>
          </w:p>
        </w:tc>
        <w:tc>
          <w:tcPr>
            <w:tcW w:w="0" w:type="dxa"/>
            <w:vAlign w:val="bottom"/>
          </w:tcPr>
          <w:p>
            <w:pPr>
              <w:spacing w:after="0"/>
              <w:rPr>
                <w:sz w:val="1"/>
                <w:szCs w:val="1"/>
                <w:color w:val="auto"/>
              </w:rPr>
            </w:pPr>
          </w:p>
        </w:tc>
      </w:tr>
      <w:tr>
        <w:trPr>
          <w:trHeight w:val="217"/>
        </w:trPr>
        <w:tc>
          <w:tcPr>
            <w:tcW w:w="4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(277 )</w:t>
            </w:r>
          </w:p>
        </w:tc>
        <w:tc>
          <w:tcPr>
            <w:tcW w:w="0" w:type="dxa"/>
            <w:vAlign w:val="bottom"/>
          </w:tcPr>
          <w:p>
            <w:pPr>
              <w:spacing w:after="0"/>
              <w:rPr>
                <w:sz w:val="1"/>
                <w:szCs w:val="1"/>
                <w:color w:val="auto"/>
              </w:rPr>
            </w:pPr>
          </w:p>
        </w:tc>
      </w:tr>
      <w:tr>
        <w:trPr>
          <w:trHeight w:val="215"/>
        </w:trPr>
        <w:tc>
          <w:tcPr>
            <w:tcW w:w="4600" w:type="dxa"/>
            <w:vAlign w:val="bottom"/>
          </w:tcPr>
          <w:p>
            <w:pPr>
              <w:ind w:left="380"/>
              <w:spacing w:after="0"/>
              <w:rPr>
                <w:sz w:val="20"/>
                <w:szCs w:val="20"/>
                <w:color w:val="auto"/>
              </w:rPr>
            </w:pPr>
            <w:r>
              <w:rPr>
                <w:rFonts w:ascii="Arial" w:cs="Arial" w:eastAsia="Arial" w:hAnsi="Arial"/>
                <w:sz w:val="16"/>
                <w:szCs w:val="16"/>
                <w:color w:val="auto"/>
              </w:rPr>
              <w:t>Unrealized loss on available-for-sale debt securities</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(469 )</w:t>
            </w:r>
          </w:p>
        </w:tc>
        <w:tc>
          <w:tcPr>
            <w:tcW w:w="0" w:type="dxa"/>
            <w:vAlign w:val="bottom"/>
          </w:tcPr>
          <w:p>
            <w:pPr>
              <w:spacing w:after="0"/>
              <w:rPr>
                <w:sz w:val="1"/>
                <w:szCs w:val="1"/>
                <w:color w:val="auto"/>
              </w:rPr>
            </w:pPr>
          </w:p>
        </w:tc>
      </w:tr>
      <w:tr>
        <w:trPr>
          <w:trHeight w:val="217"/>
        </w:trPr>
        <w:tc>
          <w:tcPr>
            <w:tcW w:w="4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loss</w:t>
            </w:r>
          </w:p>
        </w:tc>
        <w:tc>
          <w:tcPr>
            <w:tcW w:w="10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(113,315 )</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(113,315 )</w:t>
            </w: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1080" w:type="dxa"/>
            <w:vAlign w:val="bottom"/>
          </w:tcPr>
          <w:p>
            <w:pPr>
              <w:jc w:val="right"/>
              <w:ind w:right="60"/>
              <w:spacing w:after="0" w:line="182" w:lineRule="exact"/>
              <w:rPr>
                <w:sz w:val="20"/>
                <w:szCs w:val="20"/>
                <w:color w:val="auto"/>
              </w:rPr>
            </w:pPr>
            <w:r>
              <w:rPr>
                <w:rFonts w:ascii="Arial" w:cs="Arial" w:eastAsia="Arial" w:hAnsi="Arial"/>
                <w:sz w:val="16"/>
                <w:szCs w:val="16"/>
                <w:color w:val="auto"/>
              </w:rPr>
              <w:t>46,707,08</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Arial" w:cs="Arial" w:eastAsia="Arial" w:hAnsi="Arial"/>
                <w:sz w:val="16"/>
                <w:szCs w:val="16"/>
                <w:color w:val="auto"/>
              </w:rPr>
              <w:t>Balance—December 31, 2022</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579,456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(360,410 )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218,139</w:t>
            </w:r>
          </w:p>
        </w:tc>
        <w:tc>
          <w:tcPr>
            <w:tcW w:w="0" w:type="dxa"/>
            <w:vAlign w:val="bottom"/>
          </w:tcPr>
          <w:p>
            <w:pPr>
              <w:spacing w:after="0"/>
              <w:rPr>
                <w:sz w:val="1"/>
                <w:szCs w:val="1"/>
                <w:color w:val="auto"/>
              </w:rPr>
            </w:pPr>
          </w:p>
        </w:tc>
      </w:tr>
      <w:tr>
        <w:trPr>
          <w:trHeight w:val="182"/>
        </w:trPr>
        <w:tc>
          <w:tcPr>
            <w:tcW w:w="4600" w:type="dxa"/>
            <w:vAlign w:val="bottom"/>
            <w:shd w:val="clear" w:color="auto" w:fill="CFF0FC"/>
          </w:tcPr>
          <w:p>
            <w:pPr>
              <w:ind w:left="380"/>
              <w:spacing w:after="0" w:line="182" w:lineRule="exact"/>
              <w:rPr>
                <w:sz w:val="20"/>
                <w:szCs w:val="20"/>
                <w:color w:val="auto"/>
              </w:rPr>
            </w:pPr>
            <w:r>
              <w:rPr>
                <w:rFonts w:ascii="Arial" w:cs="Arial" w:eastAsia="Arial" w:hAnsi="Arial"/>
                <w:sz w:val="16"/>
                <w:szCs w:val="16"/>
                <w:color w:val="auto"/>
              </w:rPr>
              <w:t>Proceeds from sales of common stock under ATM</w:t>
            </w: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facility, net of commissions</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1,935,214</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3,513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3,513</w:t>
            </w:r>
          </w:p>
        </w:tc>
        <w:tc>
          <w:tcPr>
            <w:tcW w:w="0" w:type="dxa"/>
            <w:vAlign w:val="bottom"/>
          </w:tcPr>
          <w:p>
            <w:pPr>
              <w:spacing w:after="0"/>
              <w:rPr>
                <w:sz w:val="1"/>
                <w:szCs w:val="1"/>
                <w:color w:val="auto"/>
              </w:rPr>
            </w:pPr>
          </w:p>
        </w:tc>
      </w:tr>
      <w:tr>
        <w:trPr>
          <w:trHeight w:val="215"/>
        </w:trPr>
        <w:tc>
          <w:tcPr>
            <w:tcW w:w="460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ESPP</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999,194</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1,344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215"/>
        </w:trPr>
        <w:tc>
          <w:tcPr>
            <w:tcW w:w="4600" w:type="dxa"/>
            <w:vAlign w:val="bottom"/>
          </w:tcPr>
          <w:p>
            <w:pPr>
              <w:ind w:left="380"/>
              <w:spacing w:after="0"/>
              <w:rPr>
                <w:sz w:val="20"/>
                <w:szCs w:val="20"/>
                <w:color w:val="auto"/>
              </w:rPr>
            </w:pPr>
            <w:r>
              <w:rPr>
                <w:rFonts w:ascii="Arial" w:cs="Arial" w:eastAsia="Arial" w:hAnsi="Arial"/>
                <w:sz w:val="16"/>
                <w:szCs w:val="16"/>
                <w:color w:val="auto"/>
              </w:rPr>
              <w:t>Restricted stock units vested</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839,194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14,051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14,051</w:t>
            </w:r>
          </w:p>
        </w:tc>
        <w:tc>
          <w:tcPr>
            <w:tcW w:w="0" w:type="dxa"/>
            <w:vAlign w:val="bottom"/>
          </w:tcPr>
          <w:p>
            <w:pPr>
              <w:spacing w:after="0"/>
              <w:rPr>
                <w:sz w:val="1"/>
                <w:szCs w:val="1"/>
                <w:color w:val="auto"/>
              </w:rPr>
            </w:pPr>
          </w:p>
        </w:tc>
      </w:tr>
      <w:tr>
        <w:trPr>
          <w:trHeight w:val="215"/>
        </w:trPr>
        <w:tc>
          <w:tcPr>
            <w:tcW w:w="4600" w:type="dxa"/>
            <w:vAlign w:val="bottom"/>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4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Unrealized gain on available-for-sale debt securities</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16"/>
        </w:trPr>
        <w:tc>
          <w:tcPr>
            <w:tcW w:w="4600" w:type="dxa"/>
            <w:vAlign w:val="bottom"/>
          </w:tcPr>
          <w:p>
            <w:pPr>
              <w:ind w:left="380"/>
              <w:spacing w:after="0"/>
              <w:rPr>
                <w:sz w:val="20"/>
                <w:szCs w:val="20"/>
                <w:color w:val="auto"/>
              </w:rPr>
            </w:pPr>
            <w:r>
              <w:rPr>
                <w:rFonts w:ascii="Arial" w:cs="Arial" w:eastAsia="Arial" w:hAnsi="Arial"/>
                <w:sz w:val="16"/>
                <w:szCs w:val="16"/>
                <w:color w:val="auto"/>
              </w:rPr>
              <w:t>Net loss</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(108,296 )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(108,296 )</w:t>
            </w:r>
          </w:p>
        </w:tc>
        <w:tc>
          <w:tcPr>
            <w:tcW w:w="0" w:type="dxa"/>
            <w:vAlign w:val="bottom"/>
          </w:tcPr>
          <w:p>
            <w:pPr>
              <w:spacing w:after="0"/>
              <w:rPr>
                <w:sz w:val="1"/>
                <w:szCs w:val="1"/>
                <w:color w:val="auto"/>
              </w:rPr>
            </w:pPr>
          </w:p>
        </w:tc>
      </w:tr>
      <w:tr>
        <w:trPr>
          <w:trHeight w:val="182"/>
        </w:trPr>
        <w:tc>
          <w:tcPr>
            <w:tcW w:w="46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0"/>
              <w:spacing w:after="0" w:line="182" w:lineRule="exact"/>
              <w:rPr>
                <w:sz w:val="20"/>
                <w:szCs w:val="20"/>
                <w:color w:val="auto"/>
              </w:rPr>
            </w:pPr>
            <w:r>
              <w:rPr>
                <w:rFonts w:ascii="Arial" w:cs="Arial" w:eastAsia="Arial" w:hAnsi="Arial"/>
                <w:sz w:val="16"/>
                <w:szCs w:val="16"/>
                <w:color w:val="auto"/>
              </w:rPr>
              <w:t>50,480,69</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Balance—December 31, 2023</w:t>
            </w:r>
          </w:p>
        </w:tc>
        <w:tc>
          <w:tcPr>
            <w:tcW w:w="10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544"/>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598,364</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(222 )</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(468,706 )</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129,441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-4122420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-4122420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-4122420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-4122420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-4122420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-3016885</wp:posOffset>
            </wp:positionV>
            <wp:extent cx="774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-3016885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-3016885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-3016885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-3016885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-1782445</wp:posOffset>
            </wp:positionV>
            <wp:extent cx="77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-1782445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-1782445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-1782445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-1782445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(108,296 )</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(113,315 )</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(65,226 )</w:t>
            </w:r>
          </w:p>
        </w:tc>
      </w:tr>
      <w:tr>
        <w:trPr>
          <w:trHeight w:val="217"/>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5"/>
        </w:trPr>
        <w:tc>
          <w:tcPr>
            <w:tcW w:w="664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14,051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19,433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14,378</w:t>
            </w:r>
          </w:p>
        </w:tc>
      </w:tr>
      <w:tr>
        <w:trPr>
          <w:trHeight w:val="217"/>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11,296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8,432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6,014</w:t>
            </w:r>
          </w:p>
        </w:tc>
      </w:tr>
      <w:tr>
        <w:trPr>
          <w:trHeight w:val="215"/>
        </w:trPr>
        <w:tc>
          <w:tcPr>
            <w:tcW w:w="6640" w:type="dxa"/>
            <w:vAlign w:val="bottom"/>
          </w:tcPr>
          <w:p>
            <w:pPr>
              <w:ind w:left="200"/>
              <w:spacing w:after="0"/>
              <w:rPr>
                <w:sz w:val="20"/>
                <w:szCs w:val="20"/>
                <w:color w:val="auto"/>
              </w:rPr>
            </w:pPr>
            <w:r>
              <w:rPr>
                <w:rFonts w:ascii="Arial" w:cs="Arial" w:eastAsia="Arial" w:hAnsi="Arial"/>
                <w:sz w:val="16"/>
                <w:szCs w:val="16"/>
                <w:color w:val="auto"/>
              </w:rPr>
              <w:t>Noncash operating lease cost</w:t>
            </w:r>
          </w:p>
        </w:tc>
        <w:tc>
          <w:tcPr>
            <w:tcW w:w="3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1,859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4,446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2,950</w:t>
            </w:r>
          </w:p>
        </w:tc>
      </w:tr>
      <w:tr>
        <w:trPr>
          <w:trHeight w:val="217"/>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charges related to liability classified Tempus Warrants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4,027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6640" w:type="dxa"/>
            <w:vAlign w:val="bottom"/>
          </w:tcPr>
          <w:p>
            <w:pPr>
              <w:ind w:left="200"/>
              <w:spacing w:after="0"/>
              <w:rPr>
                <w:sz w:val="20"/>
                <w:szCs w:val="20"/>
                <w:color w:val="auto"/>
              </w:rPr>
            </w:pPr>
            <w:r>
              <w:rPr>
                <w:rFonts w:ascii="Arial" w:cs="Arial" w:eastAsia="Arial" w:hAnsi="Arial"/>
                <w:sz w:val="16"/>
                <w:szCs w:val="16"/>
                <w:color w:val="auto"/>
              </w:rPr>
              <w:t>Amortization of premium (discount) on short-term investments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(2,000 )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2,031</w:t>
            </w:r>
          </w:p>
        </w:tc>
      </w:tr>
      <w:tr>
        <w:trPr>
          <w:trHeight w:val="217"/>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restructuring and other charges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3,605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6640" w:type="dxa"/>
            <w:vAlign w:val="bottom"/>
          </w:tcPr>
          <w:p>
            <w:pPr>
              <w:ind w:left="200"/>
              <w:spacing w:after="0"/>
              <w:rPr>
                <w:sz w:val="20"/>
                <w:szCs w:val="20"/>
                <w:color w:val="auto"/>
              </w:rPr>
            </w:pPr>
            <w:r>
              <w:rPr>
                <w:rFonts w:ascii="Arial" w:cs="Arial" w:eastAsia="Arial" w:hAnsi="Arial"/>
                <w:sz w:val="16"/>
                <w:szCs w:val="16"/>
                <w:color w:val="auto"/>
              </w:rPr>
              <w:t>Noncash lease impairment expense</w:t>
            </w:r>
          </w:p>
        </w:tc>
        <w:tc>
          <w:tcPr>
            <w:tcW w:w="3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5,565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169</w:t>
            </w:r>
          </w:p>
        </w:tc>
      </w:tr>
      <w:tr>
        <w:trPr>
          <w:trHeight w:val="215"/>
        </w:trPr>
        <w:tc>
          <w:tcPr>
            <w:tcW w:w="664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(12,118 )</w:t>
            </w:r>
          </w:p>
        </w:tc>
      </w:tr>
      <w:tr>
        <w:trPr>
          <w:trHeight w:val="215"/>
        </w:trPr>
        <w:tc>
          <w:tcPr>
            <w:tcW w:w="6640" w:type="dxa"/>
            <w:vAlign w:val="bottom"/>
          </w:tcPr>
          <w:p>
            <w:pPr>
              <w:ind w:left="380"/>
              <w:spacing w:after="0"/>
              <w:rPr>
                <w:sz w:val="20"/>
                <w:szCs w:val="20"/>
                <w:color w:val="auto"/>
              </w:rPr>
            </w:pPr>
            <w:r>
              <w:rPr>
                <w:rFonts w:ascii="Arial" w:cs="Arial" w:eastAsia="Arial" w:hAnsi="Arial"/>
                <w:sz w:val="16"/>
                <w:szCs w:val="16"/>
                <w:color w:val="auto"/>
              </w:rPr>
              <w:t>Inventory and other deferred costs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(1,934 )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(2,982 )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w:t>
            </w:r>
          </w:p>
        </w:tc>
      </w:tr>
      <w:tr>
        <w:trPr>
          <w:trHeight w:val="217"/>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3,748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(2,658 )</w:t>
            </w:r>
          </w:p>
        </w:tc>
      </w:tr>
      <w:tr>
        <w:trPr>
          <w:trHeight w:val="215"/>
        </w:trPr>
        <w:tc>
          <w:tcPr>
            <w:tcW w:w="66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5,178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3,089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(1,457 )</w:t>
            </w:r>
          </w:p>
        </w:tc>
      </w:tr>
      <w:tr>
        <w:trPr>
          <w:trHeight w:val="217"/>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and other current liabilities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742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(1,479 )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3,365</w:t>
            </w:r>
          </w:p>
        </w:tc>
      </w:tr>
      <w:tr>
        <w:trPr>
          <w:trHeight w:val="215"/>
        </w:trPr>
        <w:tc>
          <w:tcPr>
            <w:tcW w:w="6640" w:type="dxa"/>
            <w:vAlign w:val="bottom"/>
          </w:tcPr>
          <w:p>
            <w:pPr>
              <w:ind w:left="380"/>
              <w:spacing w:after="0"/>
              <w:rPr>
                <w:sz w:val="20"/>
                <w:szCs w:val="20"/>
                <w:color w:val="auto"/>
              </w:rPr>
            </w:pPr>
            <w:r>
              <w:rPr>
                <w:rFonts w:ascii="Arial" w:cs="Arial" w:eastAsia="Arial" w:hAnsi="Arial"/>
                <w:sz w:val="16"/>
                <w:szCs w:val="16"/>
                <w:color w:val="auto"/>
              </w:rPr>
              <w:t>Contract liabilities</w:t>
            </w:r>
          </w:p>
        </w:tc>
        <w:tc>
          <w:tcPr>
            <w:tcW w:w="3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5,952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(2,718 )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(17,052 )</w:t>
            </w:r>
          </w:p>
        </w:tc>
      </w:tr>
      <w:tr>
        <w:trPr>
          <w:trHeight w:val="217"/>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894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12,811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(962 )</w:t>
            </w:r>
          </w:p>
        </w:tc>
      </w:tr>
      <w:tr>
        <w:trPr>
          <w:trHeight w:val="216"/>
        </w:trPr>
        <w:tc>
          <w:tcPr>
            <w:tcW w:w="6640" w:type="dxa"/>
            <w:vAlign w:val="bottom"/>
          </w:tcPr>
          <w:p>
            <w:pPr>
              <w:ind w:left="38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(291 )</w:t>
            </w:r>
          </w:p>
        </w:tc>
      </w:tr>
      <w:tr>
        <w:trPr>
          <w:trHeight w:val="210"/>
        </w:trPr>
        <w:tc>
          <w:tcPr>
            <w:tcW w:w="66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(56,258 )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(70,233 )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(70,828 )</w:t>
            </w: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available-for-sale debt securities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(103,945 )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(121,490 )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(267,128 )</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Proceeds from maturities of available-for-sale debt securities</w:t>
            </w:r>
          </w:p>
        </w:tc>
        <w:tc>
          <w:tcPr>
            <w:tcW w:w="3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127,955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223,923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213,083</w:t>
            </w:r>
          </w:p>
        </w:tc>
      </w:tr>
      <w:tr>
        <w:trPr>
          <w:trHeight w:val="217"/>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sales of available-for-sale debt securities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5,059</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(10,911 )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(49,896 )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(11,083 )</w:t>
            </w:r>
          </w:p>
        </w:tc>
      </w:tr>
      <w:tr>
        <w:trPr>
          <w:trHeight w:val="210"/>
        </w:trPr>
        <w:tc>
          <w:tcPr>
            <w:tcW w:w="66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13,099</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52,537</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(60,069 )</w:t>
            </w: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public offerings, net of underwriting discounts and commissions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162,258</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Payments of costs related to public offerings</w:t>
            </w:r>
          </w:p>
        </w:tc>
        <w:tc>
          <w:tcPr>
            <w:tcW w:w="3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(342 )</w:t>
            </w:r>
          </w:p>
        </w:tc>
      </w:tr>
      <w:tr>
        <w:trPr>
          <w:trHeight w:val="217"/>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sales of common stock under ATM facility, net of commissions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3,513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Proceeds from issuance of Tempus Warrants</w:t>
            </w:r>
          </w:p>
        </w:tc>
        <w:tc>
          <w:tcPr>
            <w:tcW w:w="3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loans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3,438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1,194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5,167</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Repayments of loans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(3,264 )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(2,293 )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(1,857 )</w:t>
            </w:r>
          </w:p>
        </w:tc>
      </w:tr>
      <w:tr>
        <w:trPr>
          <w:trHeight w:val="21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Proceeds from exercise of equity awards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1,344</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2,465</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4,474</w:t>
            </w:r>
          </w:p>
        </w:tc>
      </w:tr>
      <w:tr>
        <w:trPr>
          <w:trHeight w:val="210"/>
        </w:trPr>
        <w:tc>
          <w:tcPr>
            <w:tcW w:w="6640" w:type="dxa"/>
            <w:vAlign w:val="bottom"/>
          </w:tcPr>
          <w:p>
            <w:pPr>
              <w:ind w:left="56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11,031</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169,700</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(32,144 )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(16,457 )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38,850</w:t>
            </w:r>
          </w:p>
        </w:tc>
      </w:tr>
      <w:tr>
        <w:trPr>
          <w:trHeight w:val="21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90,918</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107,375</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68,525</w:t>
            </w: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58,774</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90,918</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107,375</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-2682240</wp:posOffset>
            </wp:positionV>
            <wp:extent cx="1028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-2682240</wp:posOffset>
            </wp:positionV>
            <wp:extent cx="939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-1842135</wp:posOffset>
            </wp:positionV>
            <wp:extent cx="1028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-1842135</wp:posOffset>
            </wp:positionV>
            <wp:extent cx="939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-736600</wp:posOffset>
            </wp:positionV>
            <wp:extent cx="1028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-736600</wp:posOffset>
            </wp:positionV>
            <wp:extent cx="939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to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56,984</w:t>
            </w:r>
          </w:p>
        </w:tc>
        <w:tc>
          <w:tcPr>
            <w:tcW w:w="6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89,128</w:t>
            </w: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105,585</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Restricted cash, included in other long-term assets</w:t>
            </w: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1,790</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1,790</w:t>
            </w: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1,790</w:t>
            </w:r>
          </w:p>
        </w:tc>
      </w:tr>
      <w:tr>
        <w:trPr>
          <w:trHeight w:val="210"/>
        </w:trPr>
        <w:tc>
          <w:tcPr>
            <w:tcW w:w="6640" w:type="dxa"/>
            <w:vAlign w:val="bottom"/>
          </w:tcPr>
          <w:p>
            <w:pPr>
              <w:ind w:left="200"/>
              <w:spacing w:after="0"/>
              <w:rPr>
                <w:sz w:val="20"/>
                <w:szCs w:val="20"/>
                <w:color w:val="auto"/>
              </w:rPr>
            </w:pPr>
            <w:r>
              <w:rPr>
                <w:rFonts w:ascii="Arial" w:cs="Arial" w:eastAsia="Arial" w:hAnsi="Arial"/>
                <w:sz w:val="16"/>
                <w:szCs w:val="16"/>
                <w:color w:val="auto"/>
              </w:rPr>
              <w:t>Total cash, cash equivalents and restricted cash</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58,774</w:t>
            </w:r>
          </w:p>
        </w:tc>
        <w:tc>
          <w:tcPr>
            <w:tcW w:w="6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90,918</w:t>
            </w: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107,375</w:t>
            </w:r>
          </w:p>
        </w:tc>
      </w:tr>
      <w:tr>
        <w:trPr>
          <w:trHeight w:val="20"/>
        </w:trPr>
        <w:tc>
          <w:tcPr>
            <w:tcW w:w="6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Acquisition of property and equipment included in accounts payable and accrued liabilities</w:t>
            </w:r>
          </w:p>
        </w:tc>
        <w:tc>
          <w:tcPr>
            <w:tcW w:w="4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3,917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-993140</wp:posOffset>
            </wp:positionV>
            <wp:extent cx="1028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-993140</wp:posOffset>
            </wp:positionV>
            <wp:extent cx="93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240"/>
          </w:cols>
          <w:pgMar w:left="320" w:top="778" w:right="3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Personalis, Inc. (the "Company" or "Personalis") develops and markets advanced genomic tests and analytics for precision oncology and personalized testing. The Company also provides sequencing and data analysis services to support population sequencing initiatives. Genomic tests are sold primarily to pharmaceutical companies, biopharmaceutical companies, diagnostics companies, universities, non-profits, and government entities, while services for population sequencing initiatives are sold primarily to government entities. The principal markets for the Company’s services are in the United States and Europe.</w:t>
      </w:r>
    </w:p>
    <w:p>
      <w:pPr>
        <w:spacing w:after="0" w:line="15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is expanding its business model to offer genomic tests directly to cancer patients in a clinical setting. However, revenue generated from clinical customers was not significant for any periods presented in these consolidated financial statements.</w:t>
      </w:r>
    </w:p>
    <w:p>
      <w:pPr>
        <w:spacing w:after="0" w:line="11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Company was incorporated in Delaware in February 2011 and began operations in September 2011. The Company formed a wholly owned subsidiary, Personalis (UK) Ltd., in August 2013 and a wholly owned subsidiary, Shanghai Personalis Biotechnology Co., Ltd., which is referred to as “Personalis (Shanghai) Ltd” herein, in October 2020. During the first half of 2023, the Company terminated its operations in China and the Company completed the process of dissolving the Personalis (Shanghai) Ltd entity in February 2024. Refer to Note 9 for further information. The Company operates and manages its business as one reportable operating segment, which is the sale of sequencing and data analysis services.</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studies to prove the clinical validity and utility of the Company's tests. The Company’s activities have been financed to date primarily through the sale of its equity securities and cash from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of America (“U.S. GAAP”) and the applicable rules and regulations of the Securities and Exchange Commission (“SEC”) regarding annual reporting. The consolidated financial statements include the accounts of Personalis, Inc. and its wholly owned subsidiaries, Personalis (UK) Ltd. and Personalis (Shanghai) Ltd. All intercompany balances and transactions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revenue recognition, useful lives assigned to long-lived assets, discount rates for lease accounting, the valuation of stock options, the valuation of common stock warrants, provisions for income taxes, and fair value of lease right-of-use assets. Actual results could differ from these estimates, and such differences could be material to the Company’s consolidated financial position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Follow-On and At-the-Market Equity Offerings</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In January 2021, the Company completed a follow-on equity offering in which it issued and sold 4,542,500 shares of its common stock at a public offering price of $38.00 per share. The Company received net proceeds of $162.3 million after deducting underwriting discounts and commissions.</w:t>
      </w:r>
    </w:p>
    <w:p>
      <w:pPr>
        <w:spacing w:after="0" w:line="11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December 2021, the Company entered into an At-the-Market ("ATM") Sales Agreement (the “Sales Agreement”) with BTIG, LLC (“BTIG”) under which it may offer and sell its common stock from time to time through BTIG as its sales agent. The Sales Agreement initially capped the amount of common stock that could be sold under the Sales Agreement to $100.0 million. In December 2023, the Sales Agreement was amended to, among other things, remove the maximum dollar amount of common stock that can be sold under the Sales Agreement. BTIG will use commercially reasonable efforts to sell the Company’s common stock from time to time, based upon instructions from the Company (including any price, time or size limits or other customary parameters or conditions the Company may impose). The Company will pay BTIG a commission of up to 3% of the gross sales proceeds of any common stock sold through BTIC under the Sales Agreement. The Company is not obligated to make any sales of common stock under the Sales Agreement.</w:t>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During 2023, the Company issued and sold 1,935,214 shares of its common stock at a weighted-average price of $1.85 per share under the Sales Agreement and received $3.5 million in proceeds, net of commissions.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spacing w:after="0" w:line="95" w:lineRule="exact"/>
        <w:rPr>
          <w:sz w:val="20"/>
          <w:szCs w:val="20"/>
          <w:color w:val="auto"/>
        </w:rPr>
      </w:pPr>
    </w:p>
    <w:p>
      <w:pPr>
        <w:jc w:val="both"/>
        <w:ind w:firstLine="749"/>
        <w:spacing w:after="0" w:line="204" w:lineRule="exact"/>
        <w:rPr>
          <w:sz w:val="20"/>
          <w:szCs w:val="20"/>
          <w:color w:val="auto"/>
        </w:rPr>
      </w:pPr>
      <w:r>
        <w:rPr>
          <w:rFonts w:ascii="Arial" w:cs="Arial" w:eastAsia="Arial" w:hAnsi="Arial"/>
          <w:sz w:val="16"/>
          <w:szCs w:val="16"/>
          <w:color w:val="auto"/>
        </w:rPr>
        <w:t>The Company also invests in investment</w:t>
      </w:r>
      <w:r>
        <w:rPr>
          <w:rFonts w:ascii="MS PGothic" w:cs="MS PGothic" w:eastAsia="MS PGothic" w:hAnsi="MS PGothic"/>
          <w:sz w:val="16"/>
          <w:szCs w:val="16"/>
          <w:color w:val="auto"/>
        </w:rPr>
        <w:t>‑</w:t>
      </w:r>
      <w:r>
        <w:rPr>
          <w:rFonts w:ascii="Arial" w:cs="Arial" w:eastAsia="Arial" w:hAnsi="Arial"/>
          <w:sz w:val="16"/>
          <w:szCs w:val="16"/>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6"/>
          <w:szCs w:val="16"/>
          <w:color w:val="auto"/>
        </w:rPr>
        <w:t>‑</w:t>
      </w:r>
      <w:r>
        <w:rPr>
          <w:rFonts w:ascii="Arial" w:cs="Arial" w:eastAsia="Arial" w:hAnsi="Arial"/>
          <w:sz w:val="16"/>
          <w:szCs w:val="16"/>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53"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2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Historically, the Company has not experienced significant credit losses from accounts receivable. Multiple customers have provided more than 10% of total revenue in the periods presented, or accounted for more than 10% of accounts receivable at each respective balance sheet date,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Revenue</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Accounts Receivable</w:t>
            </w:r>
          </w:p>
        </w:tc>
      </w:tr>
      <w:tr>
        <w:trPr>
          <w:trHeight w:val="183"/>
        </w:trPr>
        <w:tc>
          <w:tcPr>
            <w:tcW w:w="49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right="668"/>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4980" w:type="dxa"/>
            <w:vAlign w:val="bottom"/>
          </w:tcPr>
          <w:p>
            <w:pPr>
              <w:spacing w:after="0"/>
              <w:rPr>
                <w:sz w:val="15"/>
                <w:szCs w:val="15"/>
                <w:color w:val="auto"/>
              </w:rPr>
            </w:pPr>
          </w:p>
        </w:tc>
        <w:tc>
          <w:tcPr>
            <w:tcW w:w="86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r>
      <w:tr>
        <w:trPr>
          <w:trHeight w:val="210"/>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Natera, Inc.</w:t>
            </w:r>
          </w:p>
        </w:tc>
        <w:tc>
          <w:tcPr>
            <w:tcW w:w="860" w:type="dxa"/>
            <w:vAlign w:val="bottom"/>
            <w:shd w:val="clear" w:color="auto" w:fill="CFF0FC"/>
          </w:tcPr>
          <w:p>
            <w:pPr>
              <w:jc w:val="center"/>
              <w:ind w:left="221"/>
              <w:spacing w:after="0"/>
              <w:rPr>
                <w:sz w:val="20"/>
                <w:szCs w:val="20"/>
                <w:color w:val="auto"/>
              </w:rPr>
            </w:pPr>
            <w:r>
              <w:rPr>
                <w:rFonts w:ascii="Arial" w:cs="Arial" w:eastAsia="Arial" w:hAnsi="Arial"/>
                <w:sz w:val="16"/>
                <w:szCs w:val="16"/>
                <w:color w:val="auto"/>
                <w:w w:val="99"/>
              </w:rPr>
              <w:t>43%</w:t>
            </w:r>
          </w:p>
        </w:tc>
        <w:tc>
          <w:tcPr>
            <w:tcW w:w="1600" w:type="dxa"/>
            <w:vAlign w:val="bottom"/>
            <w:gridSpan w:val="3"/>
            <w:shd w:val="clear" w:color="auto" w:fill="CFF0FC"/>
          </w:tcPr>
          <w:p>
            <w:pPr>
              <w:jc w:val="center"/>
              <w:ind w:left="361"/>
              <w:spacing w:after="0"/>
              <w:rPr>
                <w:sz w:val="20"/>
                <w:szCs w:val="20"/>
                <w:color w:val="auto"/>
              </w:rPr>
            </w:pPr>
            <w:r>
              <w:rPr>
                <w:rFonts w:ascii="Arial" w:cs="Arial" w:eastAsia="Arial" w:hAnsi="Arial"/>
                <w:sz w:val="16"/>
                <w:szCs w:val="16"/>
                <w:color w:val="auto"/>
                <w:w w:val="99"/>
              </w:rPr>
              <w:t>41%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center"/>
              <w:ind w:right="201"/>
              <w:spacing w:after="0"/>
              <w:rPr>
                <w:sz w:val="20"/>
                <w:szCs w:val="20"/>
                <w:color w:val="auto"/>
              </w:rPr>
            </w:pPr>
            <w:r>
              <w:rPr>
                <w:rFonts w:ascii="Arial" w:cs="Arial" w:eastAsia="Arial" w:hAnsi="Arial"/>
                <w:sz w:val="16"/>
                <w:szCs w:val="16"/>
                <w:color w:val="auto"/>
              </w:rPr>
              <w:t>10%</w:t>
            </w:r>
          </w:p>
        </w:tc>
        <w:tc>
          <w:tcPr>
            <w:tcW w:w="860" w:type="dxa"/>
            <w:vAlign w:val="bottom"/>
            <w:gridSpan w:val="2"/>
            <w:shd w:val="clear" w:color="auto" w:fill="CFF0FC"/>
          </w:tcPr>
          <w:p>
            <w:pPr>
              <w:jc w:val="center"/>
              <w:ind w:left="459"/>
              <w:spacing w:after="0"/>
              <w:rPr>
                <w:sz w:val="20"/>
                <w:szCs w:val="20"/>
                <w:color w:val="auto"/>
              </w:rPr>
            </w:pPr>
            <w:r>
              <w:rPr>
                <w:rFonts w:ascii="Arial" w:cs="Arial" w:eastAsia="Arial" w:hAnsi="Arial"/>
                <w:sz w:val="16"/>
                <w:szCs w:val="16"/>
                <w:color w:val="auto"/>
                <w:w w:val="99"/>
              </w:rPr>
              <w:t>36%</w:t>
            </w:r>
          </w:p>
        </w:tc>
        <w:tc>
          <w:tcPr>
            <w:tcW w:w="1680" w:type="dxa"/>
            <w:vAlign w:val="bottom"/>
            <w:gridSpan w:val="3"/>
            <w:shd w:val="clear" w:color="auto" w:fill="CFF0FC"/>
          </w:tcPr>
          <w:p>
            <w:pPr>
              <w:jc w:val="center"/>
              <w:ind w:left="441"/>
              <w:spacing w:after="0"/>
              <w:rPr>
                <w:sz w:val="20"/>
                <w:szCs w:val="20"/>
                <w:color w:val="auto"/>
              </w:rPr>
            </w:pPr>
            <w:r>
              <w:rPr>
                <w:rFonts w:ascii="Arial" w:cs="Arial" w:eastAsia="Arial" w:hAnsi="Arial"/>
                <w:sz w:val="16"/>
                <w:szCs w:val="16"/>
                <w:color w:val="auto"/>
                <w:w w:val="99"/>
              </w:rPr>
              <w:t>43%</w:t>
            </w: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VA MVP</w:t>
            </w:r>
          </w:p>
        </w:tc>
        <w:tc>
          <w:tcPr>
            <w:tcW w:w="860" w:type="dxa"/>
            <w:vAlign w:val="bottom"/>
          </w:tcPr>
          <w:p>
            <w:pPr>
              <w:jc w:val="center"/>
              <w:ind w:left="221"/>
              <w:spacing w:after="0"/>
              <w:rPr>
                <w:sz w:val="20"/>
                <w:szCs w:val="20"/>
                <w:color w:val="auto"/>
              </w:rPr>
            </w:pPr>
            <w:r>
              <w:rPr>
                <w:rFonts w:ascii="Arial" w:cs="Arial" w:eastAsia="Arial" w:hAnsi="Arial"/>
                <w:sz w:val="16"/>
                <w:szCs w:val="16"/>
                <w:color w:val="auto"/>
                <w:w w:val="99"/>
              </w:rPr>
              <w:t>13%</w:t>
            </w:r>
          </w:p>
        </w:tc>
        <w:tc>
          <w:tcPr>
            <w:tcW w:w="1600" w:type="dxa"/>
            <w:vAlign w:val="bottom"/>
            <w:gridSpan w:val="3"/>
          </w:tcPr>
          <w:p>
            <w:pPr>
              <w:jc w:val="center"/>
              <w:ind w:left="361"/>
              <w:spacing w:after="0"/>
              <w:rPr>
                <w:sz w:val="20"/>
                <w:szCs w:val="20"/>
                <w:color w:val="auto"/>
              </w:rPr>
            </w:pPr>
            <w:r>
              <w:rPr>
                <w:rFonts w:ascii="Arial" w:cs="Arial" w:eastAsia="Arial" w:hAnsi="Arial"/>
                <w:sz w:val="16"/>
                <w:szCs w:val="16"/>
                <w:color w:val="auto"/>
                <w:w w:val="99"/>
              </w:rPr>
              <w:t>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right="201"/>
              <w:spacing w:after="0"/>
              <w:rPr>
                <w:sz w:val="20"/>
                <w:szCs w:val="20"/>
                <w:color w:val="auto"/>
              </w:rPr>
            </w:pPr>
            <w:r>
              <w:rPr>
                <w:rFonts w:ascii="Arial" w:cs="Arial" w:eastAsia="Arial" w:hAnsi="Arial"/>
                <w:sz w:val="16"/>
                <w:szCs w:val="16"/>
                <w:color w:val="auto"/>
              </w:rPr>
              <w:t>53%</w:t>
            </w:r>
          </w:p>
        </w:tc>
        <w:tc>
          <w:tcPr>
            <w:tcW w:w="860" w:type="dxa"/>
            <w:vAlign w:val="bottom"/>
            <w:gridSpan w:val="2"/>
          </w:tcPr>
          <w:p>
            <w:pPr>
              <w:jc w:val="center"/>
              <w:ind w:left="439"/>
              <w:spacing w:after="0"/>
              <w:rPr>
                <w:sz w:val="20"/>
                <w:szCs w:val="20"/>
                <w:color w:val="auto"/>
              </w:rPr>
            </w:pPr>
            <w:r>
              <w:rPr>
                <w:rFonts w:ascii="Arial" w:cs="Arial" w:eastAsia="Arial" w:hAnsi="Arial"/>
                <w:sz w:val="16"/>
                <w:szCs w:val="16"/>
                <w:color w:val="auto"/>
                <w:w w:val="95"/>
              </w:rPr>
              <w:t>*</w:t>
            </w:r>
          </w:p>
        </w:tc>
        <w:tc>
          <w:tcPr>
            <w:tcW w:w="1680" w:type="dxa"/>
            <w:vAlign w:val="bottom"/>
            <w:gridSpan w:val="3"/>
          </w:tcPr>
          <w:p>
            <w:pPr>
              <w:jc w:val="center"/>
              <w:ind w:left="461"/>
              <w:spacing w:after="0"/>
              <w:rPr>
                <w:sz w:val="20"/>
                <w:szCs w:val="20"/>
                <w:color w:val="auto"/>
              </w:rPr>
            </w:pPr>
            <w:r>
              <w:rPr>
                <w:rFonts w:ascii="Arial" w:cs="Arial" w:eastAsia="Arial" w:hAnsi="Arial"/>
                <w:sz w:val="16"/>
                <w:szCs w:val="16"/>
                <w:color w:val="auto"/>
                <w:w w:val="95"/>
              </w:rPr>
              <w:t>*</w:t>
            </w:r>
          </w:p>
        </w:tc>
      </w:tr>
      <w:tr>
        <w:trPr>
          <w:trHeight w:val="217"/>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Merck &amp; Co., Inc.</w:t>
            </w:r>
          </w:p>
        </w:tc>
        <w:tc>
          <w:tcPr>
            <w:tcW w:w="860" w:type="dxa"/>
            <w:vAlign w:val="bottom"/>
            <w:shd w:val="clear" w:color="auto" w:fill="CFF0FC"/>
          </w:tcPr>
          <w:p>
            <w:pPr>
              <w:jc w:val="center"/>
              <w:ind w:left="201"/>
              <w:spacing w:after="0"/>
              <w:rPr>
                <w:sz w:val="20"/>
                <w:szCs w:val="20"/>
                <w:color w:val="auto"/>
              </w:rPr>
            </w:pPr>
            <w:r>
              <w:rPr>
                <w:rFonts w:ascii="Arial" w:cs="Arial" w:eastAsia="Arial" w:hAnsi="Arial"/>
                <w:sz w:val="16"/>
                <w:szCs w:val="16"/>
                <w:color w:val="auto"/>
                <w:w w:val="95"/>
              </w:rPr>
              <w:t>*</w:t>
            </w:r>
          </w:p>
        </w:tc>
        <w:tc>
          <w:tcPr>
            <w:tcW w:w="1600" w:type="dxa"/>
            <w:vAlign w:val="bottom"/>
            <w:gridSpan w:val="3"/>
            <w:shd w:val="clear" w:color="auto" w:fill="CFF0FC"/>
          </w:tcPr>
          <w:p>
            <w:pPr>
              <w:jc w:val="center"/>
              <w:ind w:left="341"/>
              <w:spacing w:after="0"/>
              <w:rPr>
                <w:sz w:val="20"/>
                <w:szCs w:val="20"/>
                <w:color w:val="auto"/>
              </w:rPr>
            </w:pPr>
            <w:r>
              <w:rPr>
                <w:rFonts w:ascii="Arial" w:cs="Arial" w:eastAsia="Arial" w:hAnsi="Arial"/>
                <w:sz w:val="16"/>
                <w:szCs w:val="16"/>
                <w:color w:val="auto"/>
                <w:w w:val="93"/>
              </w:rPr>
              <w:t>11%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center"/>
              <w:ind w:right="201"/>
              <w:spacing w:after="0"/>
              <w:rPr>
                <w:sz w:val="20"/>
                <w:szCs w:val="20"/>
                <w:color w:val="auto"/>
              </w:rPr>
            </w:pPr>
            <w:r>
              <w:rPr>
                <w:rFonts w:ascii="Arial" w:cs="Arial" w:eastAsia="Arial" w:hAnsi="Arial"/>
                <w:sz w:val="16"/>
                <w:szCs w:val="16"/>
                <w:color w:val="auto"/>
                <w:w w:val="95"/>
              </w:rPr>
              <w:t>*</w:t>
            </w:r>
          </w:p>
        </w:tc>
        <w:tc>
          <w:tcPr>
            <w:tcW w:w="860" w:type="dxa"/>
            <w:vAlign w:val="bottom"/>
            <w:gridSpan w:val="2"/>
            <w:shd w:val="clear" w:color="auto" w:fill="CFF0FC"/>
          </w:tcPr>
          <w:p>
            <w:pPr>
              <w:jc w:val="center"/>
              <w:ind w:left="439"/>
              <w:spacing w:after="0"/>
              <w:rPr>
                <w:sz w:val="20"/>
                <w:szCs w:val="20"/>
                <w:color w:val="auto"/>
              </w:rPr>
            </w:pPr>
            <w:r>
              <w:rPr>
                <w:rFonts w:ascii="Arial" w:cs="Arial" w:eastAsia="Arial" w:hAnsi="Arial"/>
                <w:sz w:val="16"/>
                <w:szCs w:val="16"/>
                <w:color w:val="auto"/>
                <w:w w:val="95"/>
              </w:rPr>
              <w:t>*</w:t>
            </w:r>
          </w:p>
        </w:tc>
        <w:tc>
          <w:tcPr>
            <w:tcW w:w="1680" w:type="dxa"/>
            <w:vAlign w:val="bottom"/>
            <w:gridSpan w:val="3"/>
            <w:shd w:val="clear" w:color="auto" w:fill="CFF0FC"/>
          </w:tcPr>
          <w:p>
            <w:pPr>
              <w:jc w:val="center"/>
              <w:ind w:left="461"/>
              <w:spacing w:after="0"/>
              <w:rPr>
                <w:sz w:val="20"/>
                <w:szCs w:val="20"/>
                <w:color w:val="auto"/>
              </w:rPr>
            </w:pPr>
            <w:r>
              <w:rPr>
                <w:rFonts w:ascii="Arial" w:cs="Arial" w:eastAsia="Arial" w:hAnsi="Arial"/>
                <w:sz w:val="16"/>
                <w:szCs w:val="16"/>
                <w:color w:val="auto"/>
                <w:w w:val="95"/>
              </w:rPr>
              <w:t>*</w:t>
            </w: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GSK plc</w:t>
            </w:r>
          </w:p>
        </w:tc>
        <w:tc>
          <w:tcPr>
            <w:tcW w:w="860" w:type="dxa"/>
            <w:vAlign w:val="bottom"/>
          </w:tcPr>
          <w:p>
            <w:pPr>
              <w:jc w:val="center"/>
              <w:ind w:left="201"/>
              <w:spacing w:after="0"/>
              <w:rPr>
                <w:sz w:val="20"/>
                <w:szCs w:val="20"/>
                <w:color w:val="auto"/>
              </w:rPr>
            </w:pPr>
            <w:r>
              <w:rPr>
                <w:rFonts w:ascii="Arial" w:cs="Arial" w:eastAsia="Arial" w:hAnsi="Arial"/>
                <w:sz w:val="16"/>
                <w:szCs w:val="16"/>
                <w:color w:val="auto"/>
                <w:w w:val="95"/>
              </w:rPr>
              <w:t>*</w:t>
            </w:r>
          </w:p>
        </w:tc>
        <w:tc>
          <w:tcPr>
            <w:tcW w:w="1600" w:type="dxa"/>
            <w:vAlign w:val="bottom"/>
            <w:gridSpan w:val="3"/>
          </w:tcPr>
          <w:p>
            <w:pPr>
              <w:jc w:val="center"/>
              <w:ind w:left="341"/>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right="201"/>
              <w:spacing w:after="0"/>
              <w:rPr>
                <w:sz w:val="20"/>
                <w:szCs w:val="20"/>
                <w:color w:val="auto"/>
              </w:rPr>
            </w:pPr>
            <w:r>
              <w:rPr>
                <w:rFonts w:ascii="Arial" w:cs="Arial" w:eastAsia="Arial" w:hAnsi="Arial"/>
                <w:sz w:val="16"/>
                <w:szCs w:val="16"/>
                <w:color w:val="auto"/>
                <w:w w:val="95"/>
              </w:rPr>
              <w:t>*</w:t>
            </w:r>
          </w:p>
        </w:tc>
        <w:tc>
          <w:tcPr>
            <w:tcW w:w="860" w:type="dxa"/>
            <w:vAlign w:val="bottom"/>
            <w:gridSpan w:val="2"/>
          </w:tcPr>
          <w:p>
            <w:pPr>
              <w:jc w:val="center"/>
              <w:ind w:left="439"/>
              <w:spacing w:after="0"/>
              <w:rPr>
                <w:sz w:val="20"/>
                <w:szCs w:val="20"/>
                <w:color w:val="auto"/>
              </w:rPr>
            </w:pPr>
            <w:r>
              <w:rPr>
                <w:rFonts w:ascii="Arial" w:cs="Arial" w:eastAsia="Arial" w:hAnsi="Arial"/>
                <w:sz w:val="16"/>
                <w:szCs w:val="16"/>
                <w:color w:val="auto"/>
                <w:w w:val="95"/>
              </w:rPr>
              <w:t>*</w:t>
            </w:r>
          </w:p>
        </w:tc>
        <w:tc>
          <w:tcPr>
            <w:tcW w:w="1680" w:type="dxa"/>
            <w:vAlign w:val="bottom"/>
            <w:gridSpan w:val="3"/>
          </w:tcPr>
          <w:p>
            <w:pPr>
              <w:jc w:val="center"/>
              <w:ind w:left="441"/>
              <w:spacing w:after="0"/>
              <w:rPr>
                <w:sz w:val="20"/>
                <w:szCs w:val="20"/>
                <w:color w:val="auto"/>
              </w:rPr>
            </w:pPr>
            <w:r>
              <w:rPr>
                <w:rFonts w:ascii="Arial" w:cs="Arial" w:eastAsia="Arial" w:hAnsi="Arial"/>
                <w:sz w:val="16"/>
                <w:szCs w:val="16"/>
                <w:color w:val="auto"/>
                <w:w w:val="99"/>
              </w:rPr>
              <w:t>12%</w:t>
            </w:r>
          </w:p>
        </w:tc>
      </w:tr>
      <w:tr>
        <w:trPr>
          <w:trHeight w:val="217"/>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Pfizer Inc.</w:t>
            </w:r>
          </w:p>
        </w:tc>
        <w:tc>
          <w:tcPr>
            <w:tcW w:w="860" w:type="dxa"/>
            <w:vAlign w:val="bottom"/>
            <w:shd w:val="clear" w:color="auto" w:fill="CFF0FC"/>
          </w:tcPr>
          <w:p>
            <w:pPr>
              <w:jc w:val="center"/>
              <w:ind w:left="201"/>
              <w:spacing w:after="0"/>
              <w:rPr>
                <w:sz w:val="20"/>
                <w:szCs w:val="20"/>
                <w:color w:val="auto"/>
              </w:rPr>
            </w:pPr>
            <w:r>
              <w:rPr>
                <w:rFonts w:ascii="Arial" w:cs="Arial" w:eastAsia="Arial" w:hAnsi="Arial"/>
                <w:sz w:val="16"/>
                <w:szCs w:val="16"/>
                <w:color w:val="auto"/>
                <w:w w:val="95"/>
              </w:rPr>
              <w:t>*</w:t>
            </w:r>
          </w:p>
        </w:tc>
        <w:tc>
          <w:tcPr>
            <w:tcW w:w="1600" w:type="dxa"/>
            <w:vAlign w:val="bottom"/>
            <w:gridSpan w:val="3"/>
            <w:shd w:val="clear" w:color="auto" w:fill="CFF0FC"/>
          </w:tcPr>
          <w:p>
            <w:pPr>
              <w:jc w:val="center"/>
              <w:ind w:left="341"/>
              <w:spacing w:after="0"/>
              <w:rPr>
                <w:sz w:val="20"/>
                <w:szCs w:val="20"/>
                <w:color w:val="auto"/>
              </w:rPr>
            </w:pPr>
            <w:r>
              <w:rPr>
                <w:rFonts w:ascii="Arial" w:cs="Arial" w:eastAsia="Arial" w:hAnsi="Arial"/>
                <w:sz w:val="16"/>
                <w:szCs w:val="16"/>
                <w:color w:val="auto"/>
                <w:w w:val="95"/>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center"/>
              <w:ind w:right="201"/>
              <w:spacing w:after="0"/>
              <w:rPr>
                <w:sz w:val="20"/>
                <w:szCs w:val="20"/>
                <w:color w:val="auto"/>
              </w:rPr>
            </w:pPr>
            <w:r>
              <w:rPr>
                <w:rFonts w:ascii="Arial" w:cs="Arial" w:eastAsia="Arial" w:hAnsi="Arial"/>
                <w:sz w:val="16"/>
                <w:szCs w:val="16"/>
                <w:color w:val="auto"/>
                <w:w w:val="95"/>
              </w:rPr>
              <w:t>*</w:t>
            </w:r>
          </w:p>
        </w:tc>
        <w:tc>
          <w:tcPr>
            <w:tcW w:w="860" w:type="dxa"/>
            <w:vAlign w:val="bottom"/>
            <w:gridSpan w:val="2"/>
            <w:shd w:val="clear" w:color="auto" w:fill="CFF0FC"/>
          </w:tcPr>
          <w:p>
            <w:pPr>
              <w:jc w:val="center"/>
              <w:ind w:left="439"/>
              <w:spacing w:after="0"/>
              <w:rPr>
                <w:sz w:val="20"/>
                <w:szCs w:val="20"/>
                <w:color w:val="auto"/>
              </w:rPr>
            </w:pPr>
            <w:r>
              <w:rPr>
                <w:rFonts w:ascii="Arial" w:cs="Arial" w:eastAsia="Arial" w:hAnsi="Arial"/>
                <w:sz w:val="16"/>
                <w:szCs w:val="16"/>
                <w:color w:val="auto"/>
                <w:w w:val="95"/>
              </w:rPr>
              <w:t>*</w:t>
            </w:r>
          </w:p>
        </w:tc>
        <w:tc>
          <w:tcPr>
            <w:tcW w:w="1680" w:type="dxa"/>
            <w:vAlign w:val="bottom"/>
            <w:gridSpan w:val="3"/>
            <w:shd w:val="clear" w:color="auto" w:fill="CFF0FC"/>
          </w:tcPr>
          <w:p>
            <w:pPr>
              <w:jc w:val="center"/>
              <w:ind w:left="441"/>
              <w:spacing w:after="0"/>
              <w:rPr>
                <w:sz w:val="20"/>
                <w:szCs w:val="20"/>
                <w:color w:val="auto"/>
              </w:rPr>
            </w:pPr>
            <w:r>
              <w:rPr>
                <w:rFonts w:ascii="Arial" w:cs="Arial" w:eastAsia="Arial" w:hAnsi="Arial"/>
                <w:sz w:val="16"/>
                <w:szCs w:val="16"/>
                <w:color w:val="auto"/>
                <w:w w:val="99"/>
              </w:rPr>
              <w:t>10%</w:t>
            </w: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 Less than 10% of revenue or accounts receivable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applies the revenue recognition guidance in accordance with Financial Accounting Standards Board (“FASB”) Accounting Standards Codification (“ASC”) Topic 606, Revenue from Contracts with Customers (“Topic 606”).</w:t>
      </w:r>
    </w:p>
    <w:p>
      <w:pPr>
        <w:spacing w:after="0" w:line="11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Company derives revenue from the sale of sequencing and data analysis services. Contracts are in the form of a combination of signed agreements, statements of work, and/or purchase orders.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5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sequencing and data analysis services are the only distinct services that meet the definition of a performance obligation and are accounted for as one performance obligation under Topic 606. Revenue is recognized at a point in time when test results are transferred to the customer. The Company has elected to exclude all sales and value added taxes from the measurement of the transaction price.</w:t>
      </w:r>
    </w:p>
    <w:p>
      <w:pPr>
        <w:spacing w:after="0" w:line="13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Standard payment terms are typically 90 days or less from the invoice date, but may vary. In instances where the timing of revenue recognition differs from the timing of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services and to provide payment protection for the Company.</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Practical Expedients and Exemptions</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consolidated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Cost of revenue consists of raw materials costs, personnel costs (salaries, bonuses, benefits, payroll taxes, and stock-based compensation), laboratory supplies and consumables, depreciation and maintenance on equipment, and allocated facilities and information technology (“IT”) costs.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Company charges research and development costs to expenses as incurred, including lab and automation development costs.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For options granted to employees, non-employees, and directors, stock-based compensation is measured at grant date based on the fair value of the award. The Company determines the grant-date fair value of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Grant-date fair value of awards is amortized over the employees’ requisite service period on a straight-line basis, or the non-employees’ vesting period as the goods are received or services rendered. Forfeitures are accounted for as they occur. Additionally, the Company’s 2019 Employee Stock Purchase Plan (the “ESPP”) is deemed to be a compensatory plan and therefore is included in stock-based compensation expense.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Inputs used in Black-Scholes option-pricing models to measure fair value of options are summarized as follows:</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Expected Term. The expected term is calculated using the simplified method, which is available if there is insufficient historical data about exercise patterns and post-vesting employment termination behavior. The simplified method is based on the vesting period and the contractual term for each grant, or for each vesting tranche for awards with graded vesting. The midpoint of the vesting date and the contractual expiration date is used as the expected term under this method. For awards with multiple vesting tranches, the assumed period for each tranche is computed separately and then averaged together to determine the expected term for the award.</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Expected Volatility. The Company used an average historical stock price volatility of a peer group of publicly traded companies to be representative of its expected future stock price volatility, as sufficient trading history for the Company's common stock does not yet exist.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5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Risk-Free Interest Rate. The risk-free interest rate is based on the implied yield currently available on U.S. Treasury zero-coupon issues with remaining terms equivalent to the expected term of a stock award.</w:t>
      </w:r>
    </w:p>
    <w:p>
      <w:pPr>
        <w:spacing w:after="0" w:line="11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Expected Dividend Rate. The Company has not paid and does not anticipate paying any dividends in the near future. Accordingly, estimated dividend yield is zero.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Translation</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Company considers the functional currencies of its foreign subsidiaries to be the local currency. Assets and liabilities recorded in foreign currencies are translated at the exchange rate as of the balance sheet date, and costs and expenses are translated at average exchange rates in effect during the period. Equity transactions are translated using historical exchange rates. The effects of foreign currency translation adjustments are recorded as a separate component of accumulated other comprehensive income (loss) in the consolidated balance sheets.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17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Comprehensive loss includes all changes in equity (net assets) during the period from nonowner sources. Comprehensive loss consists of net loss, cumulative translation adjustments, and unrealized gains or losses on available-for-sale debt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Company uses the asset and liability method under ASC Topic 740, Income Taxes, in accounting for income taxes. Deferred tax assets and liabilities are recognized for the estimated future tax consequences attributable to differences between the consolidated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Deferred tax expenses or benefits are the result of changes in the deferred tax assets and liabilities. Valuation allowances are established when necessary to reduce deferred tax assets where it is more likely than not that the deferred tax assets will not be realized.</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ASC Topic 740 clarifies the accounting for uncertainty in income taxes recognized in the financial statements. ASC Topic 740 provides that a tax benefit from an uncertain tax position may be recognized when it is more likely than not that the position will be sustained upon audit, including resolutions of any related appeals or litigation processes, based on the technical merits of the position. ASC Topic 740 also provides guidance on measurement, derecognition, classification, interest and penalties, accounting in interim periods, disclosure, and transition.</w:t>
      </w:r>
    </w:p>
    <w:p>
      <w:pPr>
        <w:spacing w:after="0" w:line="15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recognizes interest and penalties related to unrecognized tax benefits within the income tax expense line in the consolidated statements of operations. Accrued interest and penalties are included within the related liability line in the consolidated balance sheets.</w:t>
      </w:r>
    </w:p>
    <w:p>
      <w:pPr>
        <w:sectPr>
          <w:pgSz w:w="11900" w:h="16838" w:orient="portrait"/>
          <w:cols w:equalWidth="0" w:num="1">
            <w:col w:w="11240"/>
          </w:cols>
          <w:pgMar w:left="320" w:top="778" w:right="33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Undistributed earnings of foreign subsidiaries are assumed to be indefinitely reinvested and, accordingly, no U.S. income taxes have been provided thereon.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Cash equivalents consist of highly liquid investments with original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and U.S. Treasury bills, which are marketable debt securities recorded at fair value and accounted for in the same manner as other marketable debt securities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are also classified as short-term based on their highly liquid nature and because such marketable securities represent the investment of cash that is available for current operations. Short-term investments primarily consist of U.S. Treasury notes, U.S. Treasury bills, commercial paper, and U.S. government agency bonds.</w:t>
      </w:r>
    </w:p>
    <w:p>
      <w:pPr>
        <w:spacing w:after="0" w:line="13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Any discount or premium arising at purchase is accreted or amortized to interest income or expense. Unrealized gains and losses are included in accumulated other comprehensive income (loss) in stockholders’ equity. Realized gains and losses are reported in other income (expense), net. When securities are sold, any associated unrealized gain or loss initially recorded as a separate component of stockholders’ equity is reclassified out of stockholders’ equity on a specific-identification basis and recorded in earnings for the period. If an available-for-sale debt security's fair value is less than its amortized cost basis, the Company evaluates whether the decline is the result of a credit loss, in which case an impairment is recorded through an allowance for credit losses.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three-level hierarchy for the inputs to valuation techniques used to measure fair value is briefly summarized as follows:</w:t>
      </w:r>
    </w:p>
    <w:p>
      <w:pPr>
        <w:spacing w:after="0" w:line="18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color w:val="auto"/>
        </w:rPr>
        <w:t>Level 1 — Unadjusted quoted prices in active markets that are accessible to the reporting entity at the measurement date for identical assets and liabilities.</w:t>
      </w:r>
    </w:p>
    <w:p>
      <w:pPr>
        <w:spacing w:after="0" w:line="129"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15" w:lineRule="exact"/>
        <w:rPr>
          <w:sz w:val="20"/>
          <w:szCs w:val="20"/>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Quoted prices for similar assets and liabilities in active markets.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Quoted prices for identical or similar assets or liabilities in markets that are not active.</w:t>
      </w:r>
    </w:p>
    <w:p>
      <w:pPr>
        <w:spacing w:after="0" w:line="206"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Observable inputs other than quoted prices that are used in the valuation of the assets or liabilities (e.g., interest rate and yield curve quotes at commonly quoted intervals).</w:t>
      </w:r>
    </w:p>
    <w:p>
      <w:pPr>
        <w:spacing w:after="0" w:line="11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Inputs that are derived principally from or are corroborated by observable market data by correlation or other means.</w:t>
      </w:r>
    </w:p>
    <w:p>
      <w:pPr>
        <w:spacing w:after="0" w:line="193"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2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Net</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Trade accounts receivable are recorded at the invoiced amount and are noninterest bearing. The Company maintains an allowance for credit losses, consisting of known specific troubled accounts as well as an amount based on overall estimated potential uncollectible accounts receivable based on historical experience and review of their current credit quality. Expected credit losses are recorded as selling, general and administrative expenses in the consolidated statements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 and Other Deferred Costs</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Inventory consists of raw materials and supplies used to fulfill customer contracts and the Company's research and development activities, and is valued at the lower of cost or net realizable value. Cost is determined using actual costs, on a first-in, first-out basis. Other deferred costs relate to materials consumed and work performed on customer orders that have yet to be completed and recognized as revenue and cost of revenue. Other deferred costs are also comprised of direct labor and overhead costs incurred.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Property and equipment are recorded at cost, less accumulated depreciation and amortization, and are depreciated on a straight-line basis over the estimated useful lives of the related assets, which is generally three to five years for computer equipment, two years for software, three years for furniture and equipment, and five years for machinery and equipment. Leasehold improvements are amortized over the shorter of the lease term or the estimated useful life of the related asset. Upon retirement or sale, the cost and related accumulated depreciation and amortization are removed from the consolidated balance sheet, and the resulting gain or loss is reflected in the consolidated statements of operations. Maintenance and repairs that are not considered improvements and do not extend the useful lives of the assets are charged to expense as incurred.</w:t>
      </w:r>
    </w:p>
    <w:p>
      <w:pPr>
        <w:spacing w:after="0" w:line="15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Construction-in-process assets consist primarily of laboratory equipment and computer equipment that have not yet been placed in service. These assets are stated at cost and are not depreciated. Once the assets are placed into service, assets are reclassified to the appropriate asset class based on their nature and depreciated in accordance with the useful lives above.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179"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The Company categorizes leases with contractual terms longer than 12 months as either operating or finance leases. Finance leases are generally those leases that allow the Company to substantially utilize or pay for the entire asset over its estimated life. All other leases are categorized as operating leases. As of December 31, 2023, the Company had no finance leases.</w:t>
      </w:r>
    </w:p>
    <w:p>
      <w:pPr>
        <w:spacing w:after="0" w:line="144"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spacing w:after="0" w:line="11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Lease liabilities are recognized at the present value of the fixed lease payments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Lease assets are recognized based on the initial present value of the fixed lease payments plus any direct costs from executing the leases and any lease prepayments. Lease assets are presented as “Operating lease right-of-use assets” as a long-term asset. Leasehold improvements are capitalized at cost and amortized over the lesser of their expected useful life or the lease term. Costs associated with operating lease assets are recognized on a straight-line basis within operating expenses over the term of the lease.</w:t>
      </w:r>
    </w:p>
    <w:p>
      <w:pPr>
        <w:spacing w:after="0" w:line="14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Company has made an accounting policy election not to recognize right-of-use assets and lease liabilities that arise from leases with a term of 12 months or less. Fixed lease payments are recognized as an expense on a straight-line basis over the lease term. Variable lease costs are amounts owed by us to a lessor that are not fixed, such as reimbursement for common area maintenance, operating expenses, utilities, or other costs that are subject to fluctuation from period to period. The Company has also elected to include expenses related to leases with a term of one month or less in the short-term lease cost disclosure.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 Liability</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Changes in fair value of liability classified warrants are recognized within "Other income (expense), net" in the consolidated statements of operations. Warrant liabilities are classified as short-term or long-term based on their remaining contractual periods. Cash proceeds in connection with the issuance of warrants for the Company's common stock are presented as financing activities in the consolidated statements of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Adopted</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June 2016, the FASB issued Accounting Standards Update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The Company adopted the new guidance as of the beginning of the first quarter of 2023 by means of a cumulative-effect adjustment to opening retained earnings. The adoption did not have a significant impact on the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Not Yet Adopted</w:t>
      </w:r>
    </w:p>
    <w:p>
      <w:pPr>
        <w:spacing w:after="0" w:line="192"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In December 2023, the FASB issued ASU 2023-09, Income Taxes (Topic 740): Improvements to Income Tax Disclosures, which enhances transparency about income tax information through improvements to income tax disclosures primarily related to the rate</w:t>
      </w:r>
    </w:p>
    <w:p>
      <w:pPr>
        <w:sectPr>
          <w:pgSz w:w="11900" w:h="16838" w:orient="portrait"/>
          <w:cols w:equalWidth="0" w:num="1">
            <w:col w:w="11240"/>
          </w:cols>
          <w:pgMar w:left="320" w:top="778" w:right="33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reconciliation and income taxes paid information. The guidance will be effective for the Company's annual period ending December 31, 2025. The Company is currently evaluating the impact of the new guidance on its income tax disclosures.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disaggregates revenue by the following four customer types:</w:t>
      </w:r>
    </w:p>
    <w:p>
      <w:pPr>
        <w:spacing w:after="0" w:line="181" w:lineRule="exact"/>
        <w:rPr>
          <w:sz w:val="20"/>
          <w:szCs w:val="20"/>
          <w:color w:val="auto"/>
        </w:rPr>
      </w:pPr>
    </w:p>
    <w:p>
      <w:pPr>
        <w:jc w:val="both"/>
        <w:ind w:left="1140" w:hanging="383"/>
        <w:spacing w:after="0" w:line="266" w:lineRule="auto"/>
        <w:tabs>
          <w:tab w:leader="none" w:pos="1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Pharma tests and services </w:t>
      </w:r>
      <w:r>
        <w:rPr>
          <w:rFonts w:ascii="Arial" w:cs="Arial" w:eastAsia="Arial" w:hAnsi="Arial"/>
          <w:sz w:val="16"/>
          <w:szCs w:val="16"/>
          <w:color w:val="auto"/>
        </w:rPr>
        <w:t>includes sales of testing services and data analytics for clinical trials and research to pharmaceutical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support of their drug development programs. Contracts typically contemplate a single project and involve a range of tests and analytics to fulfill the requirements of each particular project.</w:t>
      </w:r>
    </w:p>
    <w:p>
      <w:pPr>
        <w:spacing w:after="0" w:line="143"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Enterprise sales </w:t>
      </w:r>
      <w:r>
        <w:rPr>
          <w:rFonts w:ascii="Arial" w:cs="Arial" w:eastAsia="Arial" w:hAnsi="Arial"/>
          <w:sz w:val="16"/>
          <w:szCs w:val="16"/>
          <w:color w:val="auto"/>
        </w:rPr>
        <w:t>includes sales of tumor profiling and diagnostic tests directly to another business as an input to their products.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typically contracted to deliver specified tests and analytics in high volume over time. Revenue from the Company's partnership with Natera to provide advanced tumor analysis for use in Natera's MRD test makes up substantially all of the revenue in this category.</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includes sales of genomic sequencing services and data analytics to support large-scale genetic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The Company is typically contracted to perform whole genome sequencing and provide data that can be used for analysis across a large volume of samples. All of the revenue within this category is from the Company's partnership with the VA MVP.</w:t>
      </w:r>
    </w:p>
    <w:p>
      <w:pPr>
        <w:spacing w:after="0" w:line="12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includes sales of genomic tests and analytics to universities and non-profits. Other also includes sales of diagnostics tests ordered by</w:t>
      </w:r>
      <w:r>
        <w:rPr>
          <w:rFonts w:ascii="Arial" w:cs="Arial" w:eastAsia="Arial" w:hAnsi="Arial"/>
          <w:sz w:val="16"/>
          <w:szCs w:val="16"/>
          <w:b w:val="1"/>
          <w:bCs w:val="1"/>
          <w:color w:val="auto"/>
        </w:rPr>
        <w:t xml:space="preserve"> </w:t>
      </w:r>
      <w:r>
        <w:rPr>
          <w:rFonts w:ascii="Arial" w:cs="Arial" w:eastAsia="Arial" w:hAnsi="Arial"/>
          <w:sz w:val="16"/>
          <w:szCs w:val="16"/>
          <w:color w:val="auto"/>
        </w:rPr>
        <w:t>healthcare providers for cancer patients, which was insignificant for periods presented.</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revenue disaggregated by customer type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Pharma tests and services</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31,904</w:t>
            </w:r>
          </w:p>
        </w:tc>
        <w:tc>
          <w:tcPr>
            <w:tcW w:w="58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29,552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30,282</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Enterprise sales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31,729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26,641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8,774</w:t>
            </w:r>
          </w:p>
        </w:tc>
      </w:tr>
      <w:tr>
        <w:trPr>
          <w:trHeight w:val="217"/>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Population sequencing</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8,443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45,671</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411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767</w:t>
            </w:r>
          </w:p>
        </w:tc>
      </w:tr>
      <w:tr>
        <w:trPr>
          <w:trHeight w:val="250"/>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revenue</w:t>
            </w:r>
          </w:p>
        </w:tc>
        <w:tc>
          <w:tcPr>
            <w:tcW w:w="820" w:type="dxa"/>
            <w:vAlign w:val="bottom"/>
            <w:tcBorders>
              <w:bottom w:val="single" w:sz="8" w:color="auto"/>
            </w:tcBorders>
            <w:shd w:val="clear" w:color="auto" w:fill="CFF0FC"/>
          </w:tcPr>
          <w:p>
            <w:pPr>
              <w:jc w:val="right"/>
              <w:ind w:right="6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73,481</w:t>
            </w: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65,047</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85,494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5"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Revenue from countries outside of the United States, based on the billing addresses of customers, represented 10%, 9%, and 8% of the Company’s revenue for the years ended December 31, 2023, 2022 and 2021,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opening and closing balances of receivables and contract liabilities from contracts with customers are shown below (in thousands). Contract assets were immaterial for all periods presented.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2022</w:t>
            </w: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Opening balances:</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1020" w:type="dxa"/>
            <w:vAlign w:val="bottom"/>
          </w:tcPr>
          <w:p>
            <w:pPr>
              <w:jc w:val="right"/>
              <w:ind w:right="821"/>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16,642</w:t>
            </w:r>
          </w:p>
        </w:tc>
        <w:tc>
          <w:tcPr>
            <w:tcW w:w="6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18,468</w:t>
            </w:r>
          </w:p>
        </w:tc>
      </w:tr>
      <w:tr>
        <w:trPr>
          <w:trHeight w:val="217"/>
        </w:trPr>
        <w:tc>
          <w:tcPr>
            <w:tcW w:w="7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Short-term contract liabilities</w:t>
            </w:r>
          </w:p>
        </w:tc>
        <w:tc>
          <w:tcPr>
            <w:tcW w:w="1020" w:type="dxa"/>
            <w:vAlign w:val="bottom"/>
          </w:tcPr>
          <w:p>
            <w:pPr>
              <w:jc w:val="right"/>
              <w:ind w:right="821"/>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1,264</w:t>
            </w:r>
          </w:p>
        </w:tc>
        <w:tc>
          <w:tcPr>
            <w:tcW w:w="6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3,982</w:t>
            </w:r>
          </w:p>
        </w:tc>
      </w:tr>
      <w:tr>
        <w:trPr>
          <w:trHeight w:val="217"/>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Long-term contract liabilities (included in other long-term liabilities)</w:t>
            </w:r>
          </w:p>
        </w:tc>
        <w:tc>
          <w:tcPr>
            <w:tcW w:w="10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9"/>
        </w:trPr>
        <w:tc>
          <w:tcPr>
            <w:tcW w:w="7720" w:type="dxa"/>
            <w:vAlign w:val="bottom"/>
          </w:tcPr>
          <w:p>
            <w:pPr>
              <w:ind w:left="380"/>
              <w:spacing w:after="0"/>
              <w:rPr>
                <w:sz w:val="20"/>
                <w:szCs w:val="20"/>
                <w:color w:val="auto"/>
              </w:rPr>
            </w:pPr>
            <w:r>
              <w:rPr>
                <w:rFonts w:ascii="Arial" w:cs="Arial" w:eastAsia="Arial" w:hAnsi="Arial"/>
                <w:sz w:val="16"/>
                <w:szCs w:val="16"/>
                <w:color w:val="auto"/>
              </w:rPr>
              <w:t>Total contract liabilities</w:t>
            </w:r>
          </w:p>
        </w:tc>
        <w:tc>
          <w:tcPr>
            <w:tcW w:w="1020" w:type="dxa"/>
            <w:vAlign w:val="bottom"/>
          </w:tcPr>
          <w:p>
            <w:pPr>
              <w:spacing w:after="0"/>
              <w:rPr>
                <w:sz w:val="18"/>
                <w:szCs w:val="18"/>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1,264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3,982</w:t>
            </w:r>
          </w:p>
        </w:tc>
      </w:tr>
      <w:tr>
        <w:trPr>
          <w:trHeight w:val="217"/>
        </w:trPr>
        <w:tc>
          <w:tcPr>
            <w:tcW w:w="7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Closing balances: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w:t>
            </w:r>
          </w:p>
        </w:tc>
        <w:tc>
          <w:tcPr>
            <w:tcW w:w="1020" w:type="dxa"/>
            <w:vAlign w:val="bottom"/>
            <w:shd w:val="clear" w:color="auto" w:fill="CFF0FC"/>
          </w:tcPr>
          <w:p>
            <w:pPr>
              <w:jc w:val="right"/>
              <w:ind w:right="821"/>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17,730</w:t>
            </w:r>
          </w:p>
        </w:tc>
        <w:tc>
          <w:tcPr>
            <w:tcW w:w="64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16,642</w:t>
            </w:r>
          </w:p>
        </w:tc>
      </w:tr>
      <w:tr>
        <w:trPr>
          <w:trHeight w:val="216"/>
        </w:trPr>
        <w:tc>
          <w:tcPr>
            <w:tcW w:w="7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contract liabilities</w:t>
            </w:r>
          </w:p>
        </w:tc>
        <w:tc>
          <w:tcPr>
            <w:tcW w:w="1020" w:type="dxa"/>
            <w:vAlign w:val="bottom"/>
            <w:shd w:val="clear" w:color="auto" w:fill="CFF0FC"/>
          </w:tcPr>
          <w:p>
            <w:pPr>
              <w:jc w:val="right"/>
              <w:ind w:right="821"/>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3,288</w:t>
            </w:r>
          </w:p>
        </w:tc>
        <w:tc>
          <w:tcPr>
            <w:tcW w:w="64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1,264</w:t>
            </w: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Long-term contract liabilities (included in other long-term liabilities)</w:t>
            </w: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3,928</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0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contract liabilities</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7,216</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-1113790</wp:posOffset>
            </wp:positionV>
            <wp:extent cx="1111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Amounts collected in advance of services being provided are deferred as contract liabilities in the consolidated balance sheets. The associated revenue is recognized, and the contract liability is reduced, as the services are subsequently performed. As of December 31, 2023, amounts related to unfulfilled services under contracts with an original expected duration of more than one year was $5.7 million. The Company expects to recognize approximately $1.8 million of this amount in the next 12 months, and the remaining $3.9 million in the 12 months after that. Revenue recognized that was included in the contract liability balance at the beginning of each reporting period was $0.4 million, $3.5 million, and $19.1 million for the years ended December 31, 2023, 2022, and 2021, respectively.</w:t>
      </w:r>
    </w:p>
    <w:p>
      <w:pPr>
        <w:sectPr>
          <w:pgSz w:w="11900" w:h="16838" w:orient="portrait"/>
          <w:cols w:equalWidth="0" w:num="1">
            <w:col w:w="11240"/>
          </w:cols>
          <w:pgMar w:left="320" w:top="778"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Balance Sheet Details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2022</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Raw materials</w:t>
            </w:r>
          </w:p>
        </w:tc>
        <w:tc>
          <w:tcPr>
            <w:tcW w:w="980" w:type="dxa"/>
            <w:vAlign w:val="bottom"/>
            <w:shd w:val="clear" w:color="auto" w:fill="CFF0FC"/>
          </w:tcPr>
          <w:p>
            <w:pPr>
              <w:jc w:val="right"/>
              <w:ind w:right="78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5,661</w:t>
            </w:r>
          </w:p>
        </w:tc>
        <w:tc>
          <w:tcPr>
            <w:tcW w:w="64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6,384</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Other deferred costs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4,813</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2,207</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inventory and other deferred costs</w:t>
            </w:r>
          </w:p>
        </w:tc>
        <w:tc>
          <w:tcPr>
            <w:tcW w:w="980" w:type="dxa"/>
            <w:vAlign w:val="bottom"/>
            <w:shd w:val="clear" w:color="auto" w:fill="CFF0FC"/>
          </w:tcPr>
          <w:p>
            <w:pPr>
              <w:jc w:val="right"/>
              <w:ind w:right="78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10,474</w:t>
            </w:r>
          </w:p>
        </w:tc>
        <w:tc>
          <w:tcPr>
            <w:tcW w:w="64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8,591</w:t>
            </w:r>
          </w:p>
        </w:tc>
      </w:tr>
      <w:tr>
        <w:trPr>
          <w:trHeight w:val="383"/>
        </w:trPr>
        <w:tc>
          <w:tcPr>
            <w:tcW w:w="7720" w:type="dxa"/>
            <w:vAlign w:val="bottom"/>
            <w:tcBorders>
              <w:top w:val="single" w:sz="8" w:color="CFF0FC"/>
            </w:tcBorders>
          </w:tcPr>
          <w:p>
            <w:pPr>
              <w:ind w:left="760"/>
              <w:spacing w:after="0"/>
              <w:rPr>
                <w:sz w:val="20"/>
                <w:szCs w:val="20"/>
                <w:color w:val="auto"/>
              </w:rPr>
            </w:pPr>
            <w:r>
              <w:rPr>
                <w:rFonts w:ascii="Arial" w:cs="Arial" w:eastAsia="Arial" w:hAnsi="Arial"/>
                <w:sz w:val="16"/>
                <w:szCs w:val="16"/>
                <w:color w:val="auto"/>
              </w:rPr>
              <w:t>Property and equipment, net consists of the following (in thousands):</w:t>
            </w:r>
          </w:p>
        </w:tc>
        <w:tc>
          <w:tcPr>
            <w:tcW w:w="9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353"/>
        </w:trPr>
        <w:tc>
          <w:tcPr>
            <w:tcW w:w="77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24"/>
                <w:szCs w:val="24"/>
                <w:color w:val="auto"/>
              </w:rPr>
            </w:pPr>
          </w:p>
        </w:tc>
      </w:tr>
      <w:tr>
        <w:trPr>
          <w:trHeight w:val="183"/>
        </w:trPr>
        <w:tc>
          <w:tcPr>
            <w:tcW w:w="77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2022</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Machinery and equipment</w:t>
            </w:r>
          </w:p>
        </w:tc>
        <w:tc>
          <w:tcPr>
            <w:tcW w:w="980" w:type="dxa"/>
            <w:vAlign w:val="bottom"/>
            <w:shd w:val="clear" w:color="auto" w:fill="CFF0FC"/>
          </w:tcPr>
          <w:p>
            <w:pPr>
              <w:jc w:val="right"/>
              <w:ind w:right="78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27,809</w:t>
            </w:r>
          </w:p>
        </w:tc>
        <w:tc>
          <w:tcPr>
            <w:tcW w:w="64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21,537</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Computer equipment</w:t>
            </w:r>
          </w:p>
        </w:tc>
        <w:tc>
          <w:tcPr>
            <w:tcW w:w="98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17,923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17,803</w:t>
            </w: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Computer software</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2,961</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3,010</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98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2,045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2,152</w:t>
            </w: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Construction in progress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3,485</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3,989</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40,811</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40,370</w:t>
            </w:r>
          </w:p>
        </w:tc>
      </w:tr>
      <w:tr>
        <w:trPr>
          <w:trHeight w:val="20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95,034</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88,861</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(37,668 )</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(26,926 )</w:t>
            </w:r>
          </w:p>
        </w:tc>
      </w:tr>
      <w:tr>
        <w:trPr>
          <w:trHeight w:val="250"/>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Property and equipment, net</w:t>
            </w:r>
          </w:p>
        </w:tc>
        <w:tc>
          <w:tcPr>
            <w:tcW w:w="98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57,366</w:t>
            </w:r>
          </w:p>
        </w:tc>
        <w:tc>
          <w:tcPr>
            <w:tcW w:w="1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61,935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-1919605</wp:posOffset>
            </wp:positionV>
            <wp:extent cx="1111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-1902460</wp:posOffset>
            </wp:positionV>
            <wp:extent cx="1111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Depreciation and amortization expense for the years ended December 31, 2023, 2022, and 2021 was $11.3 million, $8.4 million, and $6.0 million, respectively.</w:t>
      </w:r>
    </w:p>
    <w:p>
      <w:pPr>
        <w:spacing w:after="0" w:line="15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The Company’s restricted cash is pledged as collateral for a standby letter of credit related to a property lease. The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was $1.8 million as of December 31, 2023 and 2022, and is included in other long-term assets.</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compensation</w:t>
            </w:r>
          </w:p>
        </w:tc>
        <w:tc>
          <w:tcPr>
            <w:tcW w:w="442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12,816</w:t>
            </w:r>
          </w:p>
        </w:tc>
        <w:tc>
          <w:tcPr>
            <w:tcW w:w="64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9,008</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3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7,761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5,391</w:t>
            </w:r>
          </w:p>
        </w:tc>
        <w:tc>
          <w:tcPr>
            <w:tcW w:w="0" w:type="dxa"/>
            <w:vAlign w:val="bottom"/>
          </w:tcPr>
          <w:p>
            <w:pPr>
              <w:spacing w:after="0"/>
              <w:rPr>
                <w:sz w:val="1"/>
                <w:szCs w:val="1"/>
                <w:color w:val="auto"/>
              </w:rPr>
            </w:pPr>
          </w:p>
        </w:tc>
      </w:tr>
      <w:tr>
        <w:trPr>
          <w:trHeight w:val="217"/>
        </w:trPr>
        <w:tc>
          <w:tcPr>
            <w:tcW w:w="4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Loans—current portion (Note 6)</w:t>
            </w:r>
          </w:p>
        </w:tc>
        <w:tc>
          <w:tcPr>
            <w:tcW w:w="3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1,646</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2,218</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3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858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17"/>
        </w:trPr>
        <w:tc>
          <w:tcPr>
            <w:tcW w:w="4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ESPP contributions</w:t>
            </w:r>
          </w:p>
        </w:tc>
        <w:tc>
          <w:tcPr>
            <w:tcW w:w="3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311</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Customer deposits</w:t>
            </w:r>
          </w:p>
        </w:tc>
        <w:tc>
          <w:tcPr>
            <w:tcW w:w="3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512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Accrued taxes</w:t>
            </w:r>
          </w:p>
        </w:tc>
        <w:tc>
          <w:tcPr>
            <w:tcW w:w="34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8"/>
        </w:trPr>
        <w:tc>
          <w:tcPr>
            <w:tcW w:w="4320" w:type="dxa"/>
            <w:vAlign w:val="bottom"/>
          </w:tcPr>
          <w:p>
            <w:pPr>
              <w:ind w:left="200"/>
              <w:spacing w:after="0"/>
              <w:rPr>
                <w:sz w:val="20"/>
                <w:szCs w:val="20"/>
                <w:color w:val="auto"/>
              </w:rPr>
            </w:pPr>
            <w:r>
              <w:rPr>
                <w:rFonts w:ascii="Arial" w:cs="Arial" w:eastAsia="Arial" w:hAnsi="Arial"/>
                <w:sz w:val="16"/>
                <w:szCs w:val="16"/>
                <w:color w:val="auto"/>
              </w:rPr>
              <w:t>Total accrued and other current liabilities</w:t>
            </w:r>
          </w:p>
        </w:tc>
        <w:tc>
          <w:tcPr>
            <w:tcW w:w="442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23,941</w:t>
            </w:r>
          </w:p>
        </w:tc>
        <w:tc>
          <w:tcPr>
            <w:tcW w:w="6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19,013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400" w:type="dxa"/>
            <w:vAlign w:val="bottom"/>
            <w:vMerge w:val="restart"/>
          </w:tcPr>
          <w:p>
            <w:pPr>
              <w:jc w:val="right"/>
              <w:ind w:right="1919"/>
              <w:spacing w:after="0"/>
              <w:rPr>
                <w:sz w:val="20"/>
                <w:szCs w:val="20"/>
                <w:color w:val="auto"/>
              </w:rPr>
            </w:pPr>
            <w:r>
              <w:rPr>
                <w:rFonts w:ascii="Arial" w:cs="Arial" w:eastAsia="Arial" w:hAnsi="Arial"/>
                <w:sz w:val="16"/>
                <w:szCs w:val="16"/>
                <w:color w:val="auto"/>
              </w:rPr>
              <w:t>77</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3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432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-1062355</wp:posOffset>
            </wp:positionV>
            <wp:extent cx="1111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tables show financial assets and liabilities measured at fair value on a recurring basis and the level of inputs used in such measurements as of December 31, 2023 and 2022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0"/>
        </w:trPr>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80"/>
              <w:spacing w:after="0" w:line="16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Fair Value</w:t>
            </w:r>
          </w:p>
        </w:tc>
      </w:tr>
      <w:tr>
        <w:trPr>
          <w:trHeight w:val="185"/>
        </w:trPr>
        <w:tc>
          <w:tcPr>
            <w:tcW w:w="518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r>
      <w:tr>
        <w:trPr>
          <w:trHeight w:val="210"/>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3,649</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5"/>
        </w:trPr>
        <w:tc>
          <w:tcPr>
            <w:tcW w:w="518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17"/>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34,416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34,398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15"/>
        </w:trPr>
        <w:tc>
          <w:tcPr>
            <w:tcW w:w="5180" w:type="dxa"/>
            <w:vAlign w:val="bottom"/>
          </w:tcPr>
          <w:p>
            <w:pPr>
              <w:ind w:left="200"/>
              <w:spacing w:after="0"/>
              <w:rPr>
                <w:sz w:val="20"/>
                <w:szCs w:val="20"/>
                <w:color w:val="auto"/>
              </w:rPr>
            </w:pPr>
            <w:r>
              <w:rPr>
                <w:rFonts w:ascii="Arial" w:cs="Arial" w:eastAsia="Arial" w:hAnsi="Arial"/>
                <w:sz w:val="16"/>
                <w:szCs w:val="16"/>
                <w:color w:val="auto"/>
              </w:rPr>
              <w:t>U.S. agency securities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17"/>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U.S. government securities</w:t>
            </w:r>
          </w:p>
        </w:tc>
        <w:tc>
          <w:tcPr>
            <w:tcW w:w="2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9"/>
        </w:trPr>
        <w:tc>
          <w:tcPr>
            <w:tcW w:w="5180" w:type="dxa"/>
            <w:vAlign w:val="bottom"/>
          </w:tcPr>
          <w:p>
            <w:pPr>
              <w:ind w:left="380"/>
              <w:spacing w:after="0"/>
              <w:rPr>
                <w:sz w:val="20"/>
                <w:szCs w:val="20"/>
                <w:color w:val="auto"/>
              </w:rPr>
            </w:pPr>
            <w:r>
              <w:rPr>
                <w:rFonts w:ascii="Arial" w:cs="Arial" w:eastAsia="Arial" w:hAnsi="Arial"/>
                <w:sz w:val="16"/>
                <w:szCs w:val="16"/>
                <w:color w:val="auto"/>
              </w:rPr>
              <w:t>Total cash and cash equivalents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56,984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investments: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5"/>
        </w:trPr>
        <w:tc>
          <w:tcPr>
            <w:tcW w:w="5180" w:type="dxa"/>
            <w:vAlign w:val="bottom"/>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17"/>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agency securities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U.S. government securities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54,724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
        </w:trPr>
        <w:tc>
          <w:tcPr>
            <w:tcW w:w="5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short-term investments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57,191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57,195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r>
      <w:tr>
        <w:trPr>
          <w:trHeight w:val="210"/>
        </w:trPr>
        <w:tc>
          <w:tcPr>
            <w:tcW w:w="5180" w:type="dxa"/>
            <w:vAlign w:val="bottom"/>
          </w:tcPr>
          <w:p>
            <w:pPr>
              <w:ind w:left="560"/>
              <w:spacing w:after="0"/>
              <w:rPr>
                <w:sz w:val="20"/>
                <w:szCs w:val="20"/>
                <w:color w:val="auto"/>
              </w:rPr>
            </w:pPr>
            <w:r>
              <w:rPr>
                <w:rFonts w:ascii="Arial" w:cs="Arial" w:eastAsia="Arial" w:hAnsi="Arial"/>
                <w:sz w:val="16"/>
                <w:szCs w:val="16"/>
                <w:color w:val="auto"/>
              </w:rPr>
              <w:t>Total assets measured at fair value</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114,192</w:t>
            </w:r>
          </w:p>
        </w:tc>
        <w:tc>
          <w:tcPr>
            <w:tcW w:w="2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114,179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5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0"/>
        </w:trPr>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80"/>
              <w:spacing w:after="0" w:line="16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Fair Value</w:t>
            </w:r>
          </w:p>
        </w:tc>
      </w:tr>
      <w:tr>
        <w:trPr>
          <w:trHeight w:val="185"/>
        </w:trPr>
        <w:tc>
          <w:tcPr>
            <w:tcW w:w="518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r>
      <w:tr>
        <w:trPr>
          <w:trHeight w:val="210"/>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5,615</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5"/>
        </w:trPr>
        <w:tc>
          <w:tcPr>
            <w:tcW w:w="518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31,401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17"/>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47,135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47,120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U.S. government securities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10"/>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cash and cash equivalents</w:t>
            </w: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89,142</w:t>
            </w: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89,128</w:t>
            </w: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13,097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(51 )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13,046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15"/>
        </w:trPr>
        <w:tc>
          <w:tcPr>
            <w:tcW w:w="5180" w:type="dxa"/>
            <w:vAlign w:val="bottom"/>
          </w:tcPr>
          <w:p>
            <w:pPr>
              <w:ind w:left="200"/>
              <w:spacing w:after="0"/>
              <w:rPr>
                <w:sz w:val="20"/>
                <w:szCs w:val="20"/>
                <w:color w:val="auto"/>
              </w:rPr>
            </w:pPr>
            <w:r>
              <w:rPr>
                <w:rFonts w:ascii="Arial" w:cs="Arial" w:eastAsia="Arial" w:hAnsi="Arial"/>
                <w:sz w:val="16"/>
                <w:szCs w:val="16"/>
                <w:color w:val="auto"/>
              </w:rPr>
              <w:t>U.S. agency securities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(105 )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17"/>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U.S. government securities</w:t>
            </w:r>
          </w:p>
        </w:tc>
        <w:tc>
          <w:tcPr>
            <w:tcW w:w="2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56,658</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(515 )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56,144</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10"/>
        </w:trPr>
        <w:tc>
          <w:tcPr>
            <w:tcW w:w="5180" w:type="dxa"/>
            <w:vAlign w:val="bottom"/>
          </w:tcPr>
          <w:p>
            <w:pPr>
              <w:ind w:left="380"/>
              <w:spacing w:after="0"/>
              <w:rPr>
                <w:sz w:val="20"/>
                <w:szCs w:val="20"/>
                <w:color w:val="auto"/>
              </w:rPr>
            </w:pPr>
            <w:r>
              <w:rPr>
                <w:rFonts w:ascii="Arial" w:cs="Arial" w:eastAsia="Arial" w:hAnsi="Arial"/>
                <w:sz w:val="16"/>
                <w:szCs w:val="16"/>
                <w:color w:val="auto"/>
              </w:rPr>
              <w:t>Total short-term investments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79,200</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(671 )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78,530</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51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assets measured at fair value</w:t>
            </w: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168,342</w:t>
            </w: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(686 )</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167,658</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-3325495</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-3325495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-3325495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-3325495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-2485390</wp:posOffset>
            </wp:positionV>
            <wp:extent cx="768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-2485390</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-2485390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-2485390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-316865</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-316865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-316865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-316865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Marketable debt securities at December 31, 2023 have maturities due in less than 12 months. No security has been in a continuous unrealized loss position for more than 12 months and the Company does not consider any of its marketable debt securities to be impaired.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Tempus Warrants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Black-Scholes option-pricing model was used to estimate fair value of the warrants issued to Tempus AI, Inc. (formerly known as Tempus Labs, Inc., and referred to herein as "Tempus") at the date of issuance, November 28, 2023, and at each subsequent balance sheet date. Assumptions used are listed below, which are Level 3 fair value inputs. Expected term is equal to the remaining contractual periods of each of the two warrants. Expected volatility was based on the Company's actual historical volatility over the expected terms of the warrants. The risk-free interest rate was based on the U.S. Treasury yield curve over the expected term of the warrants. Refer to Note 8 for further information about the warrants issued to Tempus.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19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As of November 28, 2023</w:t>
            </w:r>
          </w:p>
        </w:tc>
        <w:tc>
          <w:tcPr>
            <w:tcW w:w="160" w:type="dxa"/>
            <w:vAlign w:val="bottom"/>
          </w:tcPr>
          <w:p>
            <w:pPr>
              <w:spacing w:after="0"/>
              <w:rPr>
                <w:sz w:val="16"/>
                <w:szCs w:val="16"/>
                <w:color w:val="auto"/>
              </w:rPr>
            </w:pPr>
          </w:p>
        </w:tc>
        <w:tc>
          <w:tcPr>
            <w:tcW w:w="18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As of December 31, 2023</w:t>
            </w:r>
          </w:p>
        </w:tc>
      </w:tr>
      <w:tr>
        <w:trPr>
          <w:trHeight w:val="209"/>
        </w:trPr>
        <w:tc>
          <w:tcPr>
            <w:tcW w:w="732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200" w:type="dxa"/>
            <w:vAlign w:val="bottom"/>
          </w:tcPr>
          <w:p>
            <w:pPr>
              <w:spacing w:after="0"/>
              <w:rPr>
                <w:sz w:val="18"/>
                <w:szCs w:val="18"/>
                <w:color w:val="auto"/>
              </w:rPr>
            </w:pPr>
          </w:p>
        </w:tc>
        <w:tc>
          <w:tcPr>
            <w:tcW w:w="1700" w:type="dxa"/>
            <w:vAlign w:val="bottom"/>
          </w:tcPr>
          <w:p>
            <w:pPr>
              <w:jc w:val="center"/>
              <w:ind w:right="259"/>
              <w:spacing w:after="0"/>
              <w:rPr>
                <w:sz w:val="20"/>
                <w:szCs w:val="20"/>
                <w:color w:val="auto"/>
              </w:rPr>
            </w:pPr>
            <w:r>
              <w:rPr>
                <w:rFonts w:ascii="Arial" w:cs="Arial" w:eastAsia="Arial" w:hAnsi="Arial"/>
                <w:sz w:val="16"/>
                <w:szCs w:val="16"/>
                <w:color w:val="auto"/>
                <w:w w:val="99"/>
              </w:rPr>
              <w:t>1.09 - 2.09</w:t>
            </w:r>
          </w:p>
        </w:tc>
        <w:tc>
          <w:tcPr>
            <w:tcW w:w="160" w:type="dxa"/>
            <w:vAlign w:val="bottom"/>
          </w:tcPr>
          <w:p>
            <w:pPr>
              <w:spacing w:after="0"/>
              <w:rPr>
                <w:sz w:val="18"/>
                <w:szCs w:val="18"/>
                <w:color w:val="auto"/>
              </w:rPr>
            </w:pPr>
          </w:p>
        </w:tc>
        <w:tc>
          <w:tcPr>
            <w:tcW w:w="1860" w:type="dxa"/>
            <w:vAlign w:val="bottom"/>
            <w:gridSpan w:val="2"/>
          </w:tcPr>
          <w:p>
            <w:pPr>
              <w:jc w:val="right"/>
              <w:ind w:right="519"/>
              <w:spacing w:after="0"/>
              <w:rPr>
                <w:sz w:val="20"/>
                <w:szCs w:val="20"/>
                <w:color w:val="auto"/>
              </w:rPr>
            </w:pPr>
            <w:r>
              <w:rPr>
                <w:rFonts w:ascii="Arial" w:cs="Arial" w:eastAsia="Arial" w:hAnsi="Arial"/>
                <w:sz w:val="16"/>
                <w:szCs w:val="16"/>
                <w:color w:val="auto"/>
              </w:rPr>
              <w:t>1.00 - 2.00</w:t>
            </w:r>
          </w:p>
        </w:tc>
      </w:tr>
      <w:tr>
        <w:trPr>
          <w:trHeight w:val="217"/>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Volatility</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rPr>
              <w:t>99.04 - 105.44%</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102.55</w:t>
            </w:r>
          </w:p>
        </w:tc>
        <w:tc>
          <w:tcPr>
            <w:tcW w:w="1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- 108.46%</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200" w:type="dxa"/>
            <w:vAlign w:val="bottom"/>
          </w:tcPr>
          <w:p>
            <w:pPr>
              <w:spacing w:after="0"/>
              <w:rPr>
                <w:sz w:val="18"/>
                <w:szCs w:val="18"/>
                <w:color w:val="auto"/>
              </w:rPr>
            </w:pPr>
          </w:p>
        </w:tc>
        <w:tc>
          <w:tcPr>
            <w:tcW w:w="1700" w:type="dxa"/>
            <w:vAlign w:val="bottom"/>
          </w:tcPr>
          <w:p>
            <w:pPr>
              <w:jc w:val="center"/>
              <w:ind w:right="259"/>
              <w:spacing w:after="0"/>
              <w:rPr>
                <w:sz w:val="20"/>
                <w:szCs w:val="20"/>
                <w:color w:val="auto"/>
              </w:rPr>
            </w:pPr>
            <w:r>
              <w:rPr>
                <w:rFonts w:ascii="Arial" w:cs="Arial" w:eastAsia="Arial" w:hAnsi="Arial"/>
                <w:sz w:val="16"/>
                <w:szCs w:val="16"/>
                <w:color w:val="auto"/>
              </w:rPr>
              <w:t>4.73 - 5.21%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4.23</w:t>
            </w:r>
          </w:p>
        </w:tc>
        <w:tc>
          <w:tcPr>
            <w:tcW w:w="1120" w:type="dxa"/>
            <w:vAlign w:val="bottom"/>
          </w:tcPr>
          <w:p>
            <w:pPr>
              <w:ind w:left="40"/>
              <w:spacing w:after="0"/>
              <w:rPr>
                <w:sz w:val="20"/>
                <w:szCs w:val="20"/>
                <w:color w:val="auto"/>
              </w:rPr>
            </w:pPr>
            <w:r>
              <w:rPr>
                <w:rFonts w:ascii="Arial" w:cs="Arial" w:eastAsia="Arial" w:hAnsi="Arial"/>
                <w:sz w:val="16"/>
                <w:szCs w:val="16"/>
                <w:color w:val="auto"/>
              </w:rPr>
              <w:t>- 4.79%</w:t>
            </w:r>
          </w:p>
        </w:tc>
      </w:tr>
      <w:tr>
        <w:trPr>
          <w:trHeight w:val="217"/>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 yield</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jc w:val="center"/>
              <w:ind w:right="759"/>
              <w:spacing w:after="0"/>
              <w:rPr>
                <w:sz w:val="20"/>
                <w:szCs w:val="20"/>
                <w:color w:val="auto"/>
              </w:rPr>
            </w:pPr>
            <w:r>
              <w:rPr>
                <w:rFonts w:ascii="Arial" w:cs="Arial" w:eastAsia="Arial" w:hAnsi="Arial"/>
                <w:sz w:val="16"/>
                <w:szCs w:val="16"/>
                <w:color w:val="auto"/>
              </w:rPr>
              <w:t>–%</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Total fair value of Tempus Warrants (in thousands)</w:t>
            </w:r>
          </w:p>
        </w:tc>
        <w:tc>
          <w:tcPr>
            <w:tcW w:w="200" w:type="dxa"/>
            <w:vAlign w:val="bottom"/>
          </w:tcPr>
          <w:p>
            <w:pPr>
              <w:jc w:val="right"/>
              <w:ind w:right="24"/>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6,942</w:t>
            </w:r>
          </w:p>
        </w:tc>
        <w:tc>
          <w:tcPr>
            <w:tcW w:w="900" w:type="dxa"/>
            <w:vAlign w:val="bottom"/>
            <w:gridSpan w:val="2"/>
          </w:tcPr>
          <w:p>
            <w:pPr>
              <w:jc w:val="right"/>
              <w:ind w:right="564"/>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10,027</w:t>
            </w:r>
          </w:p>
        </w:tc>
      </w:tr>
    </w:tbl>
    <w:p>
      <w:pPr>
        <w:spacing w:after="0" w:line="200" w:lineRule="exact"/>
        <w:rPr>
          <w:sz w:val="20"/>
          <w:szCs w:val="20"/>
          <w:color w:val="auto"/>
        </w:rPr>
      </w:pPr>
    </w:p>
    <w:p>
      <w:pPr>
        <w:sectPr>
          <w:pgSz w:w="11900" w:h="16838" w:orient="portrait"/>
          <w:cols w:equalWidth="0" w:num="1">
            <w:col w:w="11240"/>
          </w:cols>
          <w:pgMar w:left="320" w:top="778"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a summary of the changes in fair value of the Company's Level 3 financial instruments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46"/>
              <w:spacing w:after="0"/>
              <w:rPr>
                <w:sz w:val="20"/>
                <w:szCs w:val="20"/>
                <w:color w:val="auto"/>
              </w:rPr>
            </w:pPr>
            <w:r>
              <w:rPr>
                <w:rFonts w:ascii="Arial" w:cs="Arial" w:eastAsia="Arial" w:hAnsi="Arial"/>
                <w:sz w:val="14"/>
                <w:szCs w:val="14"/>
                <w:b w:val="1"/>
                <w:bCs w:val="1"/>
                <w:color w:val="auto"/>
              </w:rPr>
              <w:t>Warrant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Liabilities</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 December 31, 2022</w:t>
            </w: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Initial fair value of warrant liabilities upon issuance</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6,942</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Change in fair value</w:t>
            </w:r>
          </w:p>
        </w:tc>
        <w:tc>
          <w:tcPr>
            <w:tcW w:w="10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3,085</w:t>
            </w: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6"/>
                <w:szCs w:val="16"/>
                <w:color w:val="auto"/>
              </w:rPr>
              <w:t>Balance — December 31, 2023</w:t>
            </w:r>
          </w:p>
        </w:tc>
        <w:tc>
          <w:tcPr>
            <w:tcW w:w="10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10,027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b w:val="1"/>
                <w:bCs w:val="1"/>
                <w:color w:val="auto"/>
              </w:rPr>
              <w:t>Note 6. Loans</w:t>
            </w: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720" w:type="dxa"/>
            <w:vAlign w:val="bottom"/>
          </w:tcPr>
          <w:p>
            <w:pPr>
              <w:ind w:left="760"/>
              <w:spacing w:after="0"/>
              <w:rPr>
                <w:sz w:val="20"/>
                <w:szCs w:val="20"/>
                <w:color w:val="auto"/>
              </w:rPr>
            </w:pPr>
            <w:r>
              <w:rPr>
                <w:rFonts w:ascii="Arial" w:cs="Arial" w:eastAsia="Arial" w:hAnsi="Arial"/>
                <w:sz w:val="16"/>
                <w:szCs w:val="16"/>
                <w:color w:val="auto"/>
              </w:rPr>
              <w:t>Amounts outstanding under loans are as follows (in thousands):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606"/>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7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Principal</w:t>
            </w:r>
          </w:p>
        </w:tc>
        <w:tc>
          <w:tcPr>
            <w:tcW w:w="1020" w:type="dxa"/>
            <w:vAlign w:val="bottom"/>
            <w:shd w:val="clear" w:color="auto" w:fill="CFF0FC"/>
          </w:tcPr>
          <w:p>
            <w:pPr>
              <w:jc w:val="right"/>
              <w:ind w:right="822"/>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2,904</w:t>
            </w:r>
          </w:p>
        </w:tc>
        <w:tc>
          <w:tcPr>
            <w:tcW w:w="1180" w:type="dxa"/>
            <w:vAlign w:val="bottom"/>
            <w:gridSpan w:val="2"/>
            <w:shd w:val="clear" w:color="auto" w:fill="CFF0FC"/>
          </w:tcPr>
          <w:p>
            <w:pPr>
              <w:jc w:val="right"/>
              <w:ind w:right="826"/>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2,730</w:t>
            </w:r>
          </w:p>
        </w:tc>
        <w:tc>
          <w:tcPr>
            <w:tcW w:w="0" w:type="dxa"/>
            <w:vAlign w:val="bottom"/>
          </w:tcPr>
          <w:p>
            <w:pPr>
              <w:spacing w:after="0"/>
              <w:rPr>
                <w:sz w:val="1"/>
                <w:szCs w:val="1"/>
                <w:color w:val="auto"/>
              </w:rPr>
            </w:pP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Less: unamortized discount</w:t>
            </w: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(24 )</w:t>
            </w: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(134 )</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carrying amount</w:t>
            </w: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2,880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2,596</w:t>
            </w:r>
          </w:p>
        </w:tc>
        <w:tc>
          <w:tcPr>
            <w:tcW w:w="0" w:type="dxa"/>
            <w:vAlign w:val="bottom"/>
          </w:tcPr>
          <w:p>
            <w:pPr>
              <w:spacing w:after="0"/>
              <w:rPr>
                <w:sz w:val="1"/>
                <w:szCs w:val="1"/>
                <w:color w:val="auto"/>
              </w:rPr>
            </w:pP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Less: current portion (included in accrued and other current liabilities)</w:t>
            </w: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(1,646 )</w:t>
            </w: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(2,218 )</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Long-term portion (included in other long-term liabilities)</w:t>
            </w:r>
          </w:p>
        </w:tc>
        <w:tc>
          <w:tcPr>
            <w:tcW w:w="1020" w:type="dxa"/>
            <w:vAlign w:val="bottom"/>
            <w:tcBorders>
              <w:bottom w:val="single" w:sz="8" w:color="auto"/>
            </w:tcBorders>
            <w:shd w:val="clear" w:color="auto" w:fill="CFF0FC"/>
          </w:tcPr>
          <w:p>
            <w:pPr>
              <w:jc w:val="right"/>
              <w:ind w:right="82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1,234</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26"/>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Equipment and Software Loans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April 2021, the Company entered into a secured payment agreement with a financing entity to finance the purchase of $2.4 million of internal use software licenses and related software maintenance from a vendor. The financing entity and vendor are not related. The Company repaid the financed amount in three equal payments of $0.8 million in May 2021, May 2022, and May 2023. The payment agreement was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interest expense in the consolidated statements of operations over the life of the payment agreement.</w:t>
      </w:r>
    </w:p>
    <w:p>
      <w:pPr>
        <w:spacing w:after="0" w:line="1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Company entered into two more secured payment agreements in April 2021 and July 2022, with the same financing entity, to finance the purchase of $3.1 million of computer hardware and related hardware maintenance and $1.3 million of internal use software licenses and related ongoing support, respectively. The Company is required to pay three equal payments of $1.0 million in July 2021, June 2022, and June 2023 for the first agreement, and three equal payments of $0.4 million in September 2022, September 2023, and September 2024 for the second agreement. The nature of these agreements and resulting accounting treatment are the same as the payment agreement described in the preceding paragraph, except the imputed interest rate was 9% for the July 2022 agreement.</w:t>
      </w:r>
    </w:p>
    <w:p>
      <w:pPr>
        <w:spacing w:after="0" w:line="15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total initial present value of the payment agreements was $6.4 million and presented as proceeds from loans in the financing activities section of the consolidated statements of cash flows. Such proceeds were used to purchase equipment, software, and related maintenance and are reflected as cash outflows in the investing and operating activities sections. Repayments are presented as financing cash outflows. Interest expense was $0.1 million for the year ended December 31, 2023 and $0.2 million for each of the years ended December 31, 2022 and 2021.</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Lab Equipment Loan</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November 2023, the Company purchased lab equipment from one of its main vendors for $3.4 million. Extended payment terms were provided to the Company through a financial solutions partner of the vendor. Terms included a 30% down payment and 24 equal monthly payments for the remaining balance, with such monthly payments commencing in January 2024, and no interest or financing charges. Title for the lab equipment transferred immediately upon delivery to the Company. The financial solutions partner retains a security interest until payoff is complete at the end of 2025. The purchase price for the lab equipment was equal to the cash price and thus the impact of imputing interest would have been de minimis.</w:t>
      </w:r>
    </w:p>
    <w:p>
      <w:pPr>
        <w:spacing w:after="0" w:line="15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total financed amount of $3.4 million is presented as proceeds from loans in the financing activities section of the consolidated statements of cash flows. Such amounts were used to purchase lab equipment and are reflected as cash outflows in the investing activities section. Repayments, including both the down payment and future monthly payments, are presented as financing cash outflows.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Leases</w:t>
      </w:r>
    </w:p>
    <w:p>
      <w:pPr>
        <w:spacing w:after="0" w:line="18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2021, the Company entered into a noncancelable operating lease for approximately 100,000 square feet in Fremont, California used for laboratory operations and its corporate headquarters. The lease term is 13.5 years and commenced in October 2022. The Company gained early access to the premises for the purpose of constructing and installing tenant improvements, for which the landlord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contributed $15.1 million. Such contributions were accounted for as lease incentives and are recognized as reductions to lease expense over the lease term. The lease expires at the end of March 2036 and includes two options to extend the term for a period of five-years per option at market rates. The Company determined the extension options are not reasonably certain to be exercised. The lease includes escalating rent payments.</w:t>
      </w:r>
    </w:p>
    <w:p>
      <w:pPr>
        <w:spacing w:after="0" w:line="14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Company has a noncancelable operating lease expiring in November 2027 for 31,280 square feet in Menlo Park, California previously used for laboratory operations and its former corporate headquarters. The lease includes escalating rent payments. In 2021, the Company expanded the leased premises by an additional 14,710 square feet of space (the “Expansion Lease”). The Expansion Lease expired at the end of December 2022 and was not extended. The Company moved all laboratory operations to the Fremont facility during the third quarter of 2023 and is actively marketing the vacated Menlo Park space for sublease.</w:t>
      </w:r>
    </w:p>
    <w:p>
      <w:pPr>
        <w:spacing w:after="0" w:line="13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has noncancelable operating leases for data center space expiring between 2025 and 2026. The leases include renewal options that the Company determined are not reasonably certain to be exercised. During 2023, the data center operator agreed to terminate a portion of the lease at no cost. The Company remeasured the remaining lease liability and derecognized $0.6 million of operating lease liabilities and right-of-use assets.</w:t>
      </w:r>
    </w:p>
    <w:p>
      <w:pPr>
        <w:spacing w:after="0" w:line="13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had an operating lease for laboratory space in Shanghai, China that was terminated early upon both parties' approval during 2023. The early termination did not result in any material penalties or charges in the Company's consolidated statements of operations. Separately, the Company also has various other short-term leases.</w:t>
      </w:r>
    </w:p>
    <w:p>
      <w:pPr>
        <w:spacing w:after="0" w:line="14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of December 31, 2023, operating leases had a weighted-average remaining lease term of 10.4 years and a weighted-average discount rate of 10.5%. Discount rates are based on estimates of the Company's incremental borrowing rate, as the discount rates implicit in the leases cannot be readily determined. Future lease payments under operating leases as of December 31, 2023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Amount</w:t>
            </w:r>
          </w:p>
        </w:tc>
      </w:tr>
      <w:tr>
        <w:trPr>
          <w:trHeight w:val="209"/>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8,134</w:t>
            </w:r>
          </w:p>
        </w:tc>
      </w:tr>
      <w:tr>
        <w:trPr>
          <w:trHeight w:val="215"/>
        </w:trPr>
        <w:tc>
          <w:tcPr>
            <w:tcW w:w="9260" w:type="dxa"/>
            <w:vAlign w:val="bottom"/>
          </w:tcPr>
          <w:p>
            <w:pPr>
              <w:ind w:left="20"/>
              <w:spacing w:after="0"/>
              <w:rPr>
                <w:sz w:val="20"/>
                <w:szCs w:val="20"/>
                <w:color w:val="auto"/>
              </w:rPr>
            </w:pPr>
            <w:r>
              <w:rPr>
                <w:rFonts w:ascii="Arial" w:cs="Arial" w:eastAsia="Arial" w:hAnsi="Arial"/>
                <w:sz w:val="16"/>
                <w:szCs w:val="16"/>
                <w:color w:val="auto"/>
              </w:rPr>
              <w:t>2025</w:t>
            </w:r>
          </w:p>
        </w:tc>
        <w:tc>
          <w:tcPr>
            <w:tcW w:w="38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8,057</w:t>
            </w:r>
          </w:p>
        </w:tc>
      </w:tr>
      <w:tr>
        <w:trPr>
          <w:trHeight w:val="217"/>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7,230</w:t>
            </w:r>
          </w:p>
        </w:tc>
      </w:tr>
      <w:tr>
        <w:trPr>
          <w:trHeight w:val="215"/>
        </w:trPr>
        <w:tc>
          <w:tcPr>
            <w:tcW w:w="9260" w:type="dxa"/>
            <w:vAlign w:val="bottom"/>
          </w:tcPr>
          <w:p>
            <w:pPr>
              <w:ind w:left="20"/>
              <w:spacing w:after="0"/>
              <w:rPr>
                <w:sz w:val="20"/>
                <w:szCs w:val="20"/>
                <w:color w:val="auto"/>
              </w:rPr>
            </w:pPr>
            <w:r>
              <w:rPr>
                <w:rFonts w:ascii="Arial" w:cs="Arial" w:eastAsia="Arial" w:hAnsi="Arial"/>
                <w:sz w:val="16"/>
                <w:szCs w:val="16"/>
                <w:color w:val="auto"/>
              </w:rPr>
              <w:t>2027</w:t>
            </w:r>
          </w:p>
        </w:tc>
        <w:tc>
          <w:tcPr>
            <w:tcW w:w="38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7,189</w:t>
            </w:r>
          </w:p>
        </w:tc>
      </w:tr>
      <w:tr>
        <w:trPr>
          <w:trHeight w:val="217"/>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2028</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5,215</w:t>
            </w:r>
          </w:p>
        </w:tc>
      </w:tr>
      <w:tr>
        <w:trPr>
          <w:trHeight w:val="215"/>
        </w:trPr>
        <w:tc>
          <w:tcPr>
            <w:tcW w:w="9260" w:type="dxa"/>
            <w:vAlign w:val="bottom"/>
          </w:tcPr>
          <w:p>
            <w:pPr>
              <w:ind w:left="20"/>
              <w:spacing w:after="0"/>
              <w:rPr>
                <w:sz w:val="20"/>
                <w:szCs w:val="20"/>
                <w:color w:val="auto"/>
              </w:rPr>
            </w:pPr>
            <w:r>
              <w:rPr>
                <w:rFonts w:ascii="Arial" w:cs="Arial" w:eastAsia="Arial" w:hAnsi="Arial"/>
                <w:sz w:val="16"/>
                <w:szCs w:val="16"/>
                <w:color w:val="auto"/>
              </w:rPr>
              <w:t>2029 and thereafter</w:t>
            </w: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42,798</w:t>
            </w:r>
          </w:p>
        </w:tc>
      </w:tr>
      <w:tr>
        <w:trPr>
          <w:trHeight w:val="210"/>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future minimum lease payments</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78,623</w:t>
            </w:r>
          </w:p>
        </w:tc>
      </w:tr>
      <w:tr>
        <w:trPr>
          <w:trHeight w:val="215"/>
        </w:trPr>
        <w:tc>
          <w:tcPr>
            <w:tcW w:w="9260" w:type="dxa"/>
            <w:vAlign w:val="bottom"/>
          </w:tcPr>
          <w:p>
            <w:pPr>
              <w:ind w:left="200"/>
              <w:spacing w:after="0"/>
              <w:rPr>
                <w:sz w:val="20"/>
                <w:szCs w:val="20"/>
                <w:color w:val="auto"/>
              </w:rPr>
            </w:pPr>
            <w:r>
              <w:rPr>
                <w:rFonts w:ascii="Arial" w:cs="Arial" w:eastAsia="Arial" w:hAnsi="Arial"/>
                <w:sz w:val="16"/>
                <w:szCs w:val="16"/>
                <w:color w:val="auto"/>
              </w:rPr>
              <w:t>Less: imputed interest</w:t>
            </w: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(32,541 )</w:t>
            </w:r>
          </w:p>
        </w:tc>
      </w:tr>
      <w:tr>
        <w:trPr>
          <w:trHeight w:val="210"/>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Present value of future minimum lease payments</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46,082</w:t>
            </w:r>
          </w:p>
        </w:tc>
      </w:tr>
      <w:tr>
        <w:trPr>
          <w:trHeight w:val="215"/>
        </w:trPr>
        <w:tc>
          <w:tcPr>
            <w:tcW w:w="9260" w:type="dxa"/>
            <w:vAlign w:val="bottom"/>
          </w:tcPr>
          <w:p>
            <w:pPr>
              <w:ind w:left="200"/>
              <w:spacing w:after="0"/>
              <w:rPr>
                <w:sz w:val="20"/>
                <w:szCs w:val="20"/>
                <w:color w:val="auto"/>
              </w:rPr>
            </w:pPr>
            <w:r>
              <w:rPr>
                <w:rFonts w:ascii="Arial" w:cs="Arial" w:eastAsia="Arial" w:hAnsi="Arial"/>
                <w:sz w:val="16"/>
                <w:szCs w:val="16"/>
                <w:color w:val="auto"/>
              </w:rPr>
              <w:t>Less: current portion of operating lease liability (included in accrued and other current liabilities)</w:t>
            </w: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(7,761 )</w:t>
            </w:r>
          </w:p>
        </w:tc>
      </w:tr>
      <w:tr>
        <w:trPr>
          <w:trHeight w:val="249"/>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Long-term operating lease liabilities</w:t>
            </w: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38,321</w:t>
            </w:r>
          </w:p>
        </w:tc>
      </w:tr>
    </w:tbl>
    <w:p>
      <w:pPr>
        <w:spacing w:after="0" w:line="16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Cash paid for operating lease liabilities, included in cash flows from operating activities in the consolidated statements of cash flows, for the years ended December 31, 2023, 2022, and 2021 was $6.0 million, $4.4 million, and $3.3 million, respectively. Right-of-use assets obtained in exchange for new operating lease liabilities during the years ended December 31, 2023, 2022, and 2021 were $1.3 million, $3.1 million, and $46.5 million, respectively.</w:t>
      </w:r>
    </w:p>
    <w:p>
      <w:pPr>
        <w:sectPr>
          <w:pgSz w:w="11900" w:h="16838" w:orient="portrait"/>
          <w:cols w:equalWidth="0" w:num="1">
            <w:col w:w="11240"/>
          </w:cols>
          <w:pgMar w:left="320" w:top="778" w:right="339" w:bottom="1440" w:gutter="0" w:footer="0" w:header="0"/>
        </w:sectPr>
      </w:pPr>
    </w:p>
    <w:p>
      <w:pPr>
        <w:spacing w:after="0" w:line="131" w:lineRule="exact"/>
        <w:rPr>
          <w:sz w:val="20"/>
          <w:szCs w:val="20"/>
          <w:color w:val="auto"/>
        </w:rPr>
      </w:pPr>
    </w:p>
    <w:p>
      <w:pPr>
        <w:jc w:val="right"/>
        <w:ind w:right="1020"/>
        <w:spacing w:after="0"/>
        <w:rPr>
          <w:sz w:val="20"/>
          <w:szCs w:val="20"/>
          <w:color w:val="auto"/>
        </w:rPr>
      </w:pPr>
      <w:r>
        <w:rPr>
          <w:rFonts w:ascii="Arial" w:cs="Arial" w:eastAsia="Arial" w:hAnsi="Arial"/>
          <w:sz w:val="16"/>
          <w:szCs w:val="16"/>
          <w:color w:val="auto"/>
        </w:rPr>
        <w:t>Components of lease cost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Operating lease cost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31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424"/>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6,793</w:t>
            </w: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8,530</w:t>
            </w:r>
          </w:p>
        </w:tc>
        <w:tc>
          <w:tcPr>
            <w:tcW w:w="4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5,009</w:t>
            </w:r>
          </w:p>
        </w:tc>
      </w:tr>
      <w:tr>
        <w:trPr>
          <w:trHeight w:val="216"/>
        </w:trPr>
        <w:tc>
          <w:tcPr>
            <w:tcW w:w="300" w:type="dxa"/>
            <w:vAlign w:val="bottom"/>
          </w:tcPr>
          <w:p>
            <w:pPr>
              <w:spacing w:after="0"/>
              <w:rPr>
                <w:sz w:val="18"/>
                <w:szCs w:val="18"/>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198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364</w:t>
            </w:r>
          </w:p>
        </w:tc>
      </w:tr>
      <w:tr>
        <w:trPr>
          <w:trHeight w:val="217"/>
        </w:trPr>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1,828</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1,411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1,152</w:t>
            </w:r>
          </w:p>
        </w:tc>
      </w:tr>
      <w:tr>
        <w:trPr>
          <w:trHeight w:val="210"/>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8,819</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10,063</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6,525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5920" w:space="720"/>
            <w:col w:w="4600"/>
          </w:cols>
          <w:pgMar w:left="320" w:top="778" w:right="339" w:bottom="1440" w:gutter="0" w:footer="0" w:header="0"/>
          <w:type w:val="continuous"/>
        </w:sectPr>
      </w:pPr>
    </w:p>
    <w:p>
      <w:pPr>
        <w:jc w:val="both"/>
        <w:ind w:right="20" w:firstLine="749"/>
        <w:spacing w:after="0" w:line="286" w:lineRule="auto"/>
        <w:rPr>
          <w:sz w:val="20"/>
          <w:szCs w:val="20"/>
          <w:color w:val="auto"/>
        </w:rPr>
      </w:pPr>
      <w:r>
        <w:rPr>
          <w:rFonts w:ascii="Arial" w:cs="Arial" w:eastAsia="Arial" w:hAnsi="Arial"/>
          <w:sz w:val="16"/>
          <w:szCs w:val="16"/>
          <w:color w:val="auto"/>
        </w:rPr>
        <w:t>During the year ended December 31, 2023, the Company also recorded a $5.6 million impairment loss for operating lease right-of-use assets as a result of the change in use of the Menlo Park office.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Lease Impairment</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During 2023, the Company completed the move of its laboratory operations from its Menlo Park facility to its Fremont facility and began actively marketing the Menlo Park space for sublease. Accordingly, the Company evaluated the ongoing value of the operating lease right-of-use asset associated with the Menlo Park facility. Based on this evaluation, the Company determined that the right-of-use asset with a carrying amount of $6.7 million was no longer recoverable and was impaired and wrote it down to its estimated fair value of $1.1 million, which resulted in a noncash impairment loss of $5.6 million. Estimated fair value was based on expected future sublease cash flows (with the assistance of a third-party real estate broker), net of brokerage commissions and estimated tenant incentives,</w:t>
      </w:r>
    </w:p>
    <w:p>
      <w:pPr>
        <w:sectPr>
          <w:pgSz w:w="11900" w:h="16838" w:orient="portrait"/>
          <w:cols w:equalWidth="0" w:num="1">
            <w:col w:w="11240"/>
          </w:cols>
          <w:pgMar w:left="320" w:top="778" w:right="339" w:bottom="1440" w:gutter="0" w:footer="0" w:header="0"/>
          <w:type w:val="continuous"/>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discounted at a market rate of return on similar assets. The estimation of fair value also included expected downtime prior to the commencement of a future sublease.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Tempus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On November 25, 2023, the Company entered into a Commercialization and Reference Laboratory Agreement (the “Tempus Agreement”) with Tempus pursuant to which Tempus will market the Company's Personal Dx test in the United States and the Company will conduct development activities to analytically validate the test in breast cancer, lung cancer and immuno-oncology monitoring indications. The Company will perform tests ordered by patients through Tempus and the Company will bill such patients or payors.</w:t>
      </w:r>
    </w:p>
    <w:p>
      <w:pPr>
        <w:spacing w:after="0" w:line="1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consideration of the Company performing development activities, Tempus will pay the Company fees of up to $12 million (the "Market Development Fees"), consisting of an activation fee of $3 million, a first milestone fee of $3 million (upon achievement of a specified clinical validation), and a second milestone fee payable in six quarterly installments totaling $6 million (subject to achieving two additional clinical validations). If the Company does not achieve the second milestone by June 2024, Tempus may withhold installment payments, and Tempus will have the right to terminate the Tempus Agreement or convert it to a non-exclusive arrangement. Upon termination or conversion, the Company will refund to Tempus fees received other than the activation fee, subject to certain reductions.</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Company will compensate Tempus for the fair market value of order requisition services (Tempus will enable its base of ordering providers to order the Personalis test and provide specimen collection and procurement support) and results delivery services (Tempus will provide results delivery services from test completion to report delivery) on a per-test basis. In addition, the parties will perform co-promotion activities and the Company will compensate Tempus for the fair market value of promotional and commercialization services provided by Tempus in an amount up to $9.6 million.</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Tempus Agreement also grants Tempus access to initial and longitudinal genomic data derived from performance of the tests and Tempus will have the right to use such data. If Tempus licenses such data to a third party and Tempus recognizes revenue from such license, Tempus will pay the Company a percentage of its gross revenues attributable to such license that is in the range of 10 to 20 percent. Such revenue share shall be payable during the term of the agreement and for 10 years thereafter.</w:t>
      </w:r>
    </w:p>
    <w:p>
      <w:pPr>
        <w:spacing w:after="0" w:line="15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Additionally, in consideration of Tempus' obligations to the Company under the agreement, on November 28, 2023, the Company issued warrants to Tempus. See "Tempus Warrants" section further below for discussion.</w:t>
      </w:r>
    </w:p>
    <w:p>
      <w:pPr>
        <w:spacing w:after="0" w:line="11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Pursuant to the agreement, the Company will not allow another third party to market the test in such indications and Tempus will not market another tumor-informed molecular residual disease test for use in such indications (whether its own or that of a third party), in each case subject to certain exceptions. These exclusivity obligations terminate on December 31, 2027, to the extent they do not expire earlier. In addition, each party has the right to convert the Tempus Agreement to a non-exclusive arrangement upon the occurrence of certain specified events.</w:t>
      </w:r>
    </w:p>
    <w:p>
      <w:pPr>
        <w:spacing w:after="0" w:line="137"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term of the Tempus Agreement is five years, which may be extended for successive one-year terms. Either party may terminate the Tempus Agreement for convenience upon 18 months prior written notice. Tempus may terminate the agreement if the Company does not achieve the second milestone by a specified date.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Tempus Agreement on the Consolidated Financial Statements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Company had achieved the first clinical validation milestone at the time of entering the Tempus Agreement and was therefore entitled to Market Development Fees of $6 million, consisting of the first milestone fee of $3 million and the activation fee of $3 million. These proceeds of $6 million were received in 2023 and allocated to the Tempus Warrants (described below). Except for receipt of the proceeds and issuance of the warrants, there were no other activities under the Tempus Agreement that impacted the Company's consolidated balance sheets or consolidated statements of operations for periods presented.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Tempus Warrants</w:t>
      </w:r>
    </w:p>
    <w:p>
      <w:pPr>
        <w:spacing w:after="0" w:line="19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consideration of Tempus’ obligations to Personalis under the agreement, on November 28, 2023, the Company issued to Tempus (1) a warrant to purchase up to 4,609,400 shares of Personalis common stock at an exercise price per share of $1.50, with an expiration date of December 31, 2024 (the “First Warrant”), and (2) a warrant to purchase up to 4,609,400 shares of Personalis common stock at an exercise price per share of $2.50, with an expiration date of December 31, 2025 (the “Second Warrant” and, together with the First Warrant, the “Tempus Warrants”). The Tempus Warrants are exercisable for cash at any time prior to the applicable expiration date, may be net exercised in certain circumstances, and will be automatically net exercised in connection with a change of control of Personalis if the value ascribed to the consideration to be paid for one share of common stock is greater than the applicable exercise price. If Tempus acquires any shares of common stock directly from the Company other than by exercising the Warrants (any such shares, “Non-Warrant Shares”), then the total number of shares issuable upon exercise of the Tempus Warrants will be reduced by the Non-Warrant Shares on a share-for-share basis, proportionally between the First Warrant and the Second Warrant based on how many shares are then underlying the Warrants. Subject to limited exceptions, neither the warrants nor any interest therein may be transferred or assigned without the prior written consent of Personalis.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Because the number of shares issuable upon settlement are subject to adjustment if Tempus acquires Non-Warrant Shares, the Tempus Warrants are classified as liability instruments and are subject to remeasurement at each balance sheet date, with changes in fair value recognized as Other Income (Expense) in the consolidated statements of operations. Fair value of the two warrants were estimated at the date of issuance, November 28, 2023, using the Black-Scholes option-pricing model. Since the initial fair value of $6.9 million exceeded the total proceeds from Tempus of $6 million, a loss of $0.9 million was immediately recognized within Other Income (Expense). None of the remaining Market Development Fees of $6 million were allocated to the warrants as such proceeds are contingent upon the Company achieving additional clinical validation milestones.</w:t>
      </w:r>
    </w:p>
    <w:p>
      <w:pPr>
        <w:spacing w:after="0" w:line="15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See Note 5 Fair Value Measurements for discussion of inputs used in the measurement of the Tempus Warrants as well as the remeasurement at December 31, 2023. Fair value of the Tempus Warrants increased by $3.1 million as of December 31, 2023. The increase in fair value, plus the immediate loss of $0.9 million recognized upon issuance, resulted in a $4.0 million expense recognized in Other Income (Expense) in the consolidated statements of operations during the year ended December 31, 2023.</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Restructuring and Other Charges</w:t>
      </w:r>
    </w:p>
    <w:p>
      <w:pPr>
        <w:spacing w:after="0" w:line="18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Costs related to the Company's reductions in workforce and closure of its China operations are included within Restructuring and Other Charges in the consolidated statements of operations. A reconciliation of the beginning and ending related liability balances, included within Accrued and Other Current Liabilities in the consolidated balance sheets,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264"/>
              <w:spacing w:after="0"/>
              <w:rPr>
                <w:sz w:val="20"/>
                <w:szCs w:val="20"/>
                <w:color w:val="auto"/>
              </w:rPr>
            </w:pPr>
            <w:r>
              <w:rPr>
                <w:rFonts w:ascii="Arial" w:cs="Arial" w:eastAsia="Arial" w:hAnsi="Arial"/>
                <w:sz w:val="14"/>
                <w:szCs w:val="14"/>
                <w:b w:val="1"/>
                <w:bCs w:val="1"/>
                <w:color w:val="auto"/>
              </w:rPr>
              <w:t>One-time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221"/>
              <w:spacing w:after="0"/>
              <w:rPr>
                <w:sz w:val="20"/>
                <w:szCs w:val="20"/>
                <w:color w:val="auto"/>
              </w:rPr>
            </w:pPr>
            <w:r>
              <w:rPr>
                <w:rFonts w:ascii="Arial" w:cs="Arial" w:eastAsia="Arial" w:hAnsi="Arial"/>
                <w:sz w:val="14"/>
                <w:szCs w:val="14"/>
                <w:b w:val="1"/>
                <w:bCs w:val="1"/>
                <w:color w:val="auto"/>
              </w:rPr>
              <w:t>Other costs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264"/>
              <w:spacing w:after="0"/>
              <w:rPr>
                <w:sz w:val="20"/>
                <w:szCs w:val="20"/>
                <w:color w:val="auto"/>
              </w:rPr>
            </w:pPr>
            <w:r>
              <w:rPr>
                <w:rFonts w:ascii="Arial" w:cs="Arial" w:eastAsia="Arial" w:hAnsi="Arial"/>
                <w:sz w:val="14"/>
                <w:szCs w:val="14"/>
                <w:b w:val="1"/>
                <w:bCs w:val="1"/>
                <w:color w:val="auto"/>
              </w:rPr>
              <w:t>employee</w:t>
            </w:r>
          </w:p>
        </w:tc>
        <w:tc>
          <w:tcPr>
            <w:tcW w:w="160" w:type="dxa"/>
            <w:vAlign w:val="bottom"/>
          </w:tcPr>
          <w:p>
            <w:pPr>
              <w:spacing w:after="0"/>
              <w:rPr>
                <w:sz w:val="14"/>
                <w:szCs w:val="14"/>
                <w:color w:val="auto"/>
              </w:rPr>
            </w:pPr>
          </w:p>
        </w:tc>
        <w:tc>
          <w:tcPr>
            <w:tcW w:w="1420" w:type="dxa"/>
            <w:vAlign w:val="bottom"/>
            <w:gridSpan w:val="2"/>
          </w:tcPr>
          <w:p>
            <w:pPr>
              <w:jc w:val="center"/>
              <w:ind w:right="81"/>
              <w:spacing w:after="0"/>
              <w:rPr>
                <w:sz w:val="20"/>
                <w:szCs w:val="20"/>
                <w:color w:val="auto"/>
              </w:rPr>
            </w:pPr>
            <w:r>
              <w:rPr>
                <w:rFonts w:ascii="Arial" w:cs="Arial" w:eastAsia="Arial" w:hAnsi="Arial"/>
                <w:sz w:val="14"/>
                <w:szCs w:val="14"/>
                <w:b w:val="1"/>
                <w:bCs w:val="1"/>
                <w:color w:val="auto"/>
              </w:rPr>
              <w:t>(primarily China</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264"/>
              <w:spacing w:after="0"/>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4"/>
                <w:szCs w:val="14"/>
                <w:color w:val="auto"/>
              </w:rPr>
            </w:pPr>
          </w:p>
        </w:tc>
        <w:tc>
          <w:tcPr>
            <w:tcW w:w="1420" w:type="dxa"/>
            <w:vAlign w:val="bottom"/>
            <w:gridSpan w:val="2"/>
          </w:tcPr>
          <w:p>
            <w:pPr>
              <w:jc w:val="center"/>
              <w:ind w:right="81"/>
              <w:spacing w:after="0"/>
              <w:rPr>
                <w:sz w:val="20"/>
                <w:szCs w:val="20"/>
                <w:color w:val="auto"/>
              </w:rPr>
            </w:pPr>
            <w:r>
              <w:rPr>
                <w:rFonts w:ascii="Arial" w:cs="Arial" w:eastAsia="Arial" w:hAnsi="Arial"/>
                <w:sz w:val="14"/>
                <w:szCs w:val="14"/>
                <w:b w:val="1"/>
                <w:bCs w:val="1"/>
                <w:color w:val="auto"/>
              </w:rPr>
              <w:t>asset disposals</w:t>
            </w:r>
          </w:p>
        </w:tc>
        <w:tc>
          <w:tcPr>
            <w:tcW w:w="14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restructuring</w:t>
            </w:r>
          </w:p>
        </w:tc>
      </w:tr>
      <w:tr>
        <w:trPr>
          <w:trHeight w:val="185"/>
        </w:trPr>
        <w:tc>
          <w:tcPr>
            <w:tcW w:w="6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6"/>
                <w:szCs w:val="16"/>
                <w:color w:val="auto"/>
              </w:rPr>
            </w:pPr>
          </w:p>
        </w:tc>
        <w:tc>
          <w:tcPr>
            <w:tcW w:w="1420" w:type="dxa"/>
            <w:vAlign w:val="bottom"/>
            <w:tcBorders>
              <w:bottom w:val="single" w:sz="8" w:color="auto"/>
            </w:tcBorders>
            <w:gridSpan w:val="2"/>
          </w:tcPr>
          <w:p>
            <w:pPr>
              <w:jc w:val="center"/>
              <w:ind w:right="21"/>
              <w:spacing w:after="0"/>
              <w:rPr>
                <w:sz w:val="20"/>
                <w:szCs w:val="20"/>
                <w:color w:val="auto"/>
              </w:rPr>
            </w:pPr>
            <w:r>
              <w:rPr>
                <w:rFonts w:ascii="Arial" w:cs="Arial" w:eastAsia="Arial" w:hAnsi="Arial"/>
                <w:sz w:val="14"/>
                <w:szCs w:val="14"/>
                <w:b w:val="1"/>
                <w:bCs w:val="1"/>
                <w:color w:val="auto"/>
              </w:rPr>
              <w:t>and impairments)</w:t>
            </w:r>
          </w:p>
        </w:tc>
        <w:tc>
          <w:tcPr>
            <w:tcW w:w="140" w:type="dxa"/>
            <w:vAlign w:val="bottom"/>
          </w:tcPr>
          <w:p>
            <w:pPr>
              <w:spacing w:after="0"/>
              <w:rPr>
                <w:sz w:val="16"/>
                <w:szCs w:val="16"/>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and other charges</w:t>
            </w: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Restructuring liability balance—December 31, 2022</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6640" w:type="dxa"/>
            <w:vAlign w:val="bottom"/>
          </w:tcPr>
          <w:p>
            <w:pPr>
              <w:ind w:left="200"/>
              <w:spacing w:after="0"/>
              <w:rPr>
                <w:sz w:val="20"/>
                <w:szCs w:val="20"/>
                <w:color w:val="auto"/>
              </w:rPr>
            </w:pPr>
            <w:r>
              <w:rPr>
                <w:rFonts w:ascii="Arial" w:cs="Arial" w:eastAsia="Arial" w:hAnsi="Arial"/>
                <w:sz w:val="16"/>
                <w:szCs w:val="16"/>
                <w:color w:val="auto"/>
              </w:rPr>
              <w:t>Costs incurred and charged to expense</w:t>
            </w:r>
          </w:p>
        </w:tc>
        <w:tc>
          <w:tcPr>
            <w:tcW w:w="180" w:type="dxa"/>
            <w:vAlign w:val="bottom"/>
          </w:tcPr>
          <w:p>
            <w:pPr>
              <w:spacing w:after="0"/>
              <w:rPr>
                <w:sz w:val="18"/>
                <w:szCs w:val="18"/>
                <w:color w:val="auto"/>
              </w:rPr>
            </w:pPr>
          </w:p>
        </w:tc>
        <w:tc>
          <w:tcPr>
            <w:tcW w:w="1280" w:type="dxa"/>
            <w:vAlign w:val="bottom"/>
          </w:tcPr>
          <w:p>
            <w:pPr>
              <w:jc w:val="right"/>
              <w:ind w:right="64"/>
              <w:spacing w:after="0"/>
              <w:rPr>
                <w:sz w:val="20"/>
                <w:szCs w:val="20"/>
                <w:color w:val="auto"/>
              </w:rPr>
            </w:pPr>
            <w:r>
              <w:rPr>
                <w:rFonts w:ascii="Arial" w:cs="Arial" w:eastAsia="Arial" w:hAnsi="Arial"/>
                <w:sz w:val="16"/>
                <w:szCs w:val="16"/>
                <w:color w:val="auto"/>
              </w:rPr>
              <w:t>7,467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610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8,077</w:t>
            </w:r>
          </w:p>
        </w:tc>
      </w:tr>
      <w:tr>
        <w:trPr>
          <w:trHeight w:val="217"/>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Costs paid or otherwise settled</w:t>
            </w: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(4,338 )</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(610 )</w:t>
            </w:r>
          </w:p>
        </w:tc>
        <w:tc>
          <w:tcPr>
            <w:tcW w:w="1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(4,948 )</w:t>
            </w:r>
          </w:p>
        </w:tc>
      </w:tr>
      <w:tr>
        <w:trPr>
          <w:trHeight w:val="209"/>
        </w:trPr>
        <w:tc>
          <w:tcPr>
            <w:tcW w:w="6640" w:type="dxa"/>
            <w:vAlign w:val="bottom"/>
          </w:tcPr>
          <w:p>
            <w:pPr>
              <w:ind w:left="20"/>
              <w:spacing w:after="0"/>
              <w:rPr>
                <w:sz w:val="20"/>
                <w:szCs w:val="20"/>
                <w:color w:val="auto"/>
              </w:rPr>
            </w:pPr>
            <w:r>
              <w:rPr>
                <w:rFonts w:ascii="Arial" w:cs="Arial" w:eastAsia="Arial" w:hAnsi="Arial"/>
                <w:sz w:val="16"/>
                <w:szCs w:val="16"/>
                <w:color w:val="auto"/>
              </w:rPr>
              <w:t>Restructuring liability balance—December 31, 2023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64"/>
              <w:spacing w:after="0"/>
              <w:rPr>
                <w:sz w:val="20"/>
                <w:szCs w:val="20"/>
                <w:color w:val="auto"/>
              </w:rPr>
            </w:pPr>
            <w:r>
              <w:rPr>
                <w:rFonts w:ascii="Arial" w:cs="Arial" w:eastAsia="Arial" w:hAnsi="Arial"/>
                <w:sz w:val="16"/>
                <w:szCs w:val="16"/>
                <w:color w:val="auto"/>
              </w:rPr>
              <w:t>3,129</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3,129</w:t>
            </w:r>
          </w:p>
        </w:tc>
      </w:tr>
      <w:tr>
        <w:trPr>
          <w:trHeight w:val="20"/>
        </w:trPr>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January 2023, the Company initiated a reduction in workforce to reduce operating costs and improve operating efficiency. The workforce reduction affected nearly 100 employees and was substantially completed during the first quarter of 2023. The Company recognized $3.1 million in one-time employee termination benefits in connection with the reduction in workforce, comprising separation pay and healthcare benefits payable in cash, all of which were paid by the end of the second quarter of 2023.</w:t>
      </w:r>
    </w:p>
    <w:p>
      <w:pPr>
        <w:spacing w:after="0" w:line="15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December 2023, the Company initiated a second reduction in workforce to further reduce operating costs and improve operating efficiency. The workforce reduction affected approximately 60 employees and will be completed during the first quarter of 2024. The Company recognized $4.0 million in one-time employee termination benefits in connection with the reduction in workforce, comprising separation pay and healthcare benefits payable in cash. Approximately $3.1 million of such expenses were unpaid as of December 31, 2023 and are expected to be paid during the first quarter of 2024. The Company does not expect to incur any material additional costs in connection with the second reduction in workforce.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Closure of China Operations</w:t>
      </w:r>
    </w:p>
    <w:p>
      <w:pPr>
        <w:spacing w:after="0" w:line="179"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6"/>
          <w:szCs w:val="16"/>
          <w:color w:val="auto"/>
        </w:rPr>
        <w:t>During the first half of 2023, the Company terminated its operations in China with the objective of streamlining international operations and reducing operating costs. The disposal does not qualify for reporting as a discontinued operation because it does not represent a strategic shift that has or will have a major effect on our operations and financial results. The Company completed the process of dissolving the Personalis (Shanghai) Ltd entity in February 2024.</w:t>
      </w:r>
    </w:p>
    <w:p>
      <w:pPr>
        <w:spacing w:after="0" w:line="3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Expenses of $0.9 million were recognized in connection with closure activities, of which $0.3 million was related to one-time employee termination benefits for the Company's 12 former employees located in China and were payable in cash. Substantially all of the terminations were completed during the first quarter of 2023, along with the related cash outlays. The remaining $0.6 million in expenses were comprised primarily of noncash charges, including losses on disposal of fixed assets and impairments of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Stock-Based Compensation</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maintains the following equity incentive plans: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2011 Equity Incentive Plan</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2011, the Company established its 2011 Equity Incentive Plan (the “2011 Plan”) that provided for the granting of stock options to employees and nonemployees of the Company. Under the 2011 Plan, the Company had the ability to issue incentive stock options (“ISOs”), nonstatutory stock options (“NSOs”), stock appreciation rights, restricted stock awards, and restricted stock unit awards (“RSUs”). Options under the 2011 Plan could be granted for periods of up to 10 years. The ISOs could be granted at a price per share not less than the fair value at the date of grant.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Equity Incentive Plan</w:t>
      </w:r>
    </w:p>
    <w:p>
      <w:pPr>
        <w:spacing w:after="0" w:line="179"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6"/>
          <w:szCs w:val="16"/>
          <w:color w:val="auto"/>
        </w:rPr>
        <w:t>The Company’s board of directors adopted and the Company’s stockholders approved the 2019 Equity Incentive Plan (the “2019 Plan”) in May 2019 and June 2019, respectively. The 2019 Plan became effective in June 2019 in connection with the Company’s IPO, and no further grants were made under the 2011 Plan. Shares reserved and remaining available for issuance under the 2011 Plan were added to the 2019 Plan reserve upon its effectiveness.</w:t>
      </w:r>
    </w:p>
    <w:p>
      <w:pPr>
        <w:spacing w:after="0" w:line="32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2019 Plan provides for the grant of ISOs, NSOs, stock appreciation rights, restricted stock awards, RSUs, performance-based stock awards, and other forms of equity compensation. Additionally, the 2019 Plan provides for the grant of performance cash awards. ISOs may be granted only to the Company’s employees and to any of the Company’s parent or subsidiary corporation’s employees. All other awards may be granted to employees, including officers, and to non-employee directors and consultants of the Company and any of the Company’s affiliates. The exercise price of a stock option generally cannot be less than 100% of the fair market value of the Company’s common stock on the date of grant. Options under the 2019 Plan may be granted for periods of up to 10 years.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Inducement Plan</w:t>
      </w:r>
    </w:p>
    <w:p>
      <w:pPr>
        <w:spacing w:after="0" w:line="179" w:lineRule="exact"/>
        <w:rPr>
          <w:sz w:val="20"/>
          <w:szCs w:val="20"/>
          <w:color w:val="auto"/>
        </w:rPr>
      </w:pPr>
    </w:p>
    <w:p>
      <w:pPr>
        <w:jc w:val="both"/>
        <w:ind w:firstLine="849"/>
        <w:spacing w:after="0" w:line="253" w:lineRule="auto"/>
        <w:rPr>
          <w:sz w:val="20"/>
          <w:szCs w:val="20"/>
          <w:color w:val="auto"/>
        </w:rPr>
      </w:pPr>
      <w:r>
        <w:rPr>
          <w:rFonts w:ascii="Arial" w:cs="Arial" w:eastAsia="Arial" w:hAnsi="Arial"/>
          <w:sz w:val="16"/>
          <w:szCs w:val="16"/>
          <w:color w:val="auto"/>
        </w:rPr>
        <w:t>The Compensation Committee of the Company’s board of directors adopted the 2020 Inducement Plan (the “Inducement Plan”) in May 2020, which became effective upon adoption. The Inducement Plan was adopted without stockholder approval, as permitted by the Nasdaq Stock Market rules. The Inducement Plan provides for the grant of equity-based awards, including NSOs, stock appreciation rights, restricted stock awards, RSUs, performance-based stock awards, and other forms of equity compensation, and its terms are substantially similar to the stockholder-approved 2019 Plan. In accordance with relevant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Employee Stock Purchase Plan</w:t>
      </w:r>
    </w:p>
    <w:p>
      <w:pPr>
        <w:spacing w:after="0" w:line="192" w:lineRule="exact"/>
        <w:rPr>
          <w:sz w:val="20"/>
          <w:szCs w:val="20"/>
          <w:color w:val="auto"/>
        </w:rPr>
      </w:pPr>
    </w:p>
    <w:p>
      <w:pPr>
        <w:jc w:val="both"/>
        <w:ind w:firstLine="849"/>
        <w:spacing w:after="0" w:line="256" w:lineRule="auto"/>
        <w:rPr>
          <w:sz w:val="20"/>
          <w:szCs w:val="20"/>
          <w:color w:val="auto"/>
        </w:rPr>
      </w:pPr>
      <w:r>
        <w:rPr>
          <w:rFonts w:ascii="Arial" w:cs="Arial" w:eastAsia="Arial" w:hAnsi="Arial"/>
          <w:sz w:val="16"/>
          <w:szCs w:val="16"/>
          <w:color w:val="auto"/>
        </w:rPr>
        <w:t>The Company’s board of directors adopted and the Company’s stockholders approved the 2019 Employee Stock Purchase Plan (the “ESPP”) in May 2019 and June 2019, respectively. 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The ESPP provides for separate six-month offering periods beginning on May 1 and November 1 of each year.</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Shares of common stock available for issuance under the Company’s equity incentive plans at December 31, 2023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December 31, 2023</w:t>
            </w:r>
          </w:p>
        </w:tc>
      </w:tr>
      <w:tr>
        <w:trPr>
          <w:trHeight w:val="209"/>
        </w:trPr>
        <w:tc>
          <w:tcPr>
            <w:tcW w:w="4540" w:type="dxa"/>
            <w:vAlign w:val="bottom"/>
          </w:tcPr>
          <w:p>
            <w:pPr>
              <w:ind w:left="20"/>
              <w:spacing w:after="0"/>
              <w:rPr>
                <w:sz w:val="20"/>
                <w:szCs w:val="20"/>
                <w:color w:val="auto"/>
              </w:rPr>
            </w:pPr>
            <w:r>
              <w:rPr>
                <w:rFonts w:ascii="Arial" w:cs="Arial" w:eastAsia="Arial" w:hAnsi="Arial"/>
                <w:sz w:val="16"/>
                <w:szCs w:val="16"/>
                <w:color w:val="auto"/>
              </w:rPr>
              <w:t>Outstanding stock awards</w:t>
            </w:r>
          </w:p>
        </w:tc>
        <w:tc>
          <w:tcPr>
            <w:tcW w:w="4660" w:type="dxa"/>
            <w:vAlign w:val="bottom"/>
          </w:tcPr>
          <w:p>
            <w:pPr>
              <w:spacing w:after="0"/>
              <w:rPr>
                <w:sz w:val="18"/>
                <w:szCs w:val="18"/>
                <w:color w:val="auto"/>
              </w:rPr>
            </w:pPr>
          </w:p>
        </w:tc>
        <w:tc>
          <w:tcPr>
            <w:tcW w:w="2040" w:type="dxa"/>
            <w:vAlign w:val="bottom"/>
          </w:tcPr>
          <w:p>
            <w:pPr>
              <w:jc w:val="right"/>
              <w:ind w:right="42"/>
              <w:spacing w:after="0"/>
              <w:rPr>
                <w:sz w:val="20"/>
                <w:szCs w:val="20"/>
                <w:color w:val="auto"/>
              </w:rPr>
            </w:pPr>
            <w:r>
              <w:rPr>
                <w:rFonts w:ascii="Arial" w:cs="Arial" w:eastAsia="Arial" w:hAnsi="Arial"/>
                <w:sz w:val="16"/>
                <w:szCs w:val="16"/>
                <w:color w:val="auto"/>
              </w:rPr>
              <w:t>7,059,412</w:t>
            </w:r>
          </w:p>
        </w:tc>
      </w:tr>
      <w:tr>
        <w:trPr>
          <w:trHeight w:val="217"/>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Reserved for future award grants</w:t>
            </w:r>
          </w:p>
        </w:tc>
        <w:tc>
          <w:tcPr>
            <w:tcW w:w="670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5,239,303</w:t>
            </w: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Reserved for future ESPP</w:t>
            </w:r>
          </w:p>
        </w:tc>
        <w:tc>
          <w:tcPr>
            <w:tcW w:w="4660" w:type="dxa"/>
            <w:vAlign w:val="bottom"/>
          </w:tcPr>
          <w:p>
            <w:pPr>
              <w:spacing w:after="0"/>
              <w:rPr>
                <w:sz w:val="18"/>
                <w:szCs w:val="18"/>
                <w:color w:val="auto"/>
              </w:rPr>
            </w:pPr>
          </w:p>
        </w:tc>
        <w:tc>
          <w:tcPr>
            <w:tcW w:w="2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83,756</w:t>
            </w:r>
          </w:p>
        </w:tc>
      </w:tr>
      <w:tr>
        <w:trPr>
          <w:trHeight w:val="250"/>
        </w:trPr>
        <w:tc>
          <w:tcPr>
            <w:tcW w:w="4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common stock reserved for stock awards</w:t>
            </w:r>
          </w:p>
        </w:tc>
        <w:tc>
          <w:tcPr>
            <w:tcW w:w="670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12,382,471</w:t>
            </w:r>
          </w:p>
        </w:tc>
      </w:tr>
      <w:tr>
        <w:trPr>
          <w:trHeight w:val="613"/>
        </w:trPr>
        <w:tc>
          <w:tcPr>
            <w:tcW w:w="4540" w:type="dxa"/>
            <w:vAlign w:val="bottom"/>
            <w:tcBorders>
              <w:top w:val="single" w:sz="8" w:color="CFF0FC"/>
            </w:tcBorders>
          </w:tcPr>
          <w:p>
            <w:pPr>
              <w:spacing w:after="0"/>
              <w:rPr>
                <w:sz w:val="24"/>
                <w:szCs w:val="24"/>
                <w:color w:val="auto"/>
              </w:rPr>
            </w:pPr>
          </w:p>
        </w:tc>
        <w:tc>
          <w:tcPr>
            <w:tcW w:w="4660" w:type="dxa"/>
            <w:vAlign w:val="bottom"/>
            <w:tcBorders>
              <w:top w:val="single" w:sz="8" w:color="CFF0FC"/>
            </w:tcBorders>
          </w:tcPr>
          <w:p>
            <w:pPr>
              <w:jc w:val="right"/>
              <w:ind w:right="3399"/>
              <w:spacing w:after="0"/>
              <w:rPr>
                <w:sz w:val="20"/>
                <w:szCs w:val="20"/>
                <w:color w:val="auto"/>
              </w:rPr>
            </w:pPr>
            <w:r>
              <w:rPr>
                <w:rFonts w:ascii="Arial" w:cs="Arial" w:eastAsia="Arial" w:hAnsi="Arial"/>
                <w:sz w:val="16"/>
                <w:szCs w:val="16"/>
                <w:color w:val="auto"/>
              </w:rPr>
              <w:t>83</w:t>
            </w:r>
          </w:p>
        </w:tc>
        <w:tc>
          <w:tcPr>
            <w:tcW w:w="2040" w:type="dxa"/>
            <w:vAlign w:val="bottom"/>
            <w:tcBorders>
              <w:top w:val="single" w:sz="8" w:color="auto"/>
            </w:tcBorders>
          </w:tcPr>
          <w:p>
            <w:pPr>
              <w:spacing w:after="0"/>
              <w:rPr>
                <w:sz w:val="24"/>
                <w:szCs w:val="24"/>
                <w:color w:val="auto"/>
              </w:rPr>
            </w:pPr>
          </w:p>
        </w:tc>
      </w:tr>
      <w:tr>
        <w:trPr>
          <w:trHeight w:val="751"/>
        </w:trPr>
        <w:tc>
          <w:tcPr>
            <w:tcW w:w="45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Activity</w:t>
      </w:r>
    </w:p>
    <w:p>
      <w:pPr>
        <w:spacing w:after="0" w:line="17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A summary of the Company’s stock option activity (excluding performance-based stock option activity summarized further below) for the years ended December 31, 2023, 2022, and 2021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60"/>
        </w:trPr>
        <w:tc>
          <w:tcPr>
            <w:tcW w:w="5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right="28"/>
              <w:spacing w:after="0" w:line="160"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2"/>
        </w:trPr>
        <w:tc>
          <w:tcPr>
            <w:tcW w:w="5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81"/>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02"/>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60" w:type="dxa"/>
            <w:vAlign w:val="bottom"/>
          </w:tcPr>
          <w:p>
            <w:pPr>
              <w:spacing w:after="0"/>
              <w:rPr>
                <w:sz w:val="14"/>
                <w:szCs w:val="14"/>
                <w:color w:val="auto"/>
              </w:rPr>
            </w:pPr>
          </w:p>
        </w:tc>
        <w:tc>
          <w:tcPr>
            <w:tcW w:w="1340" w:type="dxa"/>
            <w:vAlign w:val="bottom"/>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81"/>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02"/>
              <w:spacing w:after="0"/>
              <w:rPr>
                <w:sz w:val="20"/>
                <w:szCs w:val="20"/>
                <w:color w:val="auto"/>
              </w:rPr>
            </w:pPr>
            <w:r>
              <w:rPr>
                <w:rFonts w:ascii="Arial" w:cs="Arial" w:eastAsia="Arial" w:hAnsi="Arial"/>
                <w:sz w:val="14"/>
                <w:szCs w:val="14"/>
                <w:b w:val="1"/>
                <w:bCs w:val="1"/>
                <w:color w:val="auto"/>
              </w:rPr>
              <w:t>Intrinsic</w:t>
            </w:r>
          </w:p>
        </w:tc>
      </w:tr>
      <w:tr>
        <w:trPr>
          <w:trHeight w:val="185"/>
        </w:trPr>
        <w:tc>
          <w:tcPr>
            <w:tcW w:w="576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3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22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Term (in years)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Value</w:t>
            </w: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2020</w:t>
            </w:r>
          </w:p>
        </w:tc>
        <w:tc>
          <w:tcPr>
            <w:tcW w:w="13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4,948,306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7.10</w:t>
            </w:r>
          </w:p>
        </w:tc>
        <w:tc>
          <w:tcPr>
            <w:tcW w:w="140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6.71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146,044</w:t>
            </w:r>
          </w:p>
        </w:tc>
      </w:tr>
      <w:tr>
        <w:trPr>
          <w:trHeight w:val="215"/>
        </w:trPr>
        <w:tc>
          <w:tcPr>
            <w:tcW w:w="5760" w:type="dxa"/>
            <w:vAlign w:val="bottom"/>
          </w:tcPr>
          <w:p>
            <w:pPr>
              <w:ind w:left="200"/>
              <w:spacing w:after="0"/>
              <w:rPr>
                <w:sz w:val="20"/>
                <w:szCs w:val="20"/>
                <w:color w:val="auto"/>
              </w:rPr>
            </w:pPr>
            <w:r>
              <w:rPr>
                <w:rFonts w:ascii="Arial" w:cs="Arial" w:eastAsia="Arial" w:hAnsi="Arial"/>
                <w:sz w:val="16"/>
                <w:szCs w:val="16"/>
                <w:color w:val="auto"/>
              </w:rPr>
              <w:t>Options granted</w:t>
            </w: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1,026,276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21.26</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Options exercised</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(862,056 )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6"/>
                <w:szCs w:val="16"/>
                <w:color w:val="auto"/>
              </w:rPr>
              <w:t>Options forfeited or expired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(110,107 )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13.88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2021</w:t>
            </w:r>
          </w:p>
        </w:tc>
        <w:tc>
          <w:tcPr>
            <w:tcW w:w="13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5,002,419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10.66</w:t>
            </w:r>
          </w:p>
        </w:tc>
        <w:tc>
          <w:tcPr>
            <w:tcW w:w="140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6.89</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28,308</w:t>
            </w:r>
          </w:p>
        </w:tc>
      </w:tr>
      <w:tr>
        <w:trPr>
          <w:trHeight w:val="215"/>
        </w:trPr>
        <w:tc>
          <w:tcPr>
            <w:tcW w:w="5760" w:type="dxa"/>
            <w:vAlign w:val="bottom"/>
          </w:tcPr>
          <w:p>
            <w:pPr>
              <w:ind w:left="200"/>
              <w:spacing w:after="0"/>
              <w:rPr>
                <w:sz w:val="20"/>
                <w:szCs w:val="20"/>
                <w:color w:val="auto"/>
              </w:rPr>
            </w:pPr>
            <w:r>
              <w:rPr>
                <w:rFonts w:ascii="Arial" w:cs="Arial" w:eastAsia="Arial" w:hAnsi="Arial"/>
                <w:sz w:val="16"/>
                <w:szCs w:val="16"/>
                <w:color w:val="auto"/>
              </w:rPr>
              <w:t>Options granted</w:t>
            </w: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1,429,295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Options exercised</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(488,187 )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6"/>
                <w:szCs w:val="16"/>
                <w:color w:val="auto"/>
              </w:rPr>
              <w:t>Options forfeited or expired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(492,395 )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2022</w:t>
            </w:r>
          </w:p>
        </w:tc>
        <w:tc>
          <w:tcPr>
            <w:tcW w:w="13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5,451,132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9.90</w:t>
            </w:r>
          </w:p>
        </w:tc>
        <w:tc>
          <w:tcPr>
            <w:tcW w:w="140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5.31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w:t>
            </w:r>
          </w:p>
        </w:tc>
      </w:tr>
      <w:tr>
        <w:trPr>
          <w:trHeight w:val="215"/>
        </w:trPr>
        <w:tc>
          <w:tcPr>
            <w:tcW w:w="5760" w:type="dxa"/>
            <w:vAlign w:val="bottom"/>
          </w:tcPr>
          <w:p>
            <w:pPr>
              <w:ind w:left="200"/>
              <w:spacing w:after="0"/>
              <w:rPr>
                <w:sz w:val="20"/>
                <w:szCs w:val="20"/>
                <w:color w:val="auto"/>
              </w:rPr>
            </w:pPr>
            <w:r>
              <w:rPr>
                <w:rFonts w:ascii="Arial" w:cs="Arial" w:eastAsia="Arial" w:hAnsi="Arial"/>
                <w:sz w:val="16"/>
                <w:szCs w:val="16"/>
                <w:color w:val="auto"/>
              </w:rPr>
              <w:t>Options granted</w:t>
            </w: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2,638,500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Options exercised</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6"/>
                <w:szCs w:val="16"/>
                <w:color w:val="auto"/>
              </w:rPr>
              <w:t>Options forfeited or expired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(2,284,038 )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Balance—December 31, 2023</w:t>
            </w:r>
          </w:p>
        </w:tc>
        <w:tc>
          <w:tcPr>
            <w:tcW w:w="13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5,805,586</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rPr>
              <w:t>7.40</w:t>
            </w:r>
          </w:p>
        </w:tc>
        <w:tc>
          <w:tcPr>
            <w:tcW w:w="140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6.90</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rPr>
              <w:t>64</w:t>
            </w:r>
          </w:p>
        </w:tc>
      </w:tr>
      <w:tr>
        <w:trPr>
          <w:trHeight w:val="197"/>
        </w:trPr>
        <w:tc>
          <w:tcPr>
            <w:tcW w:w="5760" w:type="dxa"/>
            <w:vAlign w:val="bottom"/>
          </w:tcPr>
          <w:p>
            <w:pPr>
              <w:ind w:left="20"/>
              <w:spacing w:after="0"/>
              <w:rPr>
                <w:sz w:val="20"/>
                <w:szCs w:val="20"/>
                <w:color w:val="auto"/>
              </w:rPr>
            </w:pPr>
            <w:r>
              <w:rPr>
                <w:rFonts w:ascii="Arial" w:cs="Arial" w:eastAsia="Arial" w:hAnsi="Arial"/>
                <w:sz w:val="16"/>
                <w:szCs w:val="16"/>
                <w:color w:val="auto"/>
              </w:rPr>
              <w:t>Options vested and exercisable as of December 31, 2023</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3,103,913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9.69</w:t>
            </w:r>
          </w:p>
        </w:tc>
        <w:tc>
          <w:tcPr>
            <w:tcW w:w="1400" w:type="dxa"/>
            <w:vAlign w:val="bottom"/>
            <w:gridSpan w:val="2"/>
          </w:tcPr>
          <w:p>
            <w:pPr>
              <w:jc w:val="right"/>
              <w:ind w:right="48"/>
              <w:spacing w:after="0"/>
              <w:rPr>
                <w:sz w:val="20"/>
                <w:szCs w:val="20"/>
                <w:color w:val="auto"/>
              </w:rPr>
            </w:pPr>
            <w:r>
              <w:rPr>
                <w:rFonts w:ascii="Arial" w:cs="Arial" w:eastAsia="Arial" w:hAnsi="Arial"/>
                <w:sz w:val="16"/>
                <w:szCs w:val="16"/>
                <w:color w:val="auto"/>
              </w:rPr>
              <w:t>5.57</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w:t>
            </w:r>
          </w:p>
        </w:tc>
      </w:tr>
      <w:tr>
        <w:trPr>
          <w:trHeight w:val="20"/>
        </w:trPr>
        <w:tc>
          <w:tcPr>
            <w:tcW w:w="57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-187960</wp:posOffset>
            </wp:positionV>
            <wp:extent cx="939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939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Options granted to new hires generally vest over a four-year period, with 25% vesting at the end of one year and the remaining vesting monthly thereafter. Options granted as merit awards generally vest monthly over a three- or four-year period.</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aggregate intrinsic value of unexercised stock options is calculated as the difference between the closing price of the Company’s common stock of $2.10 on December 31, 2023 and the exercise prices of the underlying stock options. Out-of-the money stock options are excluded from aggregate intrinsic value.</w:t>
      </w:r>
    </w:p>
    <w:p>
      <w:pPr>
        <w:spacing w:after="0" w:line="13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weighted-average grant date fair value of options granted was $1.81, $3.21, and $13.14 per share for the years ended December 31, 2023, 2022, and 2021, respectively. As of December 31, 2023, the unrecognized stock-based compensation of unvested options was $7.2 million, which is expected to be recognized over a weighted-average period of 2.02 years.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Stock Options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estimated the fair value of stock options (excluding performance-based stock options discussed below) using the Black-Scholes option-pricing model. Fair value of stock options is recognized as compensation expense on a straight-line basis over the requisite service periods of the awards. Fair value of stock options was estimated using the following range of assumptions: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3"/>
        </w:trPr>
        <w:tc>
          <w:tcPr>
            <w:tcW w:w="3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r>
      <w:tr>
        <w:trPr>
          <w:trHeight w:val="210"/>
        </w:trPr>
        <w:tc>
          <w:tcPr>
            <w:tcW w:w="3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term (in years)</w:t>
            </w:r>
          </w:p>
        </w:tc>
        <w:tc>
          <w:tcPr>
            <w:tcW w:w="4120" w:type="dxa"/>
            <w:vAlign w:val="bottom"/>
            <w:gridSpan w:val="3"/>
            <w:shd w:val="clear" w:color="auto" w:fill="CFF0FC"/>
          </w:tcPr>
          <w:p>
            <w:pPr>
              <w:jc w:val="center"/>
              <w:ind w:left="2419"/>
              <w:spacing w:after="0"/>
              <w:rPr>
                <w:sz w:val="20"/>
                <w:szCs w:val="20"/>
                <w:color w:val="auto"/>
              </w:rPr>
            </w:pPr>
            <w:r>
              <w:rPr>
                <w:rFonts w:ascii="Arial" w:cs="Arial" w:eastAsia="Arial" w:hAnsi="Arial"/>
                <w:sz w:val="16"/>
                <w:szCs w:val="16"/>
                <w:color w:val="auto"/>
              </w:rPr>
              <w:t>5.50 - 6.08</w:t>
            </w:r>
          </w:p>
        </w:tc>
        <w:tc>
          <w:tcPr>
            <w:tcW w:w="1740" w:type="dxa"/>
            <w:vAlign w:val="bottom"/>
            <w:gridSpan w:val="3"/>
            <w:shd w:val="clear" w:color="auto" w:fill="CFF0FC"/>
          </w:tcPr>
          <w:p>
            <w:pPr>
              <w:jc w:val="center"/>
              <w:ind w:left="41"/>
              <w:spacing w:after="0"/>
              <w:rPr>
                <w:sz w:val="20"/>
                <w:szCs w:val="20"/>
                <w:color w:val="auto"/>
              </w:rPr>
            </w:pPr>
            <w:r>
              <w:rPr>
                <w:rFonts w:ascii="Arial" w:cs="Arial" w:eastAsia="Arial" w:hAnsi="Arial"/>
                <w:sz w:val="16"/>
                <w:szCs w:val="16"/>
                <w:color w:val="auto"/>
              </w:rPr>
              <w:t>5.50 - 6.08</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5.50 - 6.27</w:t>
            </w: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3180" w:type="dxa"/>
            <w:vAlign w:val="bottom"/>
            <w:gridSpan w:val="2"/>
          </w:tcPr>
          <w:p>
            <w:pPr>
              <w:jc w:val="right"/>
              <w:spacing w:after="0"/>
              <w:rPr>
                <w:sz w:val="20"/>
                <w:szCs w:val="20"/>
                <w:color w:val="auto"/>
              </w:rPr>
            </w:pPr>
            <w:r>
              <w:rPr>
                <w:rFonts w:ascii="Arial" w:cs="Arial" w:eastAsia="Arial" w:hAnsi="Arial"/>
                <w:sz w:val="16"/>
                <w:szCs w:val="16"/>
                <w:color w:val="auto"/>
              </w:rPr>
              <w:t>78.47</w:t>
            </w:r>
          </w:p>
        </w:tc>
        <w:tc>
          <w:tcPr>
            <w:tcW w:w="940" w:type="dxa"/>
            <w:vAlign w:val="bottom"/>
          </w:tcPr>
          <w:p>
            <w:pPr>
              <w:ind w:left="40"/>
              <w:spacing w:after="0"/>
              <w:rPr>
                <w:sz w:val="20"/>
                <w:szCs w:val="20"/>
                <w:color w:val="auto"/>
              </w:rPr>
            </w:pPr>
            <w:r>
              <w:rPr>
                <w:rFonts w:ascii="Arial" w:cs="Arial" w:eastAsia="Arial" w:hAnsi="Arial"/>
                <w:sz w:val="16"/>
                <w:szCs w:val="16"/>
                <w:color w:val="auto"/>
              </w:rPr>
              <w:t>- 79.31%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68.37</w:t>
            </w:r>
          </w:p>
        </w:tc>
        <w:tc>
          <w:tcPr>
            <w:tcW w:w="940" w:type="dxa"/>
            <w:vAlign w:val="bottom"/>
          </w:tcPr>
          <w:p>
            <w:pPr>
              <w:ind w:left="40"/>
              <w:spacing w:after="0"/>
              <w:rPr>
                <w:sz w:val="20"/>
                <w:szCs w:val="20"/>
                <w:color w:val="auto"/>
              </w:rPr>
            </w:pPr>
            <w:r>
              <w:rPr>
                <w:rFonts w:ascii="Arial" w:cs="Arial" w:eastAsia="Arial" w:hAnsi="Arial"/>
                <w:sz w:val="16"/>
                <w:szCs w:val="16"/>
                <w:color w:val="auto"/>
              </w:rPr>
              <w:t>- 77.68%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67.97</w:t>
            </w:r>
          </w:p>
        </w:tc>
        <w:tc>
          <w:tcPr>
            <w:tcW w:w="920" w:type="dxa"/>
            <w:vAlign w:val="bottom"/>
          </w:tcPr>
          <w:p>
            <w:pPr>
              <w:ind w:left="20"/>
              <w:spacing w:after="0"/>
              <w:rPr>
                <w:sz w:val="20"/>
                <w:szCs w:val="20"/>
                <w:color w:val="auto"/>
              </w:rPr>
            </w:pPr>
            <w:r>
              <w:rPr>
                <w:rFonts w:ascii="Arial" w:cs="Arial" w:eastAsia="Arial" w:hAnsi="Arial"/>
                <w:sz w:val="16"/>
                <w:szCs w:val="16"/>
                <w:color w:val="auto"/>
              </w:rPr>
              <w:t>- 69.90%</w:t>
            </w:r>
          </w:p>
        </w:tc>
      </w:tr>
      <w:tr>
        <w:trPr>
          <w:trHeight w:val="217"/>
        </w:trPr>
        <w:tc>
          <w:tcPr>
            <w:tcW w:w="3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940" w:type="dxa"/>
            <w:vAlign w:val="bottom"/>
            <w:shd w:val="clear" w:color="auto" w:fill="CFF0FC"/>
          </w:tcPr>
          <w:p>
            <w:pPr>
              <w:ind w:left="40"/>
              <w:spacing w:after="0"/>
              <w:rPr>
                <w:sz w:val="20"/>
                <w:szCs w:val="20"/>
                <w:color w:val="auto"/>
              </w:rPr>
            </w:pPr>
            <w:r>
              <w:rPr>
                <w:rFonts w:ascii="Arial" w:cs="Arial" w:eastAsia="Arial" w:hAnsi="Arial"/>
                <w:sz w:val="16"/>
                <w:szCs w:val="16"/>
                <w:color w:val="auto"/>
              </w:rPr>
              <w:t>- 4.66%</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940" w:type="dxa"/>
            <w:vAlign w:val="bottom"/>
            <w:shd w:val="clear" w:color="auto" w:fill="CFF0FC"/>
          </w:tcPr>
          <w:p>
            <w:pPr>
              <w:ind w:left="40"/>
              <w:spacing w:after="0"/>
              <w:rPr>
                <w:sz w:val="20"/>
                <w:szCs w:val="20"/>
                <w:color w:val="auto"/>
              </w:rPr>
            </w:pPr>
            <w:r>
              <w:rPr>
                <w:rFonts w:ascii="Arial" w:cs="Arial" w:eastAsia="Arial" w:hAnsi="Arial"/>
                <w:sz w:val="16"/>
                <w:szCs w:val="16"/>
                <w:color w:val="auto"/>
              </w:rPr>
              <w:t>- 4.23%</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0.62</w:t>
            </w:r>
          </w:p>
        </w:tc>
        <w:tc>
          <w:tcPr>
            <w:tcW w:w="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- 1.39%</w:t>
            </w: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2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jc w:val="center"/>
              <w:ind w:right="5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gridSpan w:val="2"/>
          </w:tcPr>
          <w:p>
            <w:pPr>
              <w:jc w:val="center"/>
              <w:ind w:right="7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920" w:type="dxa"/>
            <w:vAlign w:val="bottom"/>
          </w:tcPr>
          <w:p>
            <w:pPr>
              <w:jc w:val="center"/>
              <w:ind w:right="599"/>
              <w:spacing w:after="0"/>
              <w:rPr>
                <w:sz w:val="20"/>
                <w:szCs w:val="20"/>
                <w:color w:val="auto"/>
              </w:rPr>
            </w:pPr>
            <w:r>
              <w:rPr>
                <w:rFonts w:ascii="Arial" w:cs="Arial" w:eastAsia="Arial" w:hAnsi="Arial"/>
                <w:sz w:val="16"/>
                <w:szCs w:val="16"/>
                <w:color w:val="auto"/>
              </w:rPr>
              <w:t>–%</w:t>
            </w:r>
          </w:p>
        </w:tc>
      </w:tr>
      <w:tr>
        <w:trPr>
          <w:trHeight w:val="634"/>
        </w:trPr>
        <w:tc>
          <w:tcPr>
            <w:tcW w:w="3660" w:type="dxa"/>
            <w:vAlign w:val="bottom"/>
          </w:tcPr>
          <w:p>
            <w:pPr>
              <w:spacing w:after="0"/>
              <w:rPr>
                <w:sz w:val="24"/>
                <w:szCs w:val="24"/>
                <w:color w:val="auto"/>
              </w:rPr>
            </w:pPr>
          </w:p>
        </w:tc>
        <w:tc>
          <w:tcPr>
            <w:tcW w:w="2520" w:type="dxa"/>
            <w:vAlign w:val="bottom"/>
          </w:tcPr>
          <w:p>
            <w:pPr>
              <w:jc w:val="right"/>
              <w:ind w:right="379"/>
              <w:spacing w:after="0"/>
              <w:rPr>
                <w:sz w:val="20"/>
                <w:szCs w:val="20"/>
                <w:color w:val="auto"/>
              </w:rPr>
            </w:pPr>
            <w:r>
              <w:rPr>
                <w:rFonts w:ascii="Arial" w:cs="Arial" w:eastAsia="Arial" w:hAnsi="Arial"/>
                <w:sz w:val="16"/>
                <w:szCs w:val="16"/>
                <w:color w:val="auto"/>
              </w:rPr>
              <w:t>84</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51"/>
        </w:trPr>
        <w:tc>
          <w:tcPr>
            <w:tcW w:w="36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Performance-based stock options granted to the Company's then Chief Executive Officer in 2020, and vested in the same year due to fulfillment of the performance condition, expired at the end of 2023. A summary of the Company’s performance-based stock option activity for the years ended December 31, 2023, 2022 and 2021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4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Outstanding Performance-Based Options</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60"/>
        </w:trPr>
        <w:tc>
          <w:tcPr>
            <w:tcW w:w="5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right="28"/>
              <w:spacing w:after="0" w:line="160"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2"/>
        </w:trPr>
        <w:tc>
          <w:tcPr>
            <w:tcW w:w="5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82"/>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04"/>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60" w:type="dxa"/>
            <w:vAlign w:val="bottom"/>
          </w:tcPr>
          <w:p>
            <w:pPr>
              <w:spacing w:after="0"/>
              <w:rPr>
                <w:sz w:val="14"/>
                <w:szCs w:val="14"/>
                <w:color w:val="auto"/>
              </w:rPr>
            </w:pPr>
          </w:p>
        </w:tc>
        <w:tc>
          <w:tcPr>
            <w:tcW w:w="1340" w:type="dxa"/>
            <w:vAlign w:val="bottom"/>
          </w:tcPr>
          <w:p>
            <w:pPr>
              <w:jc w:val="right"/>
              <w:ind w:right="302"/>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82"/>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Term (in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04"/>
              <w:spacing w:after="0"/>
              <w:rPr>
                <w:sz w:val="20"/>
                <w:szCs w:val="20"/>
                <w:color w:val="auto"/>
              </w:rPr>
            </w:pPr>
            <w:r>
              <w:rPr>
                <w:rFonts w:ascii="Arial" w:cs="Arial" w:eastAsia="Arial" w:hAnsi="Arial"/>
                <w:sz w:val="14"/>
                <w:szCs w:val="14"/>
                <w:b w:val="1"/>
                <w:bCs w:val="1"/>
                <w:color w:val="auto"/>
              </w:rPr>
              <w:t>Intrinsic</w:t>
            </w:r>
          </w:p>
        </w:tc>
      </w:tr>
      <w:tr>
        <w:trPr>
          <w:trHeight w:val="185"/>
        </w:trPr>
        <w:tc>
          <w:tcPr>
            <w:tcW w:w="576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3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220" w:type="dxa"/>
            <w:vAlign w:val="bottom"/>
            <w:tcBorders>
              <w:bottom w:val="single" w:sz="8" w:color="auto"/>
            </w:tcBorders>
            <w:gridSpan w:val="2"/>
          </w:tcPr>
          <w:p>
            <w:pPr>
              <w:jc w:val="center"/>
              <w:ind w:right="4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Value</w:t>
            </w: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2020</w:t>
            </w:r>
          </w:p>
        </w:tc>
        <w:tc>
          <w:tcPr>
            <w:tcW w:w="13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421,000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5.10</w:t>
            </w:r>
          </w:p>
        </w:tc>
        <w:tc>
          <w:tcPr>
            <w:tcW w:w="140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9.21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13,266</w:t>
            </w:r>
          </w:p>
        </w:tc>
      </w:tr>
      <w:tr>
        <w:trPr>
          <w:trHeight w:val="216"/>
        </w:trPr>
        <w:tc>
          <w:tcPr>
            <w:tcW w:w="5760" w:type="dxa"/>
            <w:vAlign w:val="bottom"/>
          </w:tcPr>
          <w:p>
            <w:pPr>
              <w:ind w:left="20"/>
              <w:spacing w:after="0"/>
              <w:rPr>
                <w:sz w:val="20"/>
                <w:szCs w:val="20"/>
                <w:color w:val="auto"/>
              </w:rPr>
            </w:pPr>
            <w:r>
              <w:rPr>
                <w:rFonts w:ascii="Arial" w:cs="Arial" w:eastAsia="Arial" w:hAnsi="Arial"/>
                <w:sz w:val="16"/>
                <w:szCs w:val="16"/>
                <w:color w:val="auto"/>
              </w:rPr>
              <w:t>No activities</w:t>
            </w:r>
          </w:p>
        </w:tc>
        <w:tc>
          <w:tcPr>
            <w:tcW w:w="13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2021</w:t>
            </w:r>
          </w:p>
        </w:tc>
        <w:tc>
          <w:tcPr>
            <w:tcW w:w="13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421,000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5.10</w:t>
            </w:r>
          </w:p>
        </w:tc>
        <w:tc>
          <w:tcPr>
            <w:tcW w:w="140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8.21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3,861</w:t>
            </w:r>
          </w:p>
        </w:tc>
      </w:tr>
      <w:tr>
        <w:trPr>
          <w:trHeight w:val="216"/>
        </w:trPr>
        <w:tc>
          <w:tcPr>
            <w:tcW w:w="5760" w:type="dxa"/>
            <w:vAlign w:val="bottom"/>
          </w:tcPr>
          <w:p>
            <w:pPr>
              <w:ind w:left="20"/>
              <w:spacing w:after="0"/>
              <w:rPr>
                <w:sz w:val="20"/>
                <w:szCs w:val="20"/>
                <w:color w:val="auto"/>
              </w:rPr>
            </w:pPr>
            <w:r>
              <w:rPr>
                <w:rFonts w:ascii="Arial" w:cs="Arial" w:eastAsia="Arial" w:hAnsi="Arial"/>
                <w:sz w:val="16"/>
                <w:szCs w:val="16"/>
                <w:color w:val="auto"/>
              </w:rPr>
              <w:t>No activities</w:t>
            </w:r>
          </w:p>
        </w:tc>
        <w:tc>
          <w:tcPr>
            <w:tcW w:w="13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2022</w:t>
            </w:r>
          </w:p>
        </w:tc>
        <w:tc>
          <w:tcPr>
            <w:tcW w:w="13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421,000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5.10</w:t>
            </w:r>
          </w:p>
        </w:tc>
        <w:tc>
          <w:tcPr>
            <w:tcW w:w="140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1.00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r>
      <w:tr>
        <w:trPr>
          <w:trHeight w:val="216"/>
        </w:trPr>
        <w:tc>
          <w:tcPr>
            <w:tcW w:w="5760" w:type="dxa"/>
            <w:vAlign w:val="bottom"/>
          </w:tcPr>
          <w:p>
            <w:pPr>
              <w:ind w:left="20"/>
              <w:spacing w:after="0"/>
              <w:rPr>
                <w:sz w:val="20"/>
                <w:szCs w:val="20"/>
                <w:color w:val="auto"/>
              </w:rPr>
            </w:pPr>
            <w:r>
              <w:rPr>
                <w:rFonts w:ascii="Arial" w:cs="Arial" w:eastAsia="Arial" w:hAnsi="Arial"/>
                <w:sz w:val="16"/>
                <w:szCs w:val="16"/>
                <w:color w:val="auto"/>
              </w:rPr>
              <w:t>Options expired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(421,000 )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Balance—December 31, 2023</w:t>
            </w:r>
          </w:p>
        </w:tc>
        <w:tc>
          <w:tcPr>
            <w:tcW w:w="13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-25400</wp:posOffset>
            </wp:positionV>
            <wp:extent cx="939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939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RSU Activity and Valuation</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RSU activity for the years ended December 31, 2023, 2022 and 2021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4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Unvested Restricted Stock Units</w:t>
            </w:r>
          </w:p>
        </w:tc>
        <w:tc>
          <w:tcPr>
            <w:tcW w:w="1200" w:type="dxa"/>
            <w:vAlign w:val="bottom"/>
            <w:tcBorders>
              <w:bottom w:val="single" w:sz="8" w:color="auto"/>
            </w:tcBorders>
          </w:tcPr>
          <w:p>
            <w:pPr>
              <w:spacing w:after="0"/>
              <w:rPr>
                <w:sz w:val="16"/>
                <w:szCs w:val="16"/>
                <w:color w:val="auto"/>
              </w:rPr>
            </w:pPr>
          </w:p>
        </w:tc>
      </w:tr>
      <w:tr>
        <w:trPr>
          <w:trHeight w:val="160"/>
        </w:trPr>
        <w:tc>
          <w:tcPr>
            <w:tcW w:w="6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right="221"/>
              <w:spacing w:after="0" w:line="160"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2"/>
        </w:trPr>
        <w:tc>
          <w:tcPr>
            <w:tcW w:w="6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201"/>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6580" w:type="dxa"/>
            <w:vAlign w:val="bottom"/>
          </w:tcPr>
          <w:p>
            <w:pPr>
              <w:spacing w:after="0"/>
              <w:rPr>
                <w:sz w:val="14"/>
                <w:szCs w:val="14"/>
                <w:color w:val="auto"/>
              </w:rPr>
            </w:pPr>
          </w:p>
        </w:tc>
        <w:tc>
          <w:tcPr>
            <w:tcW w:w="1520" w:type="dxa"/>
            <w:vAlign w:val="bottom"/>
          </w:tcPr>
          <w:p>
            <w:pPr>
              <w:jc w:val="right"/>
              <w:ind w:right="381"/>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261"/>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41"/>
              <w:spacing w:after="0"/>
              <w:rPr>
                <w:sz w:val="20"/>
                <w:szCs w:val="20"/>
                <w:color w:val="auto"/>
              </w:rPr>
            </w:pPr>
            <w:r>
              <w:rPr>
                <w:rFonts w:ascii="Arial" w:cs="Arial" w:eastAsia="Arial" w:hAnsi="Arial"/>
                <w:sz w:val="14"/>
                <w:szCs w:val="14"/>
                <w:b w:val="1"/>
                <w:bCs w:val="1"/>
                <w:color w:val="auto"/>
              </w:rPr>
              <w:t>Aggregate</w:t>
            </w:r>
          </w:p>
        </w:tc>
      </w:tr>
      <w:tr>
        <w:trPr>
          <w:trHeight w:val="185"/>
        </w:trPr>
        <w:tc>
          <w:tcPr>
            <w:tcW w:w="658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5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2020</w:t>
            </w:r>
          </w:p>
        </w:tc>
        <w:tc>
          <w:tcPr>
            <w:tcW w:w="15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619,218</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10.41</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22,670</w:t>
            </w:r>
          </w:p>
        </w:tc>
      </w:tr>
      <w:tr>
        <w:trPr>
          <w:trHeight w:val="215"/>
        </w:trPr>
        <w:tc>
          <w:tcPr>
            <w:tcW w:w="6580" w:type="dxa"/>
            <w:vAlign w:val="bottom"/>
          </w:tcPr>
          <w:p>
            <w:pPr>
              <w:ind w:left="200"/>
              <w:spacing w:after="0"/>
              <w:rPr>
                <w:sz w:val="20"/>
                <w:szCs w:val="20"/>
                <w:color w:val="auto"/>
              </w:rPr>
            </w:pPr>
            <w:r>
              <w:rPr>
                <w:rFonts w:ascii="Arial" w:cs="Arial" w:eastAsia="Arial" w:hAnsi="Arial"/>
                <w:sz w:val="16"/>
                <w:szCs w:val="16"/>
                <w:color w:val="auto"/>
              </w:rPr>
              <w:t>RSUs granted</w:t>
            </w:r>
          </w:p>
        </w:tc>
        <w:tc>
          <w:tcPr>
            <w:tcW w:w="1520" w:type="dxa"/>
            <w:vAlign w:val="bottom"/>
          </w:tcPr>
          <w:p>
            <w:pPr>
              <w:jc w:val="right"/>
              <w:ind w:right="61"/>
              <w:spacing w:after="0"/>
              <w:rPr>
                <w:sz w:val="20"/>
                <w:szCs w:val="20"/>
                <w:color w:val="auto"/>
              </w:rPr>
            </w:pPr>
            <w:r>
              <w:rPr>
                <w:rFonts w:ascii="Arial" w:cs="Arial" w:eastAsia="Arial" w:hAnsi="Arial"/>
                <w:sz w:val="16"/>
                <w:szCs w:val="16"/>
                <w:color w:val="auto"/>
              </w:rPr>
              <w:t>1,387,656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18.05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6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RSUs vested</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(266,119 )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10.93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5,521</w:t>
            </w:r>
          </w:p>
        </w:tc>
      </w:tr>
      <w:tr>
        <w:trPr>
          <w:trHeight w:val="216"/>
        </w:trPr>
        <w:tc>
          <w:tcPr>
            <w:tcW w:w="6580" w:type="dxa"/>
            <w:vAlign w:val="bottom"/>
          </w:tcPr>
          <w:p>
            <w:pPr>
              <w:ind w:left="200"/>
              <w:spacing w:after="0"/>
              <w:rPr>
                <w:sz w:val="20"/>
                <w:szCs w:val="20"/>
                <w:color w:val="auto"/>
              </w:rPr>
            </w:pPr>
            <w:r>
              <w:rPr>
                <w:rFonts w:ascii="Arial" w:cs="Arial" w:eastAsia="Arial" w:hAnsi="Arial"/>
                <w:sz w:val="16"/>
                <w:szCs w:val="16"/>
                <w:color w:val="auto"/>
              </w:rPr>
              <w:t>RSUs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(61,059 )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18.45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2021</w:t>
            </w:r>
          </w:p>
        </w:tc>
        <w:tc>
          <w:tcPr>
            <w:tcW w:w="15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1,679,696</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16.35</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23,969</w:t>
            </w:r>
          </w:p>
        </w:tc>
      </w:tr>
      <w:tr>
        <w:trPr>
          <w:trHeight w:val="215"/>
        </w:trPr>
        <w:tc>
          <w:tcPr>
            <w:tcW w:w="6580" w:type="dxa"/>
            <w:vAlign w:val="bottom"/>
          </w:tcPr>
          <w:p>
            <w:pPr>
              <w:ind w:left="200"/>
              <w:spacing w:after="0"/>
              <w:rPr>
                <w:sz w:val="20"/>
                <w:szCs w:val="20"/>
                <w:color w:val="auto"/>
              </w:rPr>
            </w:pPr>
            <w:r>
              <w:rPr>
                <w:rFonts w:ascii="Arial" w:cs="Arial" w:eastAsia="Arial" w:hAnsi="Arial"/>
                <w:sz w:val="16"/>
                <w:szCs w:val="16"/>
                <w:color w:val="auto"/>
              </w:rPr>
              <w:t>RSUs granted</w:t>
            </w:r>
          </w:p>
        </w:tc>
        <w:tc>
          <w:tcPr>
            <w:tcW w:w="1520" w:type="dxa"/>
            <w:vAlign w:val="bottom"/>
          </w:tcPr>
          <w:p>
            <w:pPr>
              <w:jc w:val="right"/>
              <w:ind w:right="61"/>
              <w:spacing w:after="0"/>
              <w:rPr>
                <w:sz w:val="20"/>
                <w:szCs w:val="20"/>
                <w:color w:val="auto"/>
              </w:rPr>
            </w:pPr>
            <w:r>
              <w:rPr>
                <w:rFonts w:ascii="Arial" w:cs="Arial" w:eastAsia="Arial" w:hAnsi="Arial"/>
                <w:sz w:val="16"/>
                <w:szCs w:val="16"/>
                <w:color w:val="auto"/>
              </w:rPr>
              <w:t>2,071,201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4.86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6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RSUs vested</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(897,871 )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11.74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3,189</w:t>
            </w:r>
          </w:p>
        </w:tc>
      </w:tr>
      <w:tr>
        <w:trPr>
          <w:trHeight w:val="216"/>
        </w:trPr>
        <w:tc>
          <w:tcPr>
            <w:tcW w:w="6580" w:type="dxa"/>
            <w:vAlign w:val="bottom"/>
          </w:tcPr>
          <w:p>
            <w:pPr>
              <w:ind w:left="200"/>
              <w:spacing w:after="0"/>
              <w:rPr>
                <w:sz w:val="20"/>
                <w:szCs w:val="20"/>
                <w:color w:val="auto"/>
              </w:rPr>
            </w:pPr>
            <w:r>
              <w:rPr>
                <w:rFonts w:ascii="Arial" w:cs="Arial" w:eastAsia="Arial" w:hAnsi="Arial"/>
                <w:sz w:val="16"/>
                <w:szCs w:val="16"/>
                <w:color w:val="auto"/>
              </w:rPr>
              <w:t>RSUs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(231,544 )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2022</w:t>
            </w:r>
          </w:p>
        </w:tc>
        <w:tc>
          <w:tcPr>
            <w:tcW w:w="15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2,621,482</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9.33</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5,191</w:t>
            </w:r>
          </w:p>
        </w:tc>
      </w:tr>
      <w:tr>
        <w:trPr>
          <w:trHeight w:val="215"/>
        </w:trPr>
        <w:tc>
          <w:tcPr>
            <w:tcW w:w="6580" w:type="dxa"/>
            <w:vAlign w:val="bottom"/>
          </w:tcPr>
          <w:p>
            <w:pPr>
              <w:ind w:left="200"/>
              <w:spacing w:after="0"/>
              <w:rPr>
                <w:sz w:val="20"/>
                <w:szCs w:val="20"/>
                <w:color w:val="auto"/>
              </w:rPr>
            </w:pPr>
            <w:r>
              <w:rPr>
                <w:rFonts w:ascii="Arial" w:cs="Arial" w:eastAsia="Arial" w:hAnsi="Arial"/>
                <w:sz w:val="16"/>
                <w:szCs w:val="16"/>
                <w:color w:val="auto"/>
              </w:rPr>
              <w:t>RSUs granted</w:t>
            </w:r>
          </w:p>
        </w:tc>
        <w:tc>
          <w:tcPr>
            <w:tcW w:w="1520" w:type="dxa"/>
            <w:vAlign w:val="bottom"/>
          </w:tcPr>
          <w:p>
            <w:pPr>
              <w:jc w:val="right"/>
              <w:ind w:right="61"/>
              <w:spacing w:after="0"/>
              <w:rPr>
                <w:sz w:val="20"/>
                <w:szCs w:val="20"/>
                <w:color w:val="auto"/>
              </w:rPr>
            </w:pPr>
            <w:r>
              <w:rPr>
                <w:rFonts w:ascii="Arial" w:cs="Arial" w:eastAsia="Arial" w:hAnsi="Arial"/>
                <w:sz w:val="16"/>
                <w:szCs w:val="16"/>
                <w:color w:val="auto"/>
              </w:rPr>
              <w:t>24,500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6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RSUs vested</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(839,194 )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9.91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1,520</w:t>
            </w:r>
          </w:p>
        </w:tc>
      </w:tr>
      <w:tr>
        <w:trPr>
          <w:trHeight w:val="216"/>
        </w:trPr>
        <w:tc>
          <w:tcPr>
            <w:tcW w:w="6580" w:type="dxa"/>
            <w:vAlign w:val="bottom"/>
          </w:tcPr>
          <w:p>
            <w:pPr>
              <w:ind w:left="200"/>
              <w:spacing w:after="0"/>
              <w:rPr>
                <w:sz w:val="20"/>
                <w:szCs w:val="20"/>
                <w:color w:val="auto"/>
              </w:rPr>
            </w:pPr>
            <w:r>
              <w:rPr>
                <w:rFonts w:ascii="Arial" w:cs="Arial" w:eastAsia="Arial" w:hAnsi="Arial"/>
                <w:sz w:val="16"/>
                <w:szCs w:val="16"/>
                <w:color w:val="auto"/>
              </w:rPr>
              <w:t>RSUs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(552,962 )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9"/>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Balance—December 31, 2023</w:t>
            </w:r>
          </w:p>
        </w:tc>
        <w:tc>
          <w:tcPr>
            <w:tcW w:w="15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1,253,826</w:t>
            </w:r>
          </w:p>
        </w:tc>
        <w:tc>
          <w:tcPr>
            <w:tcW w:w="3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rPr>
              <w:t>8.99</w:t>
            </w:r>
          </w:p>
        </w:tc>
        <w:tc>
          <w:tcPr>
            <w:tcW w:w="3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rPr>
              <w:t>2,633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1028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1028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6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Company grants RSUs to employees to receive shares of the Company’s common stock. The RSUs awarded are subject to the individual’s continued service to the Company through each applicable vesting date. RSUs granted to new hires generally vest annually over a four-year period. RSUs granted as merit awards generally vest semi-annually over a three- or four-year period. The Company accounts for the fair value of RSUs using the closing market price of the Company’s common stock on the date of grant.</w:t>
      </w:r>
    </w:p>
    <w:p>
      <w:pPr>
        <w:spacing w:after="0" w:line="15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aggregate fair value of unvested RSUs is calculated using the closing price of the Company’s common stock of $2.10 on December 31, 2023. As of December 31, 2023, the unrecognized stock-based compensation cost of unvested RSUs was $9.5 million, which is expected to be recognized over a weighted-average period of 1.87 years.</w:t>
      </w:r>
    </w:p>
    <w:p>
      <w:pPr>
        <w:spacing w:after="0" w:line="13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ESPP Activity and Valuation</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During the years ended December 31, 2023, 2022 and 2021, 999,194, 416,514, and 128,289 shares of common stock were purchased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ESPP, respectively. The fair value of stock purchase rights granted under the ESPP was estimated using the following range of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3"/>
        </w:trPr>
        <w:tc>
          <w:tcPr>
            <w:tcW w:w="6180" w:type="dxa"/>
            <w:vAlign w:val="bottom"/>
          </w:tcPr>
          <w:p>
            <w:pPr>
              <w:spacing w:after="0"/>
              <w:rPr>
                <w:sz w:val="15"/>
                <w:szCs w:val="15"/>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r>
      <w:tr>
        <w:trPr>
          <w:trHeight w:val="209"/>
        </w:trPr>
        <w:tc>
          <w:tcPr>
            <w:tcW w:w="6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term (in years)</w:t>
            </w:r>
          </w:p>
        </w:tc>
        <w:tc>
          <w:tcPr>
            <w:tcW w:w="660" w:type="dxa"/>
            <w:vAlign w:val="bottom"/>
            <w:shd w:val="clear" w:color="auto" w:fill="CFF0FC"/>
          </w:tcPr>
          <w:p>
            <w:pPr>
              <w:spacing w:after="0"/>
              <w:rPr>
                <w:sz w:val="18"/>
                <w:szCs w:val="18"/>
                <w:color w:val="auto"/>
              </w:rPr>
            </w:pPr>
          </w:p>
        </w:tc>
        <w:tc>
          <w:tcPr>
            <w:tcW w:w="940" w:type="dxa"/>
            <w:vAlign w:val="bottom"/>
            <w:shd w:val="clear" w:color="auto" w:fill="CFF0FC"/>
          </w:tcPr>
          <w:p>
            <w:pPr>
              <w:jc w:val="center"/>
              <w:ind w:right="599"/>
              <w:spacing w:after="0"/>
              <w:rPr>
                <w:sz w:val="20"/>
                <w:szCs w:val="20"/>
                <w:color w:val="auto"/>
              </w:rPr>
            </w:pPr>
            <w:r>
              <w:rPr>
                <w:rFonts w:ascii="Arial" w:cs="Arial" w:eastAsia="Arial" w:hAnsi="Arial"/>
                <w:sz w:val="16"/>
                <w:szCs w:val="16"/>
                <w:color w:val="auto"/>
                <w:w w:val="98"/>
              </w:rPr>
              <w:t>0.5</w:t>
            </w:r>
          </w:p>
        </w:tc>
        <w:tc>
          <w:tcPr>
            <w:tcW w:w="1740" w:type="dxa"/>
            <w:vAlign w:val="bottom"/>
            <w:gridSpan w:val="2"/>
            <w:shd w:val="clear" w:color="auto" w:fill="CFF0FC"/>
          </w:tcPr>
          <w:p>
            <w:pPr>
              <w:jc w:val="center"/>
              <w:ind w:left="61"/>
              <w:spacing w:after="0"/>
              <w:rPr>
                <w:sz w:val="20"/>
                <w:szCs w:val="20"/>
                <w:color w:val="auto"/>
              </w:rPr>
            </w:pPr>
            <w:r>
              <w:rPr>
                <w:rFonts w:ascii="Arial" w:cs="Arial" w:eastAsia="Arial" w:hAnsi="Arial"/>
                <w:sz w:val="16"/>
                <w:szCs w:val="16"/>
                <w:color w:val="auto"/>
              </w:rPr>
              <w:t>0.49 - 0.5</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0.49</w:t>
            </w: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660" w:type="dxa"/>
            <w:vAlign w:val="bottom"/>
          </w:tcPr>
          <w:p>
            <w:pPr>
              <w:jc w:val="right"/>
              <w:spacing w:after="0"/>
              <w:rPr>
                <w:sz w:val="20"/>
                <w:szCs w:val="20"/>
                <w:color w:val="auto"/>
              </w:rPr>
            </w:pPr>
            <w:r>
              <w:rPr>
                <w:rFonts w:ascii="Arial" w:cs="Arial" w:eastAsia="Arial" w:hAnsi="Arial"/>
                <w:sz w:val="16"/>
                <w:szCs w:val="16"/>
                <w:color w:val="auto"/>
              </w:rPr>
              <w:t>69.23</w:t>
            </w:r>
          </w:p>
        </w:tc>
        <w:tc>
          <w:tcPr>
            <w:tcW w:w="940" w:type="dxa"/>
            <w:vAlign w:val="bottom"/>
          </w:tcPr>
          <w:p>
            <w:pPr>
              <w:ind w:left="40"/>
              <w:spacing w:after="0"/>
              <w:rPr>
                <w:sz w:val="20"/>
                <w:szCs w:val="20"/>
                <w:color w:val="auto"/>
              </w:rPr>
            </w:pPr>
            <w:r>
              <w:rPr>
                <w:rFonts w:ascii="Arial" w:cs="Arial" w:eastAsia="Arial" w:hAnsi="Arial"/>
                <w:sz w:val="16"/>
                <w:szCs w:val="16"/>
                <w:color w:val="auto"/>
              </w:rPr>
              <w:t>- 84.88%</w:t>
            </w:r>
          </w:p>
        </w:tc>
        <w:tc>
          <w:tcPr>
            <w:tcW w:w="1740" w:type="dxa"/>
            <w:vAlign w:val="bottom"/>
            <w:gridSpan w:val="2"/>
          </w:tcPr>
          <w:p>
            <w:pPr>
              <w:jc w:val="center"/>
              <w:ind w:left="41"/>
              <w:spacing w:after="0"/>
              <w:rPr>
                <w:sz w:val="20"/>
                <w:szCs w:val="20"/>
                <w:color w:val="auto"/>
              </w:rPr>
            </w:pPr>
            <w:r>
              <w:rPr>
                <w:rFonts w:ascii="Arial" w:cs="Arial" w:eastAsia="Arial" w:hAnsi="Arial"/>
                <w:sz w:val="16"/>
                <w:szCs w:val="16"/>
                <w:color w:val="auto"/>
              </w:rPr>
              <w:t>82.35 - 112.07%</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55.92</w:t>
            </w:r>
          </w:p>
        </w:tc>
        <w:tc>
          <w:tcPr>
            <w:tcW w:w="920" w:type="dxa"/>
            <w:vAlign w:val="bottom"/>
          </w:tcPr>
          <w:p>
            <w:pPr>
              <w:ind w:left="20"/>
              <w:spacing w:after="0"/>
              <w:rPr>
                <w:sz w:val="20"/>
                <w:szCs w:val="20"/>
                <w:color w:val="auto"/>
              </w:rPr>
            </w:pPr>
            <w:r>
              <w:rPr>
                <w:rFonts w:ascii="Arial" w:cs="Arial" w:eastAsia="Arial" w:hAnsi="Arial"/>
                <w:sz w:val="16"/>
                <w:szCs w:val="16"/>
                <w:color w:val="auto"/>
              </w:rPr>
              <w:t>- 74.88%</w:t>
            </w:r>
          </w:p>
        </w:tc>
      </w:tr>
      <w:tr>
        <w:trPr>
          <w:trHeight w:val="217"/>
        </w:trPr>
        <w:tc>
          <w:tcPr>
            <w:tcW w:w="6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w:t>
            </w:r>
          </w:p>
        </w:tc>
        <w:tc>
          <w:tcPr>
            <w:tcW w:w="940" w:type="dxa"/>
            <w:vAlign w:val="bottom"/>
            <w:shd w:val="clear" w:color="auto" w:fill="CFF0FC"/>
          </w:tcPr>
          <w:p>
            <w:pPr>
              <w:ind w:left="40"/>
              <w:spacing w:after="0"/>
              <w:rPr>
                <w:sz w:val="20"/>
                <w:szCs w:val="20"/>
                <w:color w:val="auto"/>
              </w:rPr>
            </w:pPr>
            <w:r>
              <w:rPr>
                <w:rFonts w:ascii="Arial" w:cs="Arial" w:eastAsia="Arial" w:hAnsi="Arial"/>
                <w:sz w:val="16"/>
                <w:szCs w:val="16"/>
                <w:color w:val="auto"/>
              </w:rPr>
              <w:t>- 5.51%</w:t>
            </w:r>
          </w:p>
        </w:tc>
        <w:tc>
          <w:tcPr>
            <w:tcW w:w="1740" w:type="dxa"/>
            <w:vAlign w:val="bottom"/>
            <w:gridSpan w:val="2"/>
            <w:shd w:val="clear" w:color="auto" w:fill="CFF0FC"/>
          </w:tcPr>
          <w:p>
            <w:pPr>
              <w:jc w:val="center"/>
              <w:ind w:left="61"/>
              <w:spacing w:after="0"/>
              <w:rPr>
                <w:sz w:val="20"/>
                <w:szCs w:val="20"/>
                <w:color w:val="auto"/>
              </w:rPr>
            </w:pPr>
            <w:r>
              <w:rPr>
                <w:rFonts w:ascii="Arial" w:cs="Arial" w:eastAsia="Arial" w:hAnsi="Arial"/>
                <w:sz w:val="16"/>
                <w:szCs w:val="16"/>
                <w:color w:val="auto"/>
              </w:rPr>
              <w:t>1.49 - 4.58%</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0.04</w:t>
            </w:r>
          </w:p>
        </w:tc>
        <w:tc>
          <w:tcPr>
            <w:tcW w:w="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- 0.06%</w:t>
            </w: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660" w:type="dxa"/>
            <w:vAlign w:val="bottom"/>
          </w:tcPr>
          <w:p>
            <w:pPr>
              <w:spacing w:after="0"/>
              <w:rPr>
                <w:sz w:val="18"/>
                <w:szCs w:val="18"/>
                <w:color w:val="auto"/>
              </w:rPr>
            </w:pPr>
          </w:p>
        </w:tc>
        <w:tc>
          <w:tcPr>
            <w:tcW w:w="940" w:type="dxa"/>
            <w:vAlign w:val="bottom"/>
          </w:tcPr>
          <w:p>
            <w:pPr>
              <w:jc w:val="center"/>
              <w:ind w:right="5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920" w:type="dxa"/>
            <w:vAlign w:val="bottom"/>
          </w:tcPr>
          <w:p>
            <w:pPr>
              <w:jc w:val="center"/>
              <w:ind w:right="599"/>
              <w:spacing w:after="0"/>
              <w:rPr>
                <w:sz w:val="20"/>
                <w:szCs w:val="20"/>
                <w:color w:val="auto"/>
              </w:rPr>
            </w:pPr>
            <w:r>
              <w:rPr>
                <w:rFonts w:ascii="Arial" w:cs="Arial" w:eastAsia="Arial" w:hAnsi="Arial"/>
                <w:sz w:val="16"/>
                <w:szCs w:val="16"/>
                <w:color w:val="auto"/>
              </w:rPr>
              <w:t>–%</w:t>
            </w:r>
          </w:p>
        </w:tc>
      </w:tr>
      <w:tr>
        <w:trPr>
          <w:trHeight w:val="217"/>
        </w:trPr>
        <w:tc>
          <w:tcPr>
            <w:tcW w:w="6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Fair value</w:t>
            </w: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$0.33 - $0.91</w:t>
            </w:r>
          </w:p>
        </w:tc>
        <w:tc>
          <w:tcPr>
            <w:tcW w:w="1740" w:type="dxa"/>
            <w:vAlign w:val="bottom"/>
            <w:gridSpan w:val="2"/>
            <w:shd w:val="clear" w:color="auto" w:fill="CFF0FC"/>
          </w:tcPr>
          <w:p>
            <w:pPr>
              <w:jc w:val="center"/>
              <w:ind w:left="61"/>
              <w:spacing w:after="0"/>
              <w:rPr>
                <w:sz w:val="20"/>
                <w:szCs w:val="20"/>
                <w:color w:val="auto"/>
              </w:rPr>
            </w:pPr>
            <w:r>
              <w:rPr>
                <w:rFonts w:ascii="Arial" w:cs="Arial" w:eastAsia="Arial" w:hAnsi="Arial"/>
                <w:sz w:val="16"/>
                <w:szCs w:val="16"/>
                <w:color w:val="auto"/>
              </w:rPr>
              <w:t>$1.26 - $2.23</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$6.30 - $8.21</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1,761</w:t>
            </w:r>
          </w:p>
        </w:tc>
        <w:tc>
          <w:tcPr>
            <w:tcW w:w="560" w:type="dxa"/>
            <w:vAlign w:val="bottom"/>
            <w:gridSpan w:val="4"/>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1,922</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1,414</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5,256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4,064</w:t>
            </w:r>
          </w:p>
        </w:tc>
      </w:tr>
      <w:tr>
        <w:trPr>
          <w:trHeight w:val="21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7,420</w:t>
            </w: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12,255</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8,900</w:t>
            </w:r>
          </w:p>
        </w:tc>
      </w:tr>
      <w:tr>
        <w:trPr>
          <w:trHeight w:val="210"/>
        </w:trPr>
        <w:tc>
          <w:tcPr>
            <w:tcW w:w="6640" w:type="dxa"/>
            <w:vAlign w:val="bottom"/>
          </w:tcPr>
          <w:p>
            <w:pPr>
              <w:ind w:left="20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14,051</w:t>
            </w: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19,433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14,378</w:t>
            </w:r>
          </w:p>
        </w:tc>
      </w:tr>
      <w:tr>
        <w:trPr>
          <w:trHeight w:val="20"/>
        </w:trPr>
        <w:tc>
          <w:tcPr>
            <w:tcW w:w="66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70"/>
        </w:trPr>
        <w:tc>
          <w:tcPr>
            <w:tcW w:w="7980" w:type="dxa"/>
            <w:vAlign w:val="bottom"/>
            <w:gridSpan w:val="3"/>
          </w:tcPr>
          <w:p>
            <w:pPr>
              <w:jc w:val="right"/>
              <w:ind w:right="201"/>
              <w:spacing w:after="0"/>
              <w:rPr>
                <w:sz w:val="20"/>
                <w:szCs w:val="20"/>
                <w:color w:val="auto"/>
              </w:rPr>
            </w:pPr>
            <w:r>
              <w:rPr>
                <w:rFonts w:ascii="Arial" w:cs="Arial" w:eastAsia="Arial" w:hAnsi="Arial"/>
                <w:sz w:val="16"/>
                <w:szCs w:val="16"/>
                <w:color w:val="auto"/>
              </w:rPr>
              <w:t>The following is a summary of stock-based compensation expense by award type (in thousands):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7"/>
        </w:trPr>
        <w:tc>
          <w:tcPr>
            <w:tcW w:w="6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options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5,746</w:t>
            </w:r>
          </w:p>
        </w:tc>
        <w:tc>
          <w:tcPr>
            <w:tcW w:w="560" w:type="dxa"/>
            <w:vAlign w:val="bottom"/>
            <w:gridSpan w:val="4"/>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8,560</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8,585</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RSUs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9,990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4,765</w:t>
            </w:r>
          </w:p>
        </w:tc>
      </w:tr>
      <w:tr>
        <w:trPr>
          <w:trHeight w:val="21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ESPP</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883</w:t>
            </w: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1,028</w:t>
            </w:r>
          </w:p>
        </w:tc>
      </w:tr>
      <w:tr>
        <w:trPr>
          <w:trHeight w:val="210"/>
        </w:trPr>
        <w:tc>
          <w:tcPr>
            <w:tcW w:w="6640" w:type="dxa"/>
            <w:vAlign w:val="bottom"/>
          </w:tcPr>
          <w:p>
            <w:pPr>
              <w:ind w:left="20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14,051</w:t>
            </w:r>
          </w:p>
        </w:tc>
        <w:tc>
          <w:tcPr>
            <w:tcW w:w="5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19,433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14,378</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-1370965</wp:posOffset>
            </wp:positionV>
            <wp:extent cx="9461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-1370965</wp:posOffset>
            </wp:positionV>
            <wp:extent cx="946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Commitments and Contingencies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17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On August 2, 2022, the Company filed a complaint in the U.S. District Court for the District of Colorado (the "District Court") against Foresight Diagnostics Inc. (“Foresight”) for patent infringement. The complaint is based on the Company’s U.S. Patent No. 10,450,611 (the “’611 Patent”), entitled “Personalized Genetic Testing,” our U.S. Patent No. 11,299,783 (the “’783 Patent”), entitled “Methods and Systems For Genetic Analysis,” and our U.S. Patent No. 11,384,394 (the “’394 Patent”), entitled “Methods and Systems for Genetic Analysis.” The ‘611 Patent was granted on October 22, 2019, and relates to methods for personalized genetic testing by performance of sequencing assays on biological samples. The ‘783 Patent was granted on April 12, 2022, and relates to methods for sample processing and data analysis by performance of sequencing assays on biological samples that can aid in the diagnosis, monitoring, treatment, and prevention of one or more diseases. The ‘394 Patent was granted on July 12, 2022, and relates to methods for sample processing and analysis to aid in the diagnosis, monitoring, treatment, and prevention of disease. On August 17, 2022, the Company filed an amended complaint for patent infringement against Foresight. The amended complaint added our U.S. Patent No. 11,408,033 (the “’033 Patent”), entitled “Methods and Systems for Genetic Analysis.” The ‘033 Patent was granted on August 9, 2022, and relates to methods for sample processing and analysis to aid in the diagnosis, monitoring, treatment, and prevention of disease. The Company is seeking remedies including injunctive relief, damages and costs. On October 12, 2022, Foresight filed its answer and counterclaims in the matter, seeking declaratory judgment and alleging that its solid tumor recurrence test does not infringe the Company’s asserted patents and that the claims of our asserted patents are invalid and/or unenforceable. On November 2, 2022, the Company filed its answer to Foresight’s counterclaims. The Company intends to vigorously defend against these counterclaims.</w:t>
      </w:r>
    </w:p>
    <w:p>
      <w:pPr>
        <w:spacing w:after="0" w:line="14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 xml:space="preserve">Between November 30, 2022 and February 10, 2023, inclusive, Foresight filed four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petitions with the USPTO, seeking to invalidate the four patents that we are asserting against Foresight in our first patent infringement action. Also on November 30, 2022, Foresight filed a motion to stay our first patent infringement action in the District Court pending the resolution of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that Foresight has requested. On January 24, 2023, the District Court granted Foresight’s motion to stay. On June 13, 2023, the USPTO issued decisions granting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of the '394 and '033 Patents. On August 8, 2023, the USPTO issued decisions granting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of the '611 and '783 Patents.</w:t>
      </w:r>
    </w:p>
    <w:p>
      <w:pPr>
        <w:spacing w:after="0" w:line="15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On June 26, 2023, the Company filed a second complaint in the District Court against Foresight for patent infringement. The complaint is based on the Company’s U.S. Patent No. 11,584,968 (the “’968 Patent”), entitled “Methods For Using Mosaicism in Nucleic Acids Sampled Distal to Their Origin,” our U.S. Patent No. 11,649,507 (the “’507 Patent”), entitled “Methods for Using Mosaicism in</w:t>
      </w:r>
    </w:p>
    <w:p>
      <w:pPr>
        <w:sectPr>
          <w:pgSz w:w="11900" w:h="16838" w:orient="portrait"/>
          <w:cols w:equalWidth="0" w:num="1">
            <w:col w:w="11240"/>
          </w:cols>
          <w:pgMar w:left="320" w:top="778"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Nucleic Acids Sampled Distal to Their Origin,” and our U.S. Patent No. 11,643,685 (the “’685 Patent”), entitled “Methods and Systems For Genetic Analysis.” The ’968 Patent was granted on February 21, 2023, and relates to methods for improving detection and monitoring of human diseases. The ’507 Patent was granted on May 16, 2023, and relates to methods for detection and monitoring of human disease by providing spatial or developmental localization of mutations within the body which is used in monitoring states of health in tissues of the body. The ’685 Patent was granted on May 9, 2023, and relates to methods for sample processing and analysis to aid in the diagnosis, monitoring, treatment, and prevention of disease. The Company is seeking remedies including injunctive relief, damages and costs. On August 10, 2023, Foresight filed a motion to dismiss the Company’s second complaint. On August 31, 2023, the Company filed a response to Foresight’s motion and also filed an amended complaint. On September 6, 2023, the District Court denied Foresight’s motion as moot in light of the Company’s amended complaint. On September 14, 2023, Foresight filed its answer and counterclaims in the matter, seeking declaratory judgment and alleging that its solid tumor recurrence test does not infringe the Company’s asserted patents in the Company’s second patent infringement action and that the Company’s asserted patents in that action are invalid and/or unenforceable. On October 5, 2023, the Company filed its answer to Foresight’s counterclaims. The Company intends to vigorously defend against these counterclaims.</w:t>
      </w:r>
    </w:p>
    <w:p>
      <w:pPr>
        <w:spacing w:after="0" w:line="16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 xml:space="preserve">On October 20, 2023, Foresight filed a motion to consolidate the Company’s two patent infringement actions in the District Court, and if consolidated, to maintain the stay as to all of the Company’s asserted patents pending the resolution of the first four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and the three additional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petitions that Foresight has alleged it will file as soon as it is permitted by statute to do so, seeking to invalidate the three patents that the Company is asserting against Foresight in the Company’s second patent infringement action. The Company filed its opposition to Foresight’s motion to consolidate and stay the infringement actions on November 8, 2023. On November 22, 2023, Foresight filed its fifth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petition with the USPTO, seeking to invalidate the ’968 Patent that we are asserting against Foresight in our second patent infringement action. On January 23, 2024, the District Court granted Foresight’s motion to consolidate and stay our two infringement actions against Foresight. The USPTO has yet to issue a decision regarding whether it will institute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of our ’968 Patent.</w:t>
      </w:r>
    </w:p>
    <w:p>
      <w:pPr>
        <w:spacing w:after="0" w:line="14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Litigation is inherently unpredictable, and, except for events that have already occurred, it is too early in the foregoing proceedings to predict the outcome of these proceedings, or any impact they may have on us. As such, the estimated financial effect associated with this complaint cannot be made as of the date of filing of this Annual Report on Form 10-K. Litigation is a significant ongoing expense with an uncertain outcome and may in the future be a material expense for us. Management believes this investment is important to protect our intellectual property position, even recognizing the uncertainty of the outcome.</w:t>
      </w:r>
    </w:p>
    <w:p>
      <w:pPr>
        <w:spacing w:after="0" w:line="13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is also subject to claims and assessments from time to time in the ordinary course of business. Accruals for litigation and loss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Except for the matter described in the first four paragraphs of this Note 11, as of December 31, 2023, the Company was not involved in any material legal proceedings.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Basic and Diluted Net Loss Per Common Share</w:t>
      </w:r>
    </w:p>
    <w:p>
      <w:pPr>
        <w:spacing w:after="0" w:line="19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stock options, assumed release of outstanding RSUs, assumed issuance of common stock under the ESPP, and the assumed exercise of Tempus Warrants. The Company incurred net losses in the periods presented, and as a result, potential common shares from stock options, RSUs, ESPP issuances, and the Tempus Warrants were not included in the diluted shares used to calculate net loss per share, as their inclusion would have been anti-dilutive.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8"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following table sets forth the computation of basic and diluted net loss per share attributable to common stockholders (in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(108,296 )</w:t>
            </w:r>
          </w:p>
        </w:tc>
        <w:tc>
          <w:tcPr>
            <w:tcW w:w="4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(113,315 )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(65,226 )</w:t>
            </w:r>
          </w:p>
        </w:tc>
      </w:tr>
      <w:tr>
        <w:trPr>
          <w:trHeight w:val="215"/>
        </w:trPr>
        <w:tc>
          <w:tcPr>
            <w:tcW w:w="6640" w:type="dxa"/>
            <w:vAlign w:val="bottom"/>
          </w:tcPr>
          <w:p>
            <w:pPr>
              <w:ind w:left="200"/>
              <w:spacing w:after="0"/>
              <w:rPr>
                <w:sz w:val="20"/>
                <w:szCs w:val="20"/>
                <w:color w:val="auto"/>
              </w:rPr>
            </w:pPr>
            <w:r>
              <w:rPr>
                <w:rFonts w:ascii="Arial" w:cs="Arial" w:eastAsia="Arial" w:hAnsi="Arial"/>
                <w:sz w:val="16"/>
                <w:szCs w:val="16"/>
                <w:color w:val="auto"/>
              </w:rPr>
              <w:t>Weighted-average common shares outstanding—basic and diluted</w:t>
            </w:r>
          </w:p>
        </w:tc>
        <w:tc>
          <w:tcPr>
            <w:tcW w:w="300" w:type="dxa"/>
            <w:vAlign w:val="bottom"/>
          </w:tcPr>
          <w:p>
            <w:pPr>
              <w:spacing w:after="0"/>
              <w:rPr>
                <w:sz w:val="18"/>
                <w:szCs w:val="18"/>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color w:val="auto"/>
              </w:rPr>
              <w:t>48,175,201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45,704,805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43,886,730</w:t>
            </w:r>
          </w:p>
        </w:tc>
      </w:tr>
      <w:tr>
        <w:trPr>
          <w:trHeight w:val="25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 per common share—basic and diluted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(2.48 )</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9461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946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946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946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table sets forth the potentially dilutive shares excluded from the computation of diluted net loss per common share because their effect was anti-dilutive: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tcBorders>
              <w:bottom w:val="single" w:sz="8" w:color="auto"/>
            </w:tcBorders>
          </w:tcPr>
          <w:p>
            <w:pPr>
              <w:spacing w:after="0"/>
              <w:rPr>
                <w:sz w:val="16"/>
                <w:szCs w:val="16"/>
                <w:color w:val="auto"/>
              </w:rPr>
            </w:pPr>
          </w:p>
        </w:tc>
      </w:tr>
      <w:tr>
        <w:trPr>
          <w:trHeight w:val="183"/>
        </w:trPr>
        <w:tc>
          <w:tcPr>
            <w:tcW w:w="6580" w:type="dxa"/>
            <w:vAlign w:val="bottom"/>
          </w:tcPr>
          <w:p>
            <w:pPr>
              <w:spacing w:after="0"/>
              <w:rPr>
                <w:sz w:val="15"/>
                <w:szCs w:val="15"/>
                <w:color w:val="auto"/>
              </w:rPr>
            </w:pPr>
          </w:p>
        </w:tc>
        <w:tc>
          <w:tcPr>
            <w:tcW w:w="13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r>
      <w:tr>
        <w:trPr>
          <w:trHeight w:val="210"/>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Tempus Warrants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9,218,800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Options to purchase common stock</w:t>
            </w:r>
          </w:p>
        </w:tc>
        <w:tc>
          <w:tcPr>
            <w:tcW w:w="1380" w:type="dxa"/>
            <w:vAlign w:val="bottom"/>
          </w:tcPr>
          <w:p>
            <w:pPr>
              <w:jc w:val="right"/>
              <w:spacing w:after="0"/>
              <w:rPr>
                <w:sz w:val="20"/>
                <w:szCs w:val="20"/>
                <w:color w:val="auto"/>
              </w:rPr>
            </w:pPr>
            <w:r>
              <w:rPr>
                <w:rFonts w:ascii="Arial" w:cs="Arial" w:eastAsia="Arial" w:hAnsi="Arial"/>
                <w:sz w:val="16"/>
                <w:szCs w:val="16"/>
                <w:color w:val="auto"/>
              </w:rPr>
              <w:t>5,805,586</w:t>
            </w:r>
          </w:p>
        </w:tc>
        <w:tc>
          <w:tcPr>
            <w:tcW w:w="1700" w:type="dxa"/>
            <w:vAlign w:val="bottom"/>
            <w:gridSpan w:val="3"/>
          </w:tcPr>
          <w:p>
            <w:pPr>
              <w:jc w:val="right"/>
              <w:ind w:right="41"/>
              <w:spacing w:after="0"/>
              <w:rPr>
                <w:sz w:val="20"/>
                <w:szCs w:val="20"/>
                <w:color w:val="auto"/>
              </w:rPr>
            </w:pPr>
            <w:r>
              <w:rPr>
                <w:rFonts w:ascii="Arial" w:cs="Arial" w:eastAsia="Arial" w:hAnsi="Arial"/>
                <w:sz w:val="16"/>
                <w:szCs w:val="16"/>
                <w:color w:val="auto"/>
              </w:rPr>
              <w:t>5,872,132</w:t>
            </w:r>
          </w:p>
        </w:tc>
        <w:tc>
          <w:tcPr>
            <w:tcW w:w="100" w:type="dxa"/>
            <w:vAlign w:val="bottom"/>
          </w:tcPr>
          <w:p>
            <w:pPr>
              <w:spacing w:after="0"/>
              <w:rPr>
                <w:sz w:val="18"/>
                <w:szCs w:val="18"/>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5,423,419</w:t>
            </w:r>
          </w:p>
        </w:tc>
      </w:tr>
      <w:tr>
        <w:trPr>
          <w:trHeight w:val="217"/>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Unvested RSUs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1,253,826</w:t>
            </w:r>
          </w:p>
        </w:tc>
        <w:tc>
          <w:tcPr>
            <w:tcW w:w="1700" w:type="dxa"/>
            <w:vAlign w:val="bottom"/>
            <w:gridSpan w:val="3"/>
            <w:shd w:val="clear" w:color="auto" w:fill="CFF0FC"/>
          </w:tcPr>
          <w:p>
            <w:pPr>
              <w:jc w:val="right"/>
              <w:ind w:right="41"/>
              <w:spacing w:after="0"/>
              <w:rPr>
                <w:sz w:val="20"/>
                <w:szCs w:val="20"/>
                <w:color w:val="auto"/>
              </w:rPr>
            </w:pPr>
            <w:r>
              <w:rPr>
                <w:rFonts w:ascii="Arial" w:cs="Arial" w:eastAsia="Arial" w:hAnsi="Arial"/>
                <w:sz w:val="16"/>
                <w:szCs w:val="16"/>
                <w:color w:val="auto"/>
              </w:rPr>
              <w:t>2,621,482</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1,679,696</w:t>
            </w:r>
          </w:p>
        </w:tc>
      </w:tr>
      <w:tr>
        <w:trPr>
          <w:trHeight w:val="216"/>
        </w:trPr>
        <w:tc>
          <w:tcPr>
            <w:tcW w:w="6580" w:type="dxa"/>
            <w:vAlign w:val="bottom"/>
          </w:tcPr>
          <w:p>
            <w:pPr>
              <w:ind w:left="20"/>
              <w:spacing w:after="0"/>
              <w:rPr>
                <w:sz w:val="20"/>
                <w:szCs w:val="20"/>
                <w:color w:val="auto"/>
              </w:rPr>
            </w:pPr>
            <w:r>
              <w:rPr>
                <w:rFonts w:ascii="Arial" w:cs="Arial" w:eastAsia="Arial" w:hAnsi="Arial"/>
                <w:sz w:val="16"/>
                <w:szCs w:val="16"/>
                <w:color w:val="auto"/>
              </w:rPr>
              <w:t>ESPP</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513,881</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627,740</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87,367</w:t>
            </w:r>
          </w:p>
        </w:tc>
      </w:tr>
      <w:tr>
        <w:trPr>
          <w:trHeight w:val="250"/>
        </w:trPr>
        <w:tc>
          <w:tcPr>
            <w:tcW w:w="6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16,792,093</w:t>
            </w: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9,121,354</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7,190,482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Income Taxes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financial reporting purposes, loss before income taxes includes the following components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Domestic</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(106,833 )</w:t>
            </w:r>
          </w:p>
        </w:tc>
        <w:tc>
          <w:tcPr>
            <w:tcW w:w="44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(113,558 )</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(65,415 )</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(1,380 )</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203</w:t>
            </w:r>
          </w:p>
        </w:tc>
      </w:tr>
      <w:tr>
        <w:trPr>
          <w:trHeight w:val="250"/>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before income taxes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(108,213 )</w:t>
            </w:r>
          </w:p>
        </w:tc>
        <w:tc>
          <w:tcPr>
            <w:tcW w:w="44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(113,275 )</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(65,212 )</w:t>
            </w:r>
          </w:p>
        </w:tc>
      </w:tr>
      <w:tr>
        <w:trPr>
          <w:trHeight w:val="384"/>
        </w:trPr>
        <w:tc>
          <w:tcPr>
            <w:tcW w:w="6640" w:type="dxa"/>
            <w:vAlign w:val="bottom"/>
            <w:tcBorders>
              <w:top w:val="single" w:sz="8" w:color="CFF0FC"/>
            </w:tcBorders>
          </w:tcPr>
          <w:p>
            <w:pPr>
              <w:spacing w:after="0"/>
              <w:rPr>
                <w:sz w:val="20"/>
                <w:szCs w:val="20"/>
                <w:color w:val="auto"/>
              </w:rPr>
            </w:pPr>
            <w:r>
              <w:rPr>
                <w:rFonts w:ascii="Arial" w:cs="Arial" w:eastAsia="Arial" w:hAnsi="Arial"/>
                <w:sz w:val="16"/>
                <w:szCs w:val="16"/>
                <w:i w:val="1"/>
                <w:iCs w:val="1"/>
                <w:color w:val="auto"/>
              </w:rPr>
              <w:t>Provision for Income Taxes</w:t>
            </w: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364"/>
        </w:trPr>
        <w:tc>
          <w:tcPr>
            <w:tcW w:w="6640" w:type="dxa"/>
            <w:vAlign w:val="bottom"/>
          </w:tcPr>
          <w:p>
            <w:pPr>
              <w:ind w:left="760"/>
              <w:spacing w:after="0"/>
              <w:rPr>
                <w:sz w:val="20"/>
                <w:szCs w:val="20"/>
                <w:color w:val="auto"/>
              </w:rPr>
            </w:pPr>
            <w:r>
              <w:rPr>
                <w:rFonts w:ascii="Arial" w:cs="Arial" w:eastAsia="Arial" w:hAnsi="Arial"/>
                <w:sz w:val="16"/>
                <w:szCs w:val="16"/>
                <w:color w:val="auto"/>
              </w:rPr>
              <w:t>The provision for income taxes consists of the following (in thousands):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7"/>
        </w:trPr>
        <w:tc>
          <w:tcPr>
            <w:tcW w:w="6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Current: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Federal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(9 )</w:t>
            </w:r>
          </w:p>
        </w:tc>
        <w:tc>
          <w:tcPr>
            <w:tcW w:w="44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17"/>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State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5</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66</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w:t>
            </w:r>
          </w:p>
        </w:tc>
      </w:tr>
      <w:tr>
        <w:trPr>
          <w:trHeight w:val="20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current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71</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43</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Deferred:</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54</w:t>
            </w: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(31 )</w:t>
            </w: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(29 )</w:t>
            </w:r>
          </w:p>
        </w:tc>
      </w:tr>
      <w:tr>
        <w:trPr>
          <w:trHeight w:val="210"/>
        </w:trPr>
        <w:tc>
          <w:tcPr>
            <w:tcW w:w="6640" w:type="dxa"/>
            <w:vAlign w:val="bottom"/>
          </w:tcPr>
          <w:p>
            <w:pPr>
              <w:ind w:left="200"/>
              <w:spacing w:after="0"/>
              <w:rPr>
                <w:sz w:val="20"/>
                <w:szCs w:val="20"/>
                <w:color w:val="auto"/>
              </w:rPr>
            </w:pPr>
            <w:r>
              <w:rPr>
                <w:rFonts w:ascii="Arial" w:cs="Arial" w:eastAsia="Arial" w:hAnsi="Arial"/>
                <w:sz w:val="16"/>
                <w:szCs w:val="16"/>
                <w:color w:val="auto"/>
              </w:rPr>
              <w:t>Total deferred</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r>
      <w:tr>
        <w:trPr>
          <w:trHeight w:val="250"/>
        </w:trPr>
        <w:tc>
          <w:tcPr>
            <w:tcW w:w="6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83</w:t>
            </w:r>
          </w:p>
        </w:tc>
        <w:tc>
          <w:tcPr>
            <w:tcW w:w="160" w:type="dxa"/>
            <w:vAlign w:val="bottom"/>
            <w:tcBorders>
              <w:bottom w:val="single" w:sz="8" w:color="CFF0FC"/>
            </w:tcBorders>
            <w:gridSpan w:val="2"/>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40</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-2167890</wp:posOffset>
            </wp:positionV>
            <wp:extent cx="946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-2150745</wp:posOffset>
            </wp:positionV>
            <wp:extent cx="946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-2167890</wp:posOffset>
            </wp:positionV>
            <wp:extent cx="946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-2150745</wp:posOffset>
            </wp:positionV>
            <wp:extent cx="946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-316865</wp:posOffset>
            </wp:positionV>
            <wp:extent cx="1028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-316865</wp:posOffset>
            </wp:positionV>
            <wp:extent cx="939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1028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939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6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Income tax provision related to continuing operations differ from the amounts computed by applying the statutory income tax rate of 21% to pretax loss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1180" w:type="dxa"/>
            <w:vAlign w:val="bottom"/>
            <w:tcBorders>
              <w:bottom w:val="single" w:sz="8" w:color="auto"/>
            </w:tcBorders>
          </w:tcPr>
          <w:p>
            <w:pPr>
              <w:jc w:val="center"/>
              <w:ind w:left="180"/>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2021</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tax (benefit) at federal statutory rate</w:t>
            </w:r>
          </w:p>
        </w:tc>
        <w:tc>
          <w:tcPr>
            <w:tcW w:w="1180" w:type="dxa"/>
            <w:vAlign w:val="bottom"/>
            <w:shd w:val="clear" w:color="auto" w:fill="CFF0FC"/>
          </w:tcPr>
          <w:p>
            <w:pPr>
              <w:jc w:val="center"/>
              <w:ind w:left="180"/>
              <w:spacing w:after="0"/>
              <w:rPr>
                <w:sz w:val="20"/>
                <w:szCs w:val="20"/>
                <w:color w:val="auto"/>
              </w:rPr>
            </w:pPr>
            <w:r>
              <w:rPr>
                <w:rFonts w:ascii="Arial" w:cs="Arial" w:eastAsia="Arial" w:hAnsi="Arial"/>
                <w:sz w:val="16"/>
                <w:szCs w:val="16"/>
                <w:color w:val="auto"/>
              </w:rPr>
              <w:t>(21%)</w:t>
            </w:r>
          </w:p>
        </w:tc>
        <w:tc>
          <w:tcPr>
            <w:tcW w:w="1840" w:type="dxa"/>
            <w:vAlign w:val="bottom"/>
            <w:gridSpan w:val="3"/>
            <w:shd w:val="clear" w:color="auto" w:fill="CFF0FC"/>
          </w:tcPr>
          <w:p>
            <w:pPr>
              <w:jc w:val="center"/>
              <w:ind w:left="321"/>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center"/>
              <w:ind w:right="180"/>
              <w:spacing w:after="0"/>
              <w:rPr>
                <w:sz w:val="20"/>
                <w:szCs w:val="20"/>
                <w:color w:val="auto"/>
              </w:rPr>
            </w:pPr>
            <w:r>
              <w:rPr>
                <w:rFonts w:ascii="Arial" w:cs="Arial" w:eastAsia="Arial" w:hAnsi="Arial"/>
                <w:sz w:val="16"/>
                <w:szCs w:val="16"/>
                <w:color w:val="auto"/>
              </w:rPr>
              <w:t>(21%)</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Effect of:</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State taxes</w:t>
            </w:r>
          </w:p>
        </w:tc>
        <w:tc>
          <w:tcPr>
            <w:tcW w:w="1180" w:type="dxa"/>
            <w:vAlign w:val="bottom"/>
            <w:shd w:val="clear" w:color="auto" w:fill="CFF0FC"/>
          </w:tcPr>
          <w:p>
            <w:pPr>
              <w:jc w:val="center"/>
              <w:ind w:left="160"/>
              <w:spacing w:after="0"/>
              <w:rPr>
                <w:sz w:val="20"/>
                <w:szCs w:val="20"/>
                <w:color w:val="auto"/>
              </w:rPr>
            </w:pPr>
            <w:r>
              <w:rPr>
                <w:rFonts w:ascii="Arial" w:cs="Arial" w:eastAsia="Arial" w:hAnsi="Arial"/>
                <w:sz w:val="16"/>
                <w:szCs w:val="16"/>
                <w:color w:val="auto"/>
              </w:rPr>
              <w:t>(7%)</w:t>
            </w:r>
          </w:p>
        </w:tc>
        <w:tc>
          <w:tcPr>
            <w:tcW w:w="1840" w:type="dxa"/>
            <w:vAlign w:val="bottom"/>
            <w:gridSpan w:val="3"/>
            <w:shd w:val="clear" w:color="auto" w:fill="CFF0FC"/>
          </w:tcPr>
          <w:p>
            <w:pPr>
              <w:jc w:val="center"/>
              <w:ind w:left="341"/>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center"/>
              <w:ind w:right="160"/>
              <w:spacing w:after="0"/>
              <w:rPr>
                <w:sz w:val="20"/>
                <w:szCs w:val="20"/>
                <w:color w:val="auto"/>
              </w:rPr>
            </w:pPr>
            <w:r>
              <w:rPr>
                <w:rFonts w:ascii="Arial" w:cs="Arial" w:eastAsia="Arial" w:hAnsi="Arial"/>
                <w:sz w:val="16"/>
                <w:szCs w:val="16"/>
                <w:color w:val="auto"/>
              </w:rPr>
              <w:t>(9%)</w:t>
            </w:r>
          </w:p>
        </w:tc>
      </w:tr>
      <w:tr>
        <w:trPr>
          <w:trHeight w:val="215"/>
        </w:trPr>
        <w:tc>
          <w:tcPr>
            <w:tcW w:w="6640" w:type="dxa"/>
            <w:vAlign w:val="bottom"/>
          </w:tcPr>
          <w:p>
            <w:pPr>
              <w:ind w:left="200"/>
              <w:spacing w:after="0"/>
              <w:rPr>
                <w:sz w:val="20"/>
                <w:szCs w:val="20"/>
                <w:color w:val="auto"/>
              </w:rPr>
            </w:pPr>
            <w:r>
              <w:rPr>
                <w:rFonts w:ascii="Arial" w:cs="Arial" w:eastAsia="Arial" w:hAnsi="Arial"/>
                <w:sz w:val="16"/>
                <w:szCs w:val="16"/>
                <w:color w:val="auto"/>
              </w:rPr>
              <w:t>Change in valuation allowance</w:t>
            </w:r>
          </w:p>
        </w:tc>
        <w:tc>
          <w:tcPr>
            <w:tcW w:w="1180" w:type="dxa"/>
            <w:vAlign w:val="bottom"/>
          </w:tcPr>
          <w:p>
            <w:pPr>
              <w:jc w:val="center"/>
              <w:ind w:left="180"/>
              <w:spacing w:after="0"/>
              <w:rPr>
                <w:sz w:val="20"/>
                <w:szCs w:val="20"/>
                <w:color w:val="auto"/>
              </w:rPr>
            </w:pPr>
            <w:r>
              <w:rPr>
                <w:rFonts w:ascii="Arial" w:cs="Arial" w:eastAsia="Arial" w:hAnsi="Arial"/>
                <w:sz w:val="16"/>
                <w:szCs w:val="16"/>
                <w:color w:val="auto"/>
                <w:w w:val="99"/>
              </w:rPr>
              <w:t>26%</w:t>
            </w:r>
          </w:p>
        </w:tc>
        <w:tc>
          <w:tcPr>
            <w:tcW w:w="1840" w:type="dxa"/>
            <w:vAlign w:val="bottom"/>
            <w:gridSpan w:val="3"/>
          </w:tcPr>
          <w:p>
            <w:pPr>
              <w:jc w:val="center"/>
              <w:ind w:left="321"/>
              <w:spacing w:after="0"/>
              <w:rPr>
                <w:sz w:val="20"/>
                <w:szCs w:val="20"/>
                <w:color w:val="auto"/>
              </w:rPr>
            </w:pPr>
            <w:r>
              <w:rPr>
                <w:rFonts w:ascii="Arial" w:cs="Arial" w:eastAsia="Arial" w:hAnsi="Arial"/>
                <w:sz w:val="16"/>
                <w:szCs w:val="16"/>
                <w:color w:val="auto"/>
                <w:w w:val="99"/>
              </w:rPr>
              <w:t>28%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180"/>
              <w:spacing w:after="0"/>
              <w:rPr>
                <w:sz w:val="20"/>
                <w:szCs w:val="20"/>
                <w:color w:val="auto"/>
              </w:rPr>
            </w:pPr>
            <w:r>
              <w:rPr>
                <w:rFonts w:ascii="Arial" w:cs="Arial" w:eastAsia="Arial" w:hAnsi="Arial"/>
                <w:sz w:val="16"/>
                <w:szCs w:val="16"/>
                <w:color w:val="auto"/>
                <w:w w:val="99"/>
              </w:rPr>
              <w:t>36%</w:t>
            </w:r>
          </w:p>
        </w:tc>
      </w:tr>
      <w:tr>
        <w:trPr>
          <w:trHeight w:val="217"/>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1180" w:type="dxa"/>
            <w:vAlign w:val="bottom"/>
            <w:shd w:val="clear" w:color="auto" w:fill="CFF0FC"/>
          </w:tcPr>
          <w:p>
            <w:pPr>
              <w:jc w:val="center"/>
              <w:ind w:left="180"/>
              <w:spacing w:after="0"/>
              <w:rPr>
                <w:sz w:val="20"/>
                <w:szCs w:val="20"/>
                <w:color w:val="auto"/>
              </w:rPr>
            </w:pPr>
            <w:r>
              <w:rPr>
                <w:rFonts w:ascii="Arial" w:cs="Arial" w:eastAsia="Arial" w:hAnsi="Arial"/>
                <w:sz w:val="16"/>
                <w:szCs w:val="16"/>
                <w:color w:val="auto"/>
              </w:rPr>
              <w:t>3%</w:t>
            </w:r>
          </w:p>
        </w:tc>
        <w:tc>
          <w:tcPr>
            <w:tcW w:w="1840" w:type="dxa"/>
            <w:vAlign w:val="bottom"/>
            <w:gridSpan w:val="3"/>
            <w:shd w:val="clear" w:color="auto" w:fill="CFF0FC"/>
          </w:tcPr>
          <w:p>
            <w:pPr>
              <w:jc w:val="center"/>
              <w:ind w:left="321"/>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center"/>
              <w:ind w:right="160"/>
              <w:spacing w:after="0"/>
              <w:rPr>
                <w:sz w:val="20"/>
                <w:szCs w:val="20"/>
                <w:color w:val="auto"/>
              </w:rPr>
            </w:pPr>
            <w:r>
              <w:rPr>
                <w:rFonts w:ascii="Arial" w:cs="Arial" w:eastAsia="Arial" w:hAnsi="Arial"/>
                <w:sz w:val="16"/>
                <w:szCs w:val="16"/>
                <w:color w:val="auto"/>
              </w:rPr>
              <w:t>(3%)</w:t>
            </w:r>
          </w:p>
        </w:tc>
      </w:tr>
      <w:tr>
        <w:trPr>
          <w:trHeight w:val="215"/>
        </w:trPr>
        <w:tc>
          <w:tcPr>
            <w:tcW w:w="6640" w:type="dxa"/>
            <w:vAlign w:val="bottom"/>
          </w:tcPr>
          <w:p>
            <w:pPr>
              <w:ind w:left="200"/>
              <w:spacing w:after="0"/>
              <w:rPr>
                <w:sz w:val="20"/>
                <w:szCs w:val="20"/>
                <w:color w:val="auto"/>
              </w:rPr>
            </w:pPr>
            <w:r>
              <w:rPr>
                <w:rFonts w:ascii="Arial" w:cs="Arial" w:eastAsia="Arial" w:hAnsi="Arial"/>
                <w:sz w:val="16"/>
                <w:szCs w:val="16"/>
                <w:color w:val="auto"/>
              </w:rPr>
              <w:t>Research and development credit</w:t>
            </w:r>
          </w:p>
        </w:tc>
        <w:tc>
          <w:tcPr>
            <w:tcW w:w="1180" w:type="dxa"/>
            <w:vAlign w:val="bottom"/>
          </w:tcPr>
          <w:p>
            <w:pPr>
              <w:jc w:val="center"/>
              <w:ind w:left="160"/>
              <w:spacing w:after="0"/>
              <w:rPr>
                <w:sz w:val="20"/>
                <w:szCs w:val="20"/>
                <w:color w:val="auto"/>
              </w:rPr>
            </w:pPr>
            <w:r>
              <w:rPr>
                <w:rFonts w:ascii="Arial" w:cs="Arial" w:eastAsia="Arial" w:hAnsi="Arial"/>
                <w:sz w:val="16"/>
                <w:szCs w:val="16"/>
                <w:color w:val="auto"/>
              </w:rPr>
              <w:t>(3%)</w:t>
            </w:r>
          </w:p>
        </w:tc>
        <w:tc>
          <w:tcPr>
            <w:tcW w:w="1840" w:type="dxa"/>
            <w:vAlign w:val="bottom"/>
            <w:gridSpan w:val="3"/>
          </w:tcPr>
          <w:p>
            <w:pPr>
              <w:jc w:val="center"/>
              <w:ind w:left="341"/>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160"/>
              <w:spacing w:after="0"/>
              <w:rPr>
                <w:sz w:val="20"/>
                <w:szCs w:val="20"/>
                <w:color w:val="auto"/>
              </w:rPr>
            </w:pPr>
            <w:r>
              <w:rPr>
                <w:rFonts w:ascii="Arial" w:cs="Arial" w:eastAsia="Arial" w:hAnsi="Arial"/>
                <w:sz w:val="16"/>
                <w:szCs w:val="16"/>
                <w:color w:val="auto"/>
              </w:rPr>
              <w:t>(3%)</w:t>
            </w:r>
          </w:p>
        </w:tc>
      </w:tr>
      <w:tr>
        <w:trPr>
          <w:trHeight w:val="217"/>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shd w:val="clear" w:color="auto" w:fill="CFF0FC"/>
          </w:tcPr>
          <w:p>
            <w:pPr>
              <w:jc w:val="center"/>
              <w:ind w:left="18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center"/>
              <w:ind w:right="180"/>
              <w:spacing w:after="0"/>
              <w:rPr>
                <w:sz w:val="20"/>
                <w:szCs w:val="20"/>
                <w:color w:val="auto"/>
              </w:rPr>
            </w:pPr>
            <w:r>
              <w:rPr>
                <w:rFonts w:ascii="Arial" w:cs="Arial" w:eastAsia="Arial" w:hAnsi="Arial"/>
                <w:sz w:val="16"/>
                <w:szCs w:val="16"/>
                <w:color w:val="auto"/>
              </w:rPr>
              <w:t>–%</w:t>
            </w:r>
          </w:p>
        </w:tc>
      </w:tr>
      <w:tr>
        <w:trPr>
          <w:trHeight w:val="209"/>
        </w:trPr>
        <w:tc>
          <w:tcPr>
            <w:tcW w:w="6640" w:type="dxa"/>
            <w:vAlign w:val="bottom"/>
          </w:tcPr>
          <w:p>
            <w:pPr>
              <w:ind w:left="380"/>
              <w:spacing w:after="0"/>
              <w:rPr>
                <w:sz w:val="20"/>
                <w:szCs w:val="20"/>
                <w:color w:val="auto"/>
              </w:rPr>
            </w:pPr>
            <w:r>
              <w:rPr>
                <w:rFonts w:ascii="Arial" w:cs="Arial" w:eastAsia="Arial" w:hAnsi="Arial"/>
                <w:sz w:val="16"/>
                <w:szCs w:val="16"/>
                <w:color w:val="auto"/>
              </w:rPr>
              <w:t>Effective tax rate</w:t>
            </w:r>
          </w:p>
        </w:tc>
        <w:tc>
          <w:tcPr>
            <w:tcW w:w="1180" w:type="dxa"/>
            <w:vAlign w:val="bottom"/>
          </w:tcPr>
          <w:p>
            <w:pPr>
              <w:jc w:val="center"/>
              <w:ind w:lef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3"/>
          </w:tcPr>
          <w:p>
            <w:pPr>
              <w:jc w:val="center"/>
              <w:ind w:right="400"/>
              <w:spacing w:after="0"/>
              <w:rPr>
                <w:sz w:val="20"/>
                <w:szCs w:val="20"/>
                <w:color w:val="auto"/>
              </w:rPr>
            </w:pPr>
            <w:r>
              <w:rPr>
                <w:rFonts w:ascii="Arial" w:cs="Arial" w:eastAsia="Arial" w:hAnsi="Arial"/>
                <w:sz w:val="16"/>
                <w:szCs w:val="16"/>
                <w:color w:val="auto"/>
              </w:rPr>
              <w:t>–%</w:t>
            </w:r>
          </w:p>
        </w:tc>
        <w:tc>
          <w:tcPr>
            <w:tcW w:w="1180" w:type="dxa"/>
            <w:vAlign w:val="bottom"/>
          </w:tcPr>
          <w:p>
            <w:pPr>
              <w:jc w:val="center"/>
              <w:ind w:right="180"/>
              <w:spacing w:after="0"/>
              <w:rPr>
                <w:sz w:val="20"/>
                <w:szCs w:val="20"/>
                <w:color w:val="auto"/>
              </w:rPr>
            </w:pPr>
            <w:r>
              <w:rPr>
                <w:rFonts w:ascii="Arial" w:cs="Arial" w:eastAsia="Arial" w:hAnsi="Arial"/>
                <w:sz w:val="16"/>
                <w:szCs w:val="16"/>
                <w:color w:val="auto"/>
              </w:rPr>
              <w:t>–%</w:t>
            </w:r>
          </w:p>
        </w:tc>
      </w:tr>
      <w:tr>
        <w:trPr>
          <w:trHeight w:val="20"/>
        </w:trPr>
        <w:tc>
          <w:tcPr>
            <w:tcW w:w="66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-170815</wp:posOffset>
            </wp:positionV>
            <wp:extent cx="939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9461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Tax Assets and Liabilities</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Company’s deferred tax assets for federal and state income taxes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2022</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Net operating loss carryforwards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83,983</w:t>
            </w:r>
          </w:p>
        </w:tc>
        <w:tc>
          <w:tcPr>
            <w:tcW w:w="6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72,408</w:t>
            </w: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 credits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22,669</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16,824</w:t>
            </w: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Capitalized research and development</w:t>
            </w:r>
          </w:p>
        </w:tc>
        <w:tc>
          <w:tcPr>
            <w:tcW w:w="38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22,089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11,972</w:t>
            </w: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revenue</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362</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w:t>
            </w: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Accruals and reserves</w:t>
            </w:r>
          </w:p>
        </w:tc>
        <w:tc>
          <w:tcPr>
            <w:tcW w:w="38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2,883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1,914</w:t>
            </w: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4,614</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5,197</w:t>
            </w: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13,124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13,455</w:t>
            </w: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intangibles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209</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267</w:t>
            </w: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132</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236</w:t>
            </w:r>
          </w:p>
        </w:tc>
      </w:tr>
      <w:tr>
        <w:trPr>
          <w:trHeight w:val="210"/>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gross deferred tax assets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150,065</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122,311</w:t>
            </w:r>
          </w:p>
        </w:tc>
      </w:tr>
      <w:tr>
        <w:trPr>
          <w:trHeight w:val="215"/>
        </w:trPr>
        <w:tc>
          <w:tcPr>
            <w:tcW w:w="7720" w:type="dxa"/>
            <w:vAlign w:val="bottom"/>
          </w:tcPr>
          <w:p>
            <w:pPr>
              <w:ind w:left="560"/>
              <w:spacing w:after="0"/>
              <w:rPr>
                <w:sz w:val="20"/>
                <w:szCs w:val="20"/>
                <w:color w:val="auto"/>
              </w:rPr>
            </w:pPr>
            <w:r>
              <w:rPr>
                <w:rFonts w:ascii="Arial" w:cs="Arial" w:eastAsia="Arial" w:hAnsi="Arial"/>
                <w:sz w:val="16"/>
                <w:szCs w:val="16"/>
                <w:color w:val="auto"/>
              </w:rPr>
              <w:t>Less: valuation allowance</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(144,861 )</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(114,483 )</w:t>
            </w:r>
          </w:p>
        </w:tc>
      </w:tr>
      <w:tr>
        <w:trPr>
          <w:trHeight w:val="210"/>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Total deferred tax assets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5,204</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7,828</w:t>
            </w:r>
          </w:p>
        </w:tc>
      </w:tr>
      <w:tr>
        <w:trPr>
          <w:trHeight w:val="210"/>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(113 )</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(108 )</w:t>
            </w: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(5,084 )</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(7,659 )</w:t>
            </w:r>
          </w:p>
        </w:tc>
      </w:tr>
      <w:tr>
        <w:trPr>
          <w:trHeight w:val="210"/>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Total deferred tax liabilities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(5,197 )</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(7,767 )</w:t>
            </w:r>
          </w:p>
        </w:tc>
      </w:tr>
      <w:tr>
        <w:trPr>
          <w:trHeight w:val="209"/>
        </w:trPr>
        <w:tc>
          <w:tcPr>
            <w:tcW w:w="7720" w:type="dxa"/>
            <w:vAlign w:val="bottom"/>
          </w:tcPr>
          <w:p>
            <w:pPr>
              <w:ind w:left="920"/>
              <w:spacing w:after="0"/>
              <w:rPr>
                <w:sz w:val="20"/>
                <w:szCs w:val="20"/>
                <w:color w:val="auto"/>
              </w:rPr>
            </w:pPr>
            <w:r>
              <w:rPr>
                <w:rFonts w:ascii="Arial" w:cs="Arial" w:eastAsia="Arial" w:hAnsi="Arial"/>
                <w:sz w:val="16"/>
                <w:szCs w:val="16"/>
                <w:color w:val="auto"/>
              </w:rPr>
              <w:t>Net deferred tax assets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6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61</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-736600</wp:posOffset>
            </wp:positionV>
            <wp:extent cx="1111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Realization of deferred tax assets is dependent upon future earnings, if any, the timing and amount of which are uncertain. Because of the Company’s lack of U.S. earnings history, the net U.S. deferred tax assets have been fully offset by a valuation allowance. The valuation allowance increased by $30.4 million and $32.9 million during the years ended December 31, 2023 and 2022,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Operating Loss and Tax Credit Carryforwards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of December 31, 2023, the Company had a net operating loss carryforward for federal income tax purposes of $285.5 million, of which $86.1 million is subject to expiration beginning in 2031. The Company had a total state net operating loss carryforward of $274.7 million, which will begin to expire in 2031. Utilization of some of the federal and state net operating loss and credit carryforwards are subject to annual limitations due to the “change in ownership” provisions of the Internal Revenue Code of 1986 (specifically Section 382), as amended, and similar state provisions. The Company performed a Section 382 analysis through December 31, 2023 and determined that ownership changes occurred in the year 2011 and again in 2020. The ownership changes identified had no significant impact on federal and state net operating losses. The annual limitations may result in the expiration of net operating losses and credits before utilization in the future.</w:t>
      </w:r>
    </w:p>
    <w:p>
      <w:pPr>
        <w:spacing w:after="0" w:line="15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of December 31, 2023, the Company has federal credits of $12.2 million, which will begin to expire in 2031 and state research credits of $10.5 million, which have no expiration date. These tax credits are subject to the same limitations discussed above. The Company determined that the ownership changes identified above had no significant impact on federal and state research credits.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Unrecognized Tax Benefits</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Company has incurred net operating losses since inception and does not have any significant unrecognized tax benefits. The Company’s policy is to include interest and penalties related to unrecognized tax benefits, if any, within the provision for taxes in the consolidated statements of operations. If the Company is eventually able to recognize its uncertain positions, the effective tax rate would be reduced. The Company currently has a full valuation allowance against its net deferred tax assets, which would impact the timing of the effective tax rate benefit should any of these uncertain tax positions be favorably settled in the future. Any adjustments to the Company’s uncertain tax positions would result in an adjustment of net operating loss or tax credit carryforwards rather than resulting in a cash outlay.</w:t>
      </w:r>
    </w:p>
    <w:p>
      <w:pPr>
        <w:spacing w:after="0" w:line="15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files U.S. federal income tax returns and various state income tax returns. Because of net operating losses and research credit carryovers, substantially all the Company’s tax years remain open to examination.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has the following activity relating to unrecognized tax benefits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2022</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1060" w:type="dxa"/>
            <w:vAlign w:val="bottom"/>
            <w:shd w:val="clear" w:color="auto" w:fill="CFF0FC"/>
          </w:tcPr>
          <w:p>
            <w:pPr>
              <w:jc w:val="right"/>
              <w:ind w:right="862"/>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4,240</w:t>
            </w:r>
          </w:p>
        </w:tc>
        <w:tc>
          <w:tcPr>
            <w:tcW w:w="64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3,066</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Gross increase—tax position in prior periods</w:t>
            </w:r>
          </w:p>
        </w:tc>
        <w:tc>
          <w:tcPr>
            <w:tcW w:w="1060" w:type="dxa"/>
            <w:vAlign w:val="bottom"/>
          </w:tcPr>
          <w:p>
            <w:pPr>
              <w:spacing w:after="0"/>
              <w:rPr>
                <w:sz w:val="18"/>
                <w:szCs w:val="18"/>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162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Gross increase—tax position in current period</w:t>
            </w: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1,299</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1,174</w:t>
            </w:r>
          </w:p>
        </w:tc>
      </w:tr>
      <w:tr>
        <w:trPr>
          <w:trHeight w:val="210"/>
        </w:trPr>
        <w:tc>
          <w:tcPr>
            <w:tcW w:w="77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06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5,701</w:t>
            </w:r>
          </w:p>
        </w:tc>
        <w:tc>
          <w:tcPr>
            <w:tcW w:w="6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4,240</w:t>
            </w:r>
          </w:p>
        </w:tc>
      </w:tr>
      <w:tr>
        <w:trPr>
          <w:trHeight w:val="20"/>
        </w:trPr>
        <w:tc>
          <w:tcPr>
            <w:tcW w:w="7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6"/>
          <w:szCs w:val="16"/>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2023, 2022, and 2021, no interest or penalties were required to be recognized relating to unrecognized tax benefits.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Stockholders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Personalis,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Fremont, California</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have audited the accompanying consolidated balance sheet of Personalis, Inc. and subsidiaries (the “Company”) as of December 31, 2023, the related consolidated statements of operations, comprehensive loss,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at December 31, 2023, and the results of its operations and its cash flows for the year then ended,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for Tempus Agreement and Tempus Warrants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described in Note 8 to the consolidated financial statements, the Company entered into a Commercialization and Reference Laboratory Agreement (the “Tempus Agreement”) with Tempus Labs, Inc. (“Tempus”) in November 2023. In connection with the Tempus Agreement, the Company issued warrants to purchase shares of the Company’s common stock to Tempus (“Tempus Warrants”). As of December 31, 2023, the Company received $6 million of cash proceeds from Tempus. The Tempus Warrants are classified as liability instruments, and the $6 million of proceeds were allocated to the Tempus Warrants.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identified the evaluation of (i) the financial statement classification of the Tempus Warrants, and (ii) allocation of the proceeds among the elements of the Tempus Agreement and the Tempus Warrants as a critical audit matter. Our principal considerations included the existence of accounting complexities related to such evaluation and significant judgments involved in the interpretation of the terms of the agreements and in the application of appropriate accounting guidance. Auditing these elements required challenging and complex auditor judgment due to the nature and extent of audit effort required, including the extent of specialized skills or knowledge needed.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The primary procedures we performed to address this critical audit matter included:</w:t>
      </w:r>
    </w:p>
    <w:p>
      <w:pPr>
        <w:spacing w:after="0" w:line="113" w:lineRule="exact"/>
        <w:rPr>
          <w:sz w:val="20"/>
          <w:szCs w:val="20"/>
          <w:color w:val="auto"/>
        </w:rPr>
      </w:pPr>
    </w:p>
    <w:p>
      <w:pPr>
        <w:ind w:left="1020" w:hanging="503"/>
        <w:spacing w:after="0" w:line="285" w:lineRule="auto"/>
        <w:tabs>
          <w:tab w:leader="none" w:pos="102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analyzing: (i) the terms of the Tempus Agreement and Tempus Warrants, and (ii) the Company’s application of the relevant accounting literature including the allocation of the proceeds received to the Tempus Warrants.</w:t>
      </w:r>
    </w:p>
    <w:p>
      <w:pPr>
        <w:spacing w:after="0" w:line="48" w:lineRule="exact"/>
        <w:rPr>
          <w:rFonts w:ascii="Times New Roman" w:cs="Times New Roman" w:eastAsia="Times New Roman" w:hAnsi="Times New Roman"/>
          <w:sz w:val="16"/>
          <w:szCs w:val="16"/>
          <w:color w:val="auto"/>
        </w:rPr>
      </w:pPr>
    </w:p>
    <w:p>
      <w:pPr>
        <w:jc w:val="both"/>
        <w:ind w:left="1020" w:hanging="503"/>
        <w:spacing w:after="0" w:line="274" w:lineRule="auto"/>
        <w:tabs>
          <w:tab w:leader="none" w:pos="102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Utilizing personnel with specialized skills and knowledge to assist in: (i) evaluating relevant terms of the Tempus Agreement and Tempus Warrants in relation to the appropriate accounting literature, and (ii) assessing the appropriateness of the conclusions reached by the Company.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/s/ BDO USA, P.C.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92"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Personalis,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have audited the accompanying consolidated balance sheets of Personalis, Inc. and subsidiaries (the "Company") as of December 31, 2022, the related consolidated statements of operations, comprehensive loss,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the results of its operations and its cash flows for each of the two years in the period ended December 31, 2022,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Austin,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began serving as the Company’s auditor in 2018. In 2023 we became the predecessor auditor.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management, with the participation of our chief executive officer ("CEO") and chief financial officer ("CFO") has evaluated the effectiveness of our disclosure controls and procedures (as defined in Rules 13a-15(e) and 15d-15(e) under the Securities Exchange Act of 1934, as amended, or Exchange Act), as of the end of the period covered by this Annual Report on Form 10-K. Based on that evaluation, our CEO and CFO have concluded that as of December 31, 2023,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Report on Internal Control over Financial Reporting</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of the 1934 Act. Management has assessed the effectiveness of our internal control over financial reporting as of December 31, 2023 based on criteria established in Internal Control—Integrated Framework (2013) issued by the Committee of Sponsoring Organizations of the Treadway Commission. As a result of this assessment, management concluded that, as of December 31, 2023, our internal control over financial reporting was effective in providing reasonable assurance regarding the reliability of financial reporting and the preparation of financial statements for external purposes in accordance with generally accepted accounting principles in the United States of America.</w:t>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independent registered accounting firm is not required to issue an attestation report on our internal control over financial reporting for so long as we qualify as a non-accelerated filer.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Controls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Except for the principal occupation, business experience, and education of each of our executive officers and directors set forth further below, the information required by this Item is set forth under the headings “Executive Officers,” “Security Ownership of Certain Beneficial Owners and Management,” “Delinquent Section 16(a) Reports,” “Corporate Governance and Board of Directors Matters,” and “Proposal No. 1 Election of Directors—Information About Our Continuing Directors” in the Company’s 2024 Proxy Statement to be filed with the SEC within 120 days after December 31, 2023 in connection with the solicitation of proxies for the Company’s 2024 annual meeting of stockholders, and is incorporated herein by reference.</w:t>
      </w:r>
    </w:p>
    <w:p>
      <w:pPr>
        <w:spacing w:after="0" w:line="15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board of directors has adopted a Code of Business Conduct and Ethics applicable to all officers, directors and employees, which is available on our website (investors.personalis.com) under "Corporate Governance." We intend to satisfy the disclosure requirement under Item 5.05 of Form 8-K regarding amendment to, or waiver from, a provision of our Code of Business Conduct and Ethics by posting such information on the website address and location specified above.</w:t>
      </w:r>
    </w:p>
    <w:p>
      <w:pPr>
        <w:spacing w:after="0" w:line="137" w:lineRule="exact"/>
        <w:rPr>
          <w:sz w:val="20"/>
          <w:szCs w:val="20"/>
          <w:color w:val="auto"/>
        </w:rPr>
      </w:pPr>
    </w:p>
    <w:p>
      <w:pPr>
        <w:ind w:right="1320" w:firstLine="749"/>
        <w:spacing w:after="0" w:line="484" w:lineRule="auto"/>
        <w:rPr>
          <w:sz w:val="20"/>
          <w:szCs w:val="20"/>
          <w:color w:val="auto"/>
        </w:rPr>
      </w:pPr>
      <w:r>
        <w:rPr>
          <w:rFonts w:ascii="Arial" w:cs="Arial" w:eastAsia="Arial" w:hAnsi="Arial"/>
          <w:sz w:val="16"/>
          <w:szCs w:val="16"/>
          <w:color w:val="auto"/>
        </w:rPr>
        <w:t xml:space="preserve">The principal occupation, business experience, and education of each of our executive officers and directors are set forth below. </w:t>
      </w:r>
      <w:r>
        <w:rPr>
          <w:rFonts w:ascii="Arial" w:cs="Arial" w:eastAsia="Arial" w:hAnsi="Arial"/>
          <w:sz w:val="16"/>
          <w:szCs w:val="16"/>
          <w:i w:val="1"/>
          <w:iCs w:val="1"/>
          <w:color w:val="auto"/>
        </w:rPr>
        <w:t>Executive Officers</w:t>
      </w:r>
    </w:p>
    <w:p>
      <w:pPr>
        <w:jc w:val="both"/>
        <w:ind w:firstLine="749"/>
        <w:spacing w:after="0" w:line="256" w:lineRule="auto"/>
        <w:rPr>
          <w:sz w:val="20"/>
          <w:szCs w:val="20"/>
          <w:color w:val="auto"/>
        </w:rPr>
      </w:pPr>
      <w:r>
        <w:rPr>
          <w:rFonts w:ascii="Arial" w:cs="Arial" w:eastAsia="Arial" w:hAnsi="Arial"/>
          <w:sz w:val="16"/>
          <w:szCs w:val="16"/>
          <w:b w:val="1"/>
          <w:bCs w:val="1"/>
          <w:color w:val="auto"/>
        </w:rPr>
        <w:t xml:space="preserve">Christopher Hall. </w:t>
      </w:r>
      <w:r>
        <w:rPr>
          <w:rFonts w:ascii="Arial" w:cs="Arial" w:eastAsia="Arial" w:hAnsi="Arial"/>
          <w:sz w:val="16"/>
          <w:szCs w:val="16"/>
          <w:color w:val="auto"/>
        </w:rPr>
        <w:t>Mr. Hall has served as our Chief Executive Officer and President since March 2023 and before that served as our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Head, Diagnostics Business upon joining our company in October 2022. Mr. Hall has also served as a member of the Board of Directors since March 2023. From October 2020 to July 2022, Mr. Hall served as Chief Executive Officer of Naring Health, Inc., a medical research services company. From February 2010 to July 2019, Mr. Hall served as President, Chief Operating Officer, and Chief Commercial Officer at Veracyte, Inc., a publicly traded global diagnostics company. Mr. Hall holds a B.A. in Political Science and Economics from DePauw University and an M.B.A. from Harvard Business School.</w:t>
      </w:r>
    </w:p>
    <w:p>
      <w:pPr>
        <w:spacing w:after="0" w:line="13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b w:val="1"/>
          <w:bCs w:val="1"/>
          <w:color w:val="auto"/>
        </w:rPr>
        <w:t xml:space="preserve">Aaron Tachibana. </w:t>
      </w:r>
      <w:r>
        <w:rPr>
          <w:rFonts w:ascii="Arial" w:cs="Arial" w:eastAsia="Arial" w:hAnsi="Arial"/>
          <w:sz w:val="16"/>
          <w:szCs w:val="16"/>
          <w:color w:val="auto"/>
        </w:rPr>
        <w:t>Mr. Tachibana has served as our Chief Financial Officer since March 2019 and has also served as our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since March 2023. From December 2022 to March 2023, Mr. Tachibana served as our interim Chief Executive Officer. From August 2015 to September 2018, Mr. Tachibana served as Chief Financial Officer at Lumentum Holdings Inc., a designer and manufacturer of optical and photonic products. From November 2013 to July 2015, Mr. Tachibana served as Vice President, Finance and Corporate Controller at JDS Uniphase Corp., subsequently renamed Viavi Solutions Inc., a network test, measurement, and assurance technology company. From March 2010 to October 2013, Mr. Tachibana served as Chief Financial Officer at Pericom Semiconductor Corp., a supplier of high-performance connectivity and timing solutions. Mr. Tachibana holds a B.S. in Business Administration and Finance from San Jose State University.</w:t>
      </w:r>
    </w:p>
    <w:p>
      <w:pPr>
        <w:spacing w:after="0" w:line="14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b w:val="1"/>
          <w:bCs w:val="1"/>
          <w:color w:val="auto"/>
        </w:rPr>
        <w:t xml:space="preserve">Richard Chen, M.D., M.S. </w:t>
      </w:r>
      <w:r>
        <w:rPr>
          <w:rFonts w:ascii="Arial" w:cs="Arial" w:eastAsia="Arial" w:hAnsi="Arial"/>
          <w:sz w:val="16"/>
          <w:szCs w:val="16"/>
          <w:color w:val="auto"/>
        </w:rPr>
        <w:t>Dr. Chen has served as our Chief Medical Officer since November 2011 (previously designated Chief Scientific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In March 2023, Dr. Chen was promoted to Executive Vice President, R&amp;D, in addition to his role as Chief Medical Officer. Since September 2011, Dr. Chen has served on the clinical faculty at Stanford University School of Medicine. In August 1997, Dr. Chen co-founded Ingenuity Systems, a genomic data software company. Dr. Chen holds a B.S. in Computer Science from Stanford University, an M.S. in Medical Informatics from Stanford University School of Medicine, and an M.D. from Stanford University School of Medicine.</w:t>
      </w:r>
    </w:p>
    <w:p>
      <w:pPr>
        <w:spacing w:after="0" w:line="15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b w:val="1"/>
          <w:bCs w:val="1"/>
          <w:color w:val="auto"/>
        </w:rPr>
        <w:t xml:space="preserve">Stephen Moore. </w:t>
      </w:r>
      <w:r>
        <w:rPr>
          <w:rFonts w:ascii="Arial" w:cs="Arial" w:eastAsia="Arial" w:hAnsi="Arial"/>
          <w:sz w:val="16"/>
          <w:szCs w:val="16"/>
          <w:color w:val="auto"/>
        </w:rPr>
        <w:t>Mr. Moore has served as our Vice President and General Counsel since April 2020 and as Corporate Secretary since May 2020.</w:t>
      </w:r>
      <w:r>
        <w:rPr>
          <w:rFonts w:ascii="Arial" w:cs="Arial" w:eastAsia="Arial" w:hAnsi="Arial"/>
          <w:sz w:val="16"/>
          <w:szCs w:val="16"/>
          <w:b w:val="1"/>
          <w:bCs w:val="1"/>
          <w:color w:val="auto"/>
        </w:rPr>
        <w:t xml:space="preserve"> </w:t>
      </w:r>
      <w:r>
        <w:rPr>
          <w:rFonts w:ascii="Arial" w:cs="Arial" w:eastAsia="Arial" w:hAnsi="Arial"/>
          <w:sz w:val="16"/>
          <w:szCs w:val="16"/>
          <w:color w:val="auto"/>
        </w:rPr>
        <w:t>From October 2014 to April 2020, Mr. Moore served as General Counsel and Corporate Secretary at Pacific Biosciences of California, Inc., a publicly traded advanced genomics company. From January 2010 to October 2014, Mr. Moore served in other roles at Pacific Biosciences of California, Inc., including Associate General Counsel and Senior Director of Commercial Legal Affairs, and Vice President, Legal Affairs. From June 2007 to December 2009, Mr. Moore served as General Counsel and Corporate Secretary at Navigenics, Inc., a consumer genomics company. From January 1999 to June 2007, Mr. Moore held various positions at Affymetrix, Inc., a microarray company, including Associate General Counsel. Mr. Moore holds a B.A. in Political Science from San Jose State University and a J.D. from University of California, Davis.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Independent Directors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b w:val="1"/>
          <w:bCs w:val="1"/>
          <w:color w:val="auto"/>
        </w:rPr>
        <w:t xml:space="preserve">Olivia K. Bloom. </w:t>
      </w:r>
      <w:r>
        <w:rPr>
          <w:rFonts w:ascii="Arial" w:cs="Arial" w:eastAsia="Arial" w:hAnsi="Arial"/>
          <w:sz w:val="16"/>
          <w:szCs w:val="16"/>
          <w:color w:val="auto"/>
        </w:rPr>
        <w:t>Ms. Bloom has served on our Board of Directors since March 2022. In September 2023, after a 29-year career with Geron</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 publicly traded clinical stage biopharmaceutical company, Ms. Bloom retired as Executive Vice President, Chief Financial Officer and Treasurer. During that tenure, Ms. Bloom held several financial management positions, Chief Accounting Officer and Controller, as well as lead several operational functions, including purchasing, information technology and investor relations. Ms. Bloom started her career in public accounting at KPMG International Limited and became a Certified Public Accountant in 1994. Ms. Bloom holds a B.S. in Business Administration from the University of California, Berkeley. Ms. Bloom was selected to serve on our Board of Directors because of her expertise in finance, accounting, and corporate governance and her experience as a senior female executive working for and with publicly-traded life science companies.</w:t>
      </w:r>
    </w:p>
    <w:p>
      <w:pPr>
        <w:spacing w:after="0" w:line="15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b w:val="1"/>
          <w:bCs w:val="1"/>
          <w:color w:val="auto"/>
        </w:rPr>
        <w:t xml:space="preserve">A. Blaine Bowman. </w:t>
      </w:r>
      <w:r>
        <w:rPr>
          <w:rFonts w:ascii="Arial" w:cs="Arial" w:eastAsia="Arial" w:hAnsi="Arial"/>
          <w:sz w:val="16"/>
          <w:szCs w:val="16"/>
          <w:color w:val="auto"/>
        </w:rPr>
        <w:t>Mr. Bowman has served on our Board of Directors since May 2019. Beginning in 2006, Mr. Bowman served on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Solexa, Inc., a DNA sequencing company, until its sale to Illumina, Inc., a publicly traded biotechnology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company and leader in DNA sequencing in January 2007, after which Mr. Bowman continued to serve on the board of directors of Illumina, Inc. until May 2018. From March 1977 to August 2005, Mr. Bowman served in various roles at Dionex Corporation, a publicly traded manufacturer of analytical instruments, including Chairman of the board of directors, President, and Chief Executive Officer, and he served on the board of directors until its sale to Thermo Fisher Scientific Inc. in May 2011. From July 2012 to December 2015, Mr. Bowman served on the board of directors of Altera Corporation, a publicly traded programmable logic devices company. Mr. Bowman holds a B.S. in Physics from Brigham Young University and an M.B.A. from the Stanford Graduate School of Business. Mr. Bowman was selected to serve on our Board of Directors because of his experience in executive roles and his experience serving on the boards of directors of various instrumentation and biotechnology companies.</w:t>
      </w:r>
    </w:p>
    <w:p>
      <w:pPr>
        <w:spacing w:after="0" w:line="15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b w:val="1"/>
          <w:bCs w:val="1"/>
          <w:color w:val="auto"/>
        </w:rPr>
        <w:t xml:space="preserve">Karin Eastham. </w:t>
      </w:r>
      <w:r>
        <w:rPr>
          <w:rFonts w:ascii="Arial" w:cs="Arial" w:eastAsia="Arial" w:hAnsi="Arial"/>
          <w:sz w:val="16"/>
          <w:szCs w:val="16"/>
          <w:color w:val="auto"/>
        </w:rPr>
        <w:t>Ms. Eastham has served on our Board of Directors since September 2019. Ms. Eastham has served on the board of Veracyte,</w:t>
      </w:r>
      <w:r>
        <w:rPr>
          <w:rFonts w:ascii="Arial" w:cs="Arial" w:eastAsia="Arial" w:hAnsi="Arial"/>
          <w:sz w:val="16"/>
          <w:szCs w:val="16"/>
          <w:b w:val="1"/>
          <w:bCs w:val="1"/>
          <w:color w:val="auto"/>
        </w:rPr>
        <w:t xml:space="preserve"> </w:t>
      </w:r>
      <w:r>
        <w:rPr>
          <w:rFonts w:ascii="Arial" w:cs="Arial" w:eastAsia="Arial" w:hAnsi="Arial"/>
          <w:sz w:val="16"/>
          <w:szCs w:val="16"/>
          <w:color w:val="auto"/>
        </w:rPr>
        <w:t>Inc., a publicly traded genomic diagnostics company, since December 2012. Ms. Eastham previously served as a member of the board of directors of Nektar Therapeutics, Inc., a publicly traded biopharmaceutical company, from September 2018 to June 2023; Geron Corporation, a publicly traded clinical stage biopharmaceutical company, from March 2009 to May 2023; and Illumina, Inc., a publicly traded biotechnology company and leader in DNA sequencing, from August 2004 to May 2019. From May 2004 to September 2008, Ms. Eastham served as Executive Vice President and Chief Operating Officer, and as a member of the Board of Trustees, of the Burnham Institute for Medical Research, a non-profit corporation engaged in biomedical research. Ms. Eastham holds a B.S. in Accounting and an M.B.A. from Indiana University and is a Certified Public Accountant (inactive). Ms. Eastham was selected to serve on our Board of Directors because of her expertise in financial and operations management and experience serving on the boards of publicly-traded life science companies.</w:t>
      </w:r>
    </w:p>
    <w:p>
      <w:pPr>
        <w:spacing w:after="0" w:line="33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b w:val="1"/>
          <w:bCs w:val="1"/>
          <w:color w:val="auto"/>
        </w:rPr>
        <w:t xml:space="preserve">Woodrow A. Myers, Jr., M.D. </w:t>
      </w:r>
      <w:r>
        <w:rPr>
          <w:rFonts w:ascii="Arial" w:cs="Arial" w:eastAsia="Arial" w:hAnsi="Arial"/>
          <w:sz w:val="16"/>
          <w:szCs w:val="16"/>
          <w:color w:val="auto"/>
        </w:rPr>
        <w:t>Dr. Myers has served on our Board of Directors since March 2021. Dr. Myers serves as an Advisor to Lightspeed</w:t>
      </w:r>
      <w:r>
        <w:rPr>
          <w:rFonts w:ascii="Arial" w:cs="Arial" w:eastAsia="Arial" w:hAnsi="Arial"/>
          <w:sz w:val="16"/>
          <w:szCs w:val="16"/>
          <w:b w:val="1"/>
          <w:bCs w:val="1"/>
          <w:color w:val="auto"/>
        </w:rPr>
        <w:t xml:space="preserve"> </w:t>
      </w:r>
      <w:r>
        <w:rPr>
          <w:rFonts w:ascii="Arial" w:cs="Arial" w:eastAsia="Arial" w:hAnsi="Arial"/>
          <w:sz w:val="16"/>
          <w:szCs w:val="16"/>
          <w:color w:val="auto"/>
        </w:rPr>
        <w:t>Venture Partners Inc., to the SCAN Group and to eHealth Inc. From May 2007 to December 2018, Dr. Myers served on the board of directors of Express Scripts Inc., a publicly traded health care company. From January 2018 to February 2019, Dr. Myers served as Chief Medical Officer and Chief Healthcare Strategist for Blue Cross Blue Shield of Arizona. He has also served as the Chief Medical Officer of Wellpoint Health Networks and Director of Healthcare Management for the Ford Motor Company. In the public sector he has served as the Health Commissioner of New York City and the State of Indiana. Since December 2015, Dr. Myers has served as Managing Director of Myers Ventures LLC, a healthcare consulting company. Dr. Myers holds a B.S. in Biology from Stanford University, an M.B.A. from Stanford Graduate School of Business, and an M.D. from Harvard Medical School. Dr. Myers was selected to serve on our Board of Directors because of his extensive experience in the healthcare industry, including in government and health policy roles.</w:t>
      </w:r>
    </w:p>
    <w:p>
      <w:pPr>
        <w:spacing w:after="0" w:line="14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b w:val="1"/>
          <w:bCs w:val="1"/>
          <w:color w:val="auto"/>
        </w:rPr>
        <w:t xml:space="preserve">Lonnie Shoff. </w:t>
      </w:r>
      <w:r>
        <w:rPr>
          <w:rFonts w:ascii="Arial" w:cs="Arial" w:eastAsia="Arial" w:hAnsi="Arial"/>
          <w:sz w:val="16"/>
          <w:szCs w:val="16"/>
          <w:color w:val="auto"/>
        </w:rPr>
        <w:t>Ms. Shoff has served on our Board of Directors since August 2022. Ms. Shoff has served as President of Antech and Sound</w:t>
      </w:r>
      <w:r>
        <w:rPr>
          <w:rFonts w:ascii="Arial" w:cs="Arial" w:eastAsia="Arial" w:hAnsi="Arial"/>
          <w:sz w:val="16"/>
          <w:szCs w:val="16"/>
          <w:b w:val="1"/>
          <w:bCs w:val="1"/>
          <w:color w:val="auto"/>
        </w:rPr>
        <w:t xml:space="preserve"> </w:t>
      </w:r>
      <w:r>
        <w:rPr>
          <w:rFonts w:ascii="Arial" w:cs="Arial" w:eastAsia="Arial" w:hAnsi="Arial"/>
          <w:sz w:val="16"/>
          <w:szCs w:val="16"/>
          <w:color w:val="auto"/>
        </w:rPr>
        <w:t>Diagnostics, a business unit of Mars Petcare, since April 2020. From September 2016 to April 2020, Ms. Shoff served as President of the Clinical Diagnostics Division at Thermo Fisher Scientific Inc. From September 2009 to May 2016, Ms. Shoff held various positions at Henry Schein, a publicly traded health care product distributor, including Chief Executive Officer of the Global Animal Health and Strategic Partnership Group and President of the Global Healthcare Specialty Group. Ms. Shoff also held positions of increasing responsibility including the Senior Vice President &amp; General Manager of Molecular Diagnostic and Applied Science at Roche, a Swiss multinational healthcare company, from August 1988 to September 2009. Ms. Shoff holds a B.S. in Biology from Purdue University.</w:t>
      </w:r>
    </w:p>
    <w:p>
      <w:pPr>
        <w:spacing w:after="0" w:line="15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b w:val="1"/>
          <w:bCs w:val="1"/>
          <w:color w:val="auto"/>
        </w:rPr>
        <w:t xml:space="preserve">Kenneth J. Widder, M.D. </w:t>
      </w:r>
      <w:r>
        <w:rPr>
          <w:rFonts w:ascii="Arial" w:cs="Arial" w:eastAsia="Arial" w:hAnsi="Arial"/>
          <w:sz w:val="16"/>
          <w:szCs w:val="16"/>
          <w:color w:val="auto"/>
        </w:rPr>
        <w:t>Mr. Widder has served on our Board of Directors since June 2023. Dr. Widder currently serves on the boards of</w:t>
      </w:r>
      <w:r>
        <w:rPr>
          <w:rFonts w:ascii="Arial" w:cs="Arial" w:eastAsia="Arial" w:hAnsi="Arial"/>
          <w:sz w:val="16"/>
          <w:szCs w:val="16"/>
          <w:b w:val="1"/>
          <w:bCs w:val="1"/>
          <w:color w:val="auto"/>
        </w:rPr>
        <w:t xml:space="preserve"> </w:t>
      </w:r>
      <w:r>
        <w:rPr>
          <w:rFonts w:ascii="Arial" w:cs="Arial" w:eastAsia="Arial" w:hAnsi="Arial"/>
          <w:sz w:val="16"/>
          <w:szCs w:val="16"/>
          <w:color w:val="auto"/>
        </w:rPr>
        <w:t>QuidelOrtho Corporation and Evoke Pharma, Inc. and has over 40 years of experience working with biomedical companies, having previously served as a founder, director and/or CEO of Sydnexis, Inc., OrphoMed, Inc., Sytera, Inc., NovaCardia, Inc., Santarus, Inc., and Molecular Biosystems Inc., and as a general partner at LVP Life Science Ventures (formerly Latterell Venture Partners) and Windamere Venture Partners. He holds an MD from Northwestern University and trained in pathology at Duke University.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8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information required by this Item is set forth under the headings “Director Compensation,” “Executive Compensation,” and “Compensation Committee Interlocks and Insider Participation” in the Company’s 2024 Proxy Statement to be filed with the SEC within 120 days after December 31, 2023, and is incorporated herein by reference.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81"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The information required by this Item is set forth under the headings “Equity Compensation Plans at December 31, 2023” and “Security Ownership of Certain Beneficial Owners and Management” in the Company’s 2024 Proxy Statement to be filed with the SEC within 120 days after December 31, 2023, and is incorporated herein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9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information required by this Item is set forth under the headings “Corporate Governance and Board of Directors Matters” and “Transactions with Related Persons and Indemnification” in the Company’s 2024 Proxy Statement to be filed with the SEC within 120 days after December 31, 2023, and is incorporated herein by reference.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9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information required by this Item is set forth under the headings “Principal Accountant Fees and Services” and “Pre-Approval Procedures” under the proposal “Ratification of Selection of Independent Registered Public Accounting Firm” in the Company’s 2024 Proxy Statement to be filed with the SEC within 120 days after December 31, 2023, and is incorporated herein by reference.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181"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 and Schedules</w:t>
      </w:r>
    </w:p>
    <w:p>
      <w:pPr>
        <w:spacing w:after="0" w:line="194"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financial statements are set forth under Item 8 of this Annual Report on Form 10-K, as indexed below. Financial statement schedules have been omitted since they either are not required, not applicable, or the information is otherwise included.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60" w:type="dxa"/>
            <w:vAlign w:val="bottom"/>
            <w:gridSpan w:val="9"/>
          </w:tcPr>
          <w:p>
            <w:pPr>
              <w:ind w:left="20"/>
              <w:spacing w:after="0"/>
              <w:rPr>
                <w:sz w:val="20"/>
                <w:szCs w:val="20"/>
                <w:color w:val="auto"/>
              </w:rPr>
            </w:pPr>
            <w:r>
              <w:rPr>
                <w:rFonts w:ascii="Arial" w:cs="Arial" w:eastAsia="Arial" w:hAnsi="Arial"/>
                <w:sz w:val="16"/>
                <w:szCs w:val="16"/>
                <w:b w:val="1"/>
                <w:bCs w:val="1"/>
                <w:color w:val="auto"/>
              </w:rPr>
              <w:t>INDEX TO CONSOLIDATED FINANCIAL STATEMENTS</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10440" w:type="dxa"/>
            <w:vAlign w:val="bottom"/>
            <w:gridSpan w:val="8"/>
            <w:shd w:val="clear" w:color="auto" w:fill="CFF0FC"/>
          </w:tcPr>
          <w:p>
            <w:pPr>
              <w:spacing w:after="0" w:line="155" w:lineRule="exact"/>
              <w:rPr>
                <w:sz w:val="20"/>
                <w:szCs w:val="20"/>
                <w:color w:val="auto"/>
              </w:rPr>
            </w:pPr>
            <w:r>
              <w:rPr>
                <w:rFonts w:ascii="Arial" w:cs="Arial" w:eastAsia="Arial" w:hAnsi="Arial"/>
                <w:sz w:val="16"/>
                <w:szCs w:val="16"/>
                <w:color w:val="0000FF"/>
              </w:rPr>
              <w:t>Consolidated Balance Sheets</w:t>
            </w:r>
          </w:p>
        </w:tc>
        <w:tc>
          <w:tcPr>
            <w:tcW w:w="780" w:type="dxa"/>
            <w:vAlign w:val="bottom"/>
            <w:shd w:val="clear" w:color="auto" w:fill="CFF0FC"/>
          </w:tcPr>
          <w:p>
            <w:pPr>
              <w:jc w:val="center"/>
              <w:spacing w:after="0" w:line="155"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0000FF"/>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6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440" w:type="dxa"/>
            <w:vAlign w:val="bottom"/>
            <w:gridSpan w:val="8"/>
          </w:tcPr>
          <w:p>
            <w:pPr>
              <w:spacing w:after="0" w:line="162" w:lineRule="exact"/>
              <w:rPr>
                <w:sz w:val="20"/>
                <w:szCs w:val="20"/>
                <w:color w:val="auto"/>
              </w:rPr>
            </w:pPr>
            <w:r>
              <w:rPr>
                <w:rFonts w:ascii="Arial" w:cs="Arial" w:eastAsia="Arial" w:hAnsi="Arial"/>
                <w:sz w:val="16"/>
                <w:szCs w:val="16"/>
                <w:color w:val="0000FF"/>
              </w:rPr>
              <w:t>Consolidated Statements of Operations</w:t>
            </w:r>
          </w:p>
        </w:tc>
        <w:tc>
          <w:tcPr>
            <w:tcW w:w="780" w:type="dxa"/>
            <w:vAlign w:val="bottom"/>
          </w:tcPr>
          <w:p>
            <w:pPr>
              <w:jc w:val="center"/>
              <w:spacing w:after="0" w:line="162"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3560" w:type="dxa"/>
            <w:vAlign w:val="bottom"/>
            <w:tcBorders>
              <w:bottom w:val="single" w:sz="8" w:color="0000FF"/>
            </w:tcBorders>
            <w:gridSpan w:val="6"/>
            <w:shd w:val="clear" w:color="auto" w:fill="CFF0FC"/>
          </w:tcPr>
          <w:p>
            <w:pPr>
              <w:spacing w:after="0" w:line="162" w:lineRule="exact"/>
              <w:rPr>
                <w:sz w:val="20"/>
                <w:szCs w:val="20"/>
                <w:color w:val="auto"/>
              </w:rPr>
            </w:pPr>
            <w:r>
              <w:rPr>
                <w:rFonts w:ascii="Arial" w:cs="Arial" w:eastAsia="Arial" w:hAnsi="Arial"/>
                <w:sz w:val="16"/>
                <w:szCs w:val="16"/>
                <w:color w:val="0000FF"/>
              </w:rPr>
              <w:t>Consolidated Statements of Comprehensive Loss</w:t>
            </w:r>
          </w:p>
        </w:tc>
        <w:tc>
          <w:tcPr>
            <w:tcW w:w="6880" w:type="dxa"/>
            <w:vAlign w:val="bottom"/>
            <w:tcBorders>
              <w:bottom w:val="single" w:sz="8" w:color="CFF0FC"/>
            </w:tcBorders>
            <w:gridSpan w:val="2"/>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62"/>
        </w:trPr>
        <w:tc>
          <w:tcPr>
            <w:tcW w:w="10460" w:type="dxa"/>
            <w:vAlign w:val="bottom"/>
            <w:gridSpan w:val="9"/>
          </w:tcPr>
          <w:p>
            <w:pPr>
              <w:ind w:left="20"/>
              <w:spacing w:after="0" w:line="162" w:lineRule="exact"/>
              <w:rPr>
                <w:sz w:val="20"/>
                <w:szCs w:val="20"/>
                <w:color w:val="auto"/>
              </w:rPr>
            </w:pPr>
            <w:r>
              <w:rPr>
                <w:rFonts w:ascii="Arial" w:cs="Arial" w:eastAsia="Arial" w:hAnsi="Arial"/>
                <w:sz w:val="16"/>
                <w:szCs w:val="16"/>
                <w:color w:val="0000FF"/>
              </w:rPr>
              <w:t>Consolidated Statements of Stockholders’ Equity</w:t>
            </w:r>
          </w:p>
        </w:tc>
        <w:tc>
          <w:tcPr>
            <w:tcW w:w="780" w:type="dxa"/>
            <w:vAlign w:val="bottom"/>
          </w:tcPr>
          <w:p>
            <w:pPr>
              <w:jc w:val="center"/>
              <w:spacing w:after="0" w:line="162"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0440" w:type="dxa"/>
            <w:vAlign w:val="bottom"/>
            <w:gridSpan w:val="8"/>
            <w:shd w:val="clear" w:color="auto" w:fill="CFF0FC"/>
          </w:tcPr>
          <w:p>
            <w:pPr>
              <w:spacing w:after="0" w:line="162" w:lineRule="exact"/>
              <w:rPr>
                <w:sz w:val="20"/>
                <w:szCs w:val="20"/>
                <w:color w:val="auto"/>
              </w:rPr>
            </w:pPr>
            <w:r>
              <w:rPr>
                <w:rFonts w:ascii="Arial" w:cs="Arial" w:eastAsia="Arial" w:hAnsi="Arial"/>
                <w:sz w:val="16"/>
                <w:szCs w:val="16"/>
                <w:color w:val="0000FF"/>
              </w:rPr>
              <w:t>Consolidated Statements of Cash Flows</w:t>
            </w:r>
          </w:p>
        </w:tc>
        <w:tc>
          <w:tcPr>
            <w:tcW w:w="78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0000FF"/>
            </w:tcBorders>
            <w:shd w:val="clear" w:color="auto" w:fill="CFF0FC"/>
          </w:tcPr>
          <w:p>
            <w:pPr>
              <w:spacing w:after="0" w:line="20" w:lineRule="exact"/>
              <w:rPr>
                <w:sz w:val="1"/>
                <w:szCs w:val="1"/>
                <w:color w:val="auto"/>
              </w:rPr>
            </w:pPr>
          </w:p>
        </w:tc>
        <w:tc>
          <w:tcPr>
            <w:tcW w:w="7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6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440" w:type="dxa"/>
            <w:vAlign w:val="bottom"/>
            <w:gridSpan w:val="8"/>
          </w:tcPr>
          <w:p>
            <w:pPr>
              <w:spacing w:after="0" w:line="162" w:lineRule="exact"/>
              <w:rPr>
                <w:sz w:val="20"/>
                <w:szCs w:val="20"/>
                <w:color w:val="auto"/>
              </w:rPr>
            </w:pPr>
            <w:r>
              <w:rPr>
                <w:rFonts w:ascii="Arial" w:cs="Arial" w:eastAsia="Arial" w:hAnsi="Arial"/>
                <w:sz w:val="16"/>
                <w:szCs w:val="16"/>
                <w:color w:val="0000FF"/>
              </w:rPr>
              <w:t>Notes to Consolidated Financial Statements</w:t>
            </w:r>
          </w:p>
        </w:tc>
        <w:tc>
          <w:tcPr>
            <w:tcW w:w="780" w:type="dxa"/>
            <w:vAlign w:val="bottom"/>
          </w:tcPr>
          <w:p>
            <w:pPr>
              <w:jc w:val="center"/>
              <w:spacing w:after="0" w:line="162"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460" w:type="dxa"/>
            <w:vAlign w:val="bottom"/>
            <w:gridSpan w:val="9"/>
            <w:shd w:val="clear" w:color="auto" w:fill="CFF0FC"/>
          </w:tcPr>
          <w:p>
            <w:pPr>
              <w:ind w:left="20"/>
              <w:spacing w:after="0" w:line="162" w:lineRule="exact"/>
              <w:rPr>
                <w:sz w:val="20"/>
                <w:szCs w:val="20"/>
                <w:color w:val="auto"/>
              </w:rPr>
            </w:pPr>
            <w:r>
              <w:rPr>
                <w:rFonts w:ascii="Arial" w:cs="Arial" w:eastAsia="Arial" w:hAnsi="Arial"/>
                <w:sz w:val="16"/>
                <w:szCs w:val="16"/>
                <w:color w:val="0000FF"/>
              </w:rPr>
              <w:t>Reports of Independent Registered Public Accounting Firms</w:t>
            </w:r>
          </w:p>
        </w:tc>
        <w:tc>
          <w:tcPr>
            <w:tcW w:w="78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0000FF"/>
            </w:tcBorders>
            <w:shd w:val="clear" w:color="auto" w:fill="CFF0FC"/>
          </w:tcPr>
          <w:p>
            <w:pPr>
              <w:spacing w:after="0" w:line="20" w:lineRule="exact"/>
              <w:rPr>
                <w:sz w:val="1"/>
                <w:szCs w:val="1"/>
                <w:color w:val="auto"/>
              </w:rPr>
            </w:pPr>
          </w:p>
        </w:tc>
        <w:tc>
          <w:tcPr>
            <w:tcW w:w="7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0000FF"/>
            </w:tcBorders>
            <w:shd w:val="clear" w:color="auto" w:fill="CFF0FC"/>
          </w:tcPr>
          <w:p>
            <w:pPr>
              <w:spacing w:after="0" w:line="20" w:lineRule="exact"/>
              <w:rPr>
                <w:sz w:val="1"/>
                <w:szCs w:val="1"/>
                <w:color w:val="auto"/>
              </w:rPr>
            </w:pPr>
          </w:p>
        </w:tc>
        <w:tc>
          <w:tcPr>
            <w:tcW w:w="6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(b)</w:t>
        <w:tab/>
        <w:t>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3"/>
          </w:tcPr>
          <w:p>
            <w:pPr>
              <w:ind w:left="520"/>
              <w:spacing w:after="0"/>
              <w:rPr>
                <w:sz w:val="20"/>
                <w:szCs w:val="20"/>
                <w:color w:val="auto"/>
              </w:rPr>
            </w:pPr>
            <w:r>
              <w:rPr>
                <w:rFonts w:ascii="Arial" w:cs="Arial" w:eastAsia="Arial" w:hAnsi="Arial"/>
                <w:sz w:val="16"/>
                <w:szCs w:val="16"/>
                <w:b w:val="1"/>
                <w:bCs w:val="1"/>
                <w:color w:val="auto"/>
              </w:rPr>
              <w:t>Description</w:t>
            </w:r>
          </w:p>
        </w:tc>
      </w:tr>
      <w:tr>
        <w:trPr>
          <w:trHeight w:val="156"/>
        </w:trPr>
        <w:tc>
          <w:tcPr>
            <w:tcW w:w="1060" w:type="dxa"/>
            <w:vAlign w:val="bottom"/>
          </w:tcPr>
          <w:p>
            <w:pPr>
              <w:ind w:left="20"/>
              <w:spacing w:after="0" w:line="155" w:lineRule="exact"/>
              <w:rPr>
                <w:sz w:val="20"/>
                <w:szCs w:val="20"/>
                <w:color w:val="auto"/>
              </w:rPr>
            </w:pPr>
            <w:r>
              <w:rPr>
                <w:rFonts w:ascii="Arial" w:cs="Arial" w:eastAsia="Arial" w:hAnsi="Arial"/>
                <w:sz w:val="16"/>
                <w:szCs w:val="16"/>
                <w:color w:val="auto"/>
              </w:rPr>
              <w:t>3.1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gridSpan w:val="50"/>
          </w:tcPr>
          <w:p>
            <w:pPr>
              <w:spacing w:after="0" w:line="155" w:lineRule="exact"/>
              <w:rPr>
                <w:rFonts w:ascii="Arial" w:cs="Arial" w:eastAsia="Arial" w:hAnsi="Arial"/>
                <w:sz w:val="16"/>
                <w:szCs w:val="16"/>
                <w:color w:val="0000FF"/>
              </w:rPr>
            </w:pPr>
            <w:hyperlink r:id="rId371">
              <w:r>
                <w:rPr>
                  <w:rFonts w:ascii="Arial" w:cs="Arial" w:eastAsia="Arial" w:hAnsi="Arial"/>
                  <w:sz w:val="16"/>
                  <w:szCs w:val="16"/>
                  <w:color w:val="0000FF"/>
                </w:rPr>
                <w:t>Amended and Restated Certificate of Incorporation of the Registrant.</w:t>
              </w:r>
            </w:hyperlink>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15"/>
          </w:tcPr>
          <w:p>
            <w:pPr>
              <w:spacing w:after="0"/>
              <w:rPr>
                <w:rFonts w:ascii="Arial" w:cs="Arial" w:eastAsia="Arial" w:hAnsi="Arial"/>
                <w:sz w:val="16"/>
                <w:szCs w:val="16"/>
                <w:color w:val="0000FF"/>
              </w:rPr>
            </w:pPr>
            <w:hyperlink r:id="rId372">
              <w:r>
                <w:rPr>
                  <w:rFonts w:ascii="Arial" w:cs="Arial" w:eastAsia="Arial" w:hAnsi="Arial"/>
                  <w:sz w:val="16"/>
                  <w:szCs w:val="16"/>
                  <w:color w:val="0000FF"/>
                </w:rPr>
                <w:t>Amended and Restated Bylaws of the Registrant.</w:t>
              </w:r>
            </w:hyperlink>
          </w:p>
        </w:tc>
        <w:tc>
          <w:tcPr>
            <w:tcW w:w="1380" w:type="dxa"/>
            <w:vAlign w:val="bottom"/>
            <w:tcBorders>
              <w:top w:val="single" w:sz="8" w:color="0000FF"/>
            </w:tcBorders>
            <w:gridSpan w:val="17"/>
          </w:tcPr>
          <w:p>
            <w:pPr>
              <w:spacing w:after="0"/>
              <w:rPr>
                <w:sz w:val="17"/>
                <w:szCs w:val="17"/>
                <w:color w:val="auto"/>
              </w:rPr>
            </w:pPr>
          </w:p>
        </w:tc>
        <w:tc>
          <w:tcPr>
            <w:tcW w:w="500" w:type="dxa"/>
            <w:vAlign w:val="bottom"/>
            <w:gridSpan w:val="18"/>
          </w:tcPr>
          <w:p>
            <w:pPr>
              <w:spacing w:after="0"/>
              <w:rPr>
                <w:sz w:val="17"/>
                <w:szCs w:val="17"/>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bottom w:val="single" w:sz="8" w:color="0000FF"/>
            </w:tcBorders>
            <w:gridSpan w:val="11"/>
          </w:tcPr>
          <w:p>
            <w:pPr>
              <w:spacing w:after="0"/>
              <w:rPr>
                <w:rFonts w:ascii="Arial" w:cs="Arial" w:eastAsia="Arial" w:hAnsi="Arial"/>
                <w:sz w:val="16"/>
                <w:szCs w:val="16"/>
                <w:color w:val="0000FF"/>
              </w:rPr>
            </w:pPr>
            <w:hyperlink r:id="rId373">
              <w:r>
                <w:rPr>
                  <w:rFonts w:ascii="Arial" w:cs="Arial" w:eastAsia="Arial" w:hAnsi="Arial"/>
                  <w:sz w:val="16"/>
                  <w:szCs w:val="16"/>
                  <w:color w:val="0000FF"/>
                </w:rPr>
                <w:t>Description of Securities of Personalis, Inc.</w:t>
              </w:r>
            </w:hyperlink>
          </w:p>
        </w:tc>
        <w:tc>
          <w:tcPr>
            <w:tcW w:w="2340" w:type="dxa"/>
            <w:vAlign w:val="bottom"/>
            <w:gridSpan w:val="39"/>
          </w:tcPr>
          <w:p>
            <w:pPr>
              <w:spacing w:after="0"/>
              <w:rPr>
                <w:sz w:val="17"/>
                <w:szCs w:val="17"/>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0000FF"/>
            </w:tcBorders>
            <w:gridSpan w:val="18"/>
          </w:tcPr>
          <w:p>
            <w:pPr>
              <w:spacing w:after="0"/>
              <w:rPr>
                <w:rFonts w:ascii="Arial" w:cs="Arial" w:eastAsia="Arial" w:hAnsi="Arial"/>
                <w:sz w:val="16"/>
                <w:szCs w:val="16"/>
                <w:color w:val="0000FF"/>
              </w:rPr>
            </w:pPr>
            <w:hyperlink r:id="rId374">
              <w:r>
                <w:rPr>
                  <w:rFonts w:ascii="Arial" w:cs="Arial" w:eastAsia="Arial" w:hAnsi="Arial"/>
                  <w:sz w:val="16"/>
                  <w:szCs w:val="16"/>
                  <w:color w:val="0000FF"/>
                </w:rPr>
                <w:t>Form of Common Stock Certificate of the Registrant.</w:t>
              </w:r>
            </w:hyperlink>
          </w:p>
        </w:tc>
        <w:tc>
          <w:tcPr>
            <w:tcW w:w="1660" w:type="dxa"/>
            <w:vAlign w:val="bottom"/>
            <w:gridSpan w:val="32"/>
          </w:tcPr>
          <w:p>
            <w:pPr>
              <w:spacing w:after="0"/>
              <w:rPr>
                <w:sz w:val="17"/>
                <w:szCs w:val="17"/>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50"/>
          </w:tcPr>
          <w:p>
            <w:pPr>
              <w:spacing w:after="0"/>
              <w:rPr>
                <w:rFonts w:ascii="Arial" w:cs="Arial" w:eastAsia="Arial" w:hAnsi="Arial"/>
                <w:sz w:val="16"/>
                <w:szCs w:val="16"/>
                <w:color w:val="0000FF"/>
              </w:rPr>
            </w:pPr>
            <w:hyperlink r:id="rId375">
              <w:r>
                <w:rPr>
                  <w:rFonts w:ascii="Arial" w:cs="Arial" w:eastAsia="Arial" w:hAnsi="Arial"/>
                  <w:sz w:val="16"/>
                  <w:szCs w:val="16"/>
                  <w:color w:val="0000FF"/>
                </w:rPr>
                <w:t>Warrant to Purchase Shares of Common Stock of Personalis, Inc., dated</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top w:val="single" w:sz="8" w:color="0000FF"/>
              <w:bottom w:val="single" w:sz="8" w:color="0000FF"/>
            </w:tcBorders>
            <w:gridSpan w:val="46"/>
          </w:tcPr>
          <w:p>
            <w:pPr>
              <w:spacing w:after="0" w:line="169" w:lineRule="exact"/>
              <w:rPr>
                <w:rFonts w:ascii="Arial" w:cs="Arial" w:eastAsia="Arial" w:hAnsi="Arial"/>
                <w:sz w:val="16"/>
                <w:szCs w:val="16"/>
                <w:color w:val="0000FF"/>
                <w:w w:val="99"/>
              </w:rPr>
            </w:pPr>
            <w:hyperlink r:id="rId375">
              <w:r>
                <w:rPr>
                  <w:rFonts w:ascii="Arial" w:cs="Arial" w:eastAsia="Arial" w:hAnsi="Arial"/>
                  <w:sz w:val="16"/>
                  <w:szCs w:val="16"/>
                  <w:color w:val="0000FF"/>
                  <w:w w:val="99"/>
                </w:rPr>
                <w:t>November 28, 2023, and expiring December 31, 2024 (the “First Warrant”)</w:t>
              </w:r>
            </w:hyperlink>
          </w:p>
        </w:tc>
        <w:tc>
          <w:tcPr>
            <w:tcW w:w="100" w:type="dxa"/>
            <w:vAlign w:val="bottom"/>
            <w:tcBorders>
              <w:bottom w:val="single" w:sz="8" w:color="0000FF"/>
            </w:tcBorders>
            <w:gridSpan w:val="2"/>
          </w:tcPr>
          <w:p>
            <w:pPr>
              <w:jc w:val="right"/>
              <w:spacing w:after="0" w:line="169" w:lineRule="exact"/>
              <w:rPr>
                <w:rFonts w:ascii="Arial" w:cs="Arial" w:eastAsia="Arial" w:hAnsi="Arial"/>
                <w:sz w:val="16"/>
                <w:szCs w:val="16"/>
                <w:color w:val="0000FF"/>
              </w:rPr>
            </w:pPr>
            <w:hyperlink r:id="rId375">
              <w:r>
                <w:rPr>
                  <w:rFonts w:ascii="Arial" w:cs="Arial" w:eastAsia="Arial" w:hAnsi="Arial"/>
                  <w:sz w:val="16"/>
                  <w:szCs w:val="16"/>
                  <w:color w:val="0000FF"/>
                </w:rPr>
                <w:t>.</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4.4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76">
              <w:r>
                <w:rPr>
                  <w:rFonts w:ascii="Arial" w:cs="Arial" w:eastAsia="Arial" w:hAnsi="Arial"/>
                  <w:sz w:val="16"/>
                  <w:szCs w:val="16"/>
                  <w:color w:val="0000FF"/>
                </w:rPr>
                <w:t>Warrant to Purchase Shares of Common Stock of Personalis, Inc., dated</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top w:val="single" w:sz="8" w:color="0000FF"/>
            </w:tcBorders>
            <w:gridSpan w:val="46"/>
          </w:tcPr>
          <w:p>
            <w:pPr>
              <w:spacing w:after="0" w:line="169" w:lineRule="exact"/>
              <w:rPr>
                <w:rFonts w:ascii="Arial" w:cs="Arial" w:eastAsia="Arial" w:hAnsi="Arial"/>
                <w:sz w:val="16"/>
                <w:szCs w:val="16"/>
                <w:color w:val="0000FF"/>
              </w:rPr>
            </w:pPr>
            <w:hyperlink r:id="rId376">
              <w:r>
                <w:rPr>
                  <w:rFonts w:ascii="Arial" w:cs="Arial" w:eastAsia="Arial" w:hAnsi="Arial"/>
                  <w:sz w:val="16"/>
                  <w:szCs w:val="16"/>
                  <w:color w:val="0000FF"/>
                </w:rPr>
                <w:t>November 28, 2023, and expiring December 31, 2025 (the “Second</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7"/>
              </w:rPr>
            </w:pPr>
            <w:hyperlink r:id="rId376">
              <w:r>
                <w:rPr>
                  <w:rFonts w:ascii="Arial" w:cs="Arial" w:eastAsia="Arial" w:hAnsi="Arial"/>
                  <w:sz w:val="16"/>
                  <w:szCs w:val="16"/>
                  <w:color w:val="0000FF"/>
                  <w:w w:val="97"/>
                </w:rPr>
                <w:t>Warrant”).</w:t>
              </w:r>
            </w:hyperlink>
          </w:p>
        </w:tc>
        <w:tc>
          <w:tcPr>
            <w:tcW w:w="20" w:type="dxa"/>
            <w:vAlign w:val="bottom"/>
            <w:tcBorders>
              <w:top w:val="single" w:sz="8" w:color="0000FF"/>
              <w:bottom w:val="single" w:sz="8" w:color="0000EE"/>
            </w:tcBorders>
          </w:tcPr>
          <w:p>
            <w:pPr>
              <w:spacing w:after="0"/>
              <w:rPr>
                <w:sz w:val="14"/>
                <w:szCs w:val="14"/>
                <w:color w:val="auto"/>
              </w:rPr>
            </w:pPr>
          </w:p>
        </w:tc>
        <w:tc>
          <w:tcPr>
            <w:tcW w:w="4140" w:type="dxa"/>
            <w:vAlign w:val="bottom"/>
            <w:tcBorders>
              <w:top w:val="single" w:sz="8" w:color="0000FF"/>
            </w:tcBorders>
            <w:gridSpan w:val="29"/>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77">
              <w:r>
                <w:rPr>
                  <w:rFonts w:ascii="Arial" w:cs="Arial" w:eastAsia="Arial" w:hAnsi="Arial"/>
                  <w:sz w:val="16"/>
                  <w:szCs w:val="16"/>
                  <w:color w:val="0000FF"/>
                </w:rPr>
                <w:t>Personalis, Inc. 2011 Equity Incentive Plan, as amended, and forms of</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w w:val="99"/>
              </w:rPr>
            </w:pPr>
            <w:hyperlink r:id="rId377">
              <w:r>
                <w:rPr>
                  <w:rFonts w:ascii="Arial" w:cs="Arial" w:eastAsia="Arial" w:hAnsi="Arial"/>
                  <w:sz w:val="16"/>
                  <w:szCs w:val="16"/>
                  <w:color w:val="0000FF"/>
                  <w:w w:val="99"/>
                </w:rPr>
                <w:t>agreements thereunder.</w:t>
              </w:r>
            </w:hyperlink>
          </w:p>
        </w:tc>
        <w:tc>
          <w:tcPr>
            <w:tcW w:w="20" w:type="dxa"/>
            <w:vAlign w:val="bottom"/>
            <w:tcBorders>
              <w:top w:val="single" w:sz="8" w:color="0000FF"/>
              <w:bottom w:val="single" w:sz="8" w:color="0000EE"/>
            </w:tcBorders>
          </w:tcPr>
          <w:p>
            <w:pPr>
              <w:spacing w:after="0"/>
              <w:rPr>
                <w:sz w:val="14"/>
                <w:szCs w:val="14"/>
                <w:color w:val="auto"/>
              </w:rPr>
            </w:pPr>
          </w:p>
        </w:tc>
        <w:tc>
          <w:tcPr>
            <w:tcW w:w="3360" w:type="dxa"/>
            <w:vAlign w:val="bottom"/>
            <w:tcBorders>
              <w:top w:val="single" w:sz="8" w:color="0000FF"/>
            </w:tcBorders>
            <w:gridSpan w:val="3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78">
              <w:r>
                <w:rPr>
                  <w:rFonts w:ascii="Arial" w:cs="Arial" w:eastAsia="Arial" w:hAnsi="Arial"/>
                  <w:sz w:val="16"/>
                  <w:szCs w:val="16"/>
                  <w:color w:val="0000FF"/>
                </w:rPr>
                <w:t>Personalis, Inc. 2019 Equity Incentive Plan and forms of agreements</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7"/>
              </w:rPr>
            </w:pPr>
            <w:hyperlink r:id="rId378">
              <w:r>
                <w:rPr>
                  <w:rFonts w:ascii="Arial" w:cs="Arial" w:eastAsia="Arial" w:hAnsi="Arial"/>
                  <w:sz w:val="16"/>
                  <w:szCs w:val="16"/>
                  <w:color w:val="0000FF"/>
                  <w:w w:val="97"/>
                </w:rPr>
                <w:t>thereunder.</w:t>
              </w:r>
            </w:hyperlink>
          </w:p>
        </w:tc>
        <w:tc>
          <w:tcPr>
            <w:tcW w:w="4180" w:type="dxa"/>
            <w:vAlign w:val="bottom"/>
            <w:tcBorders>
              <w:top w:val="single" w:sz="8" w:color="0000FF"/>
            </w:tcBorders>
            <w:gridSpan w:val="3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79">
              <w:r>
                <w:rPr>
                  <w:rFonts w:ascii="Arial" w:cs="Arial" w:eastAsia="Arial" w:hAnsi="Arial"/>
                  <w:sz w:val="16"/>
                  <w:szCs w:val="16"/>
                  <w:color w:val="0000FF"/>
                </w:rPr>
                <w:t>Personalis, Inc. 2019 Employee Stock Purchase Plan.</w:t>
              </w:r>
            </w:hyperlink>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6"/>
                <w:szCs w:val="16"/>
                <w:color w:val="0000FF"/>
              </w:rPr>
              <w:t>Personalis, Inc. 2020 Inducement Plan, as amended.</w:t>
            </w:r>
          </w:p>
        </w:tc>
        <w:tc>
          <w:tcPr>
            <w:tcW w:w="60" w:type="dxa"/>
            <w:vAlign w:val="bottom"/>
            <w:tcBorders>
              <w:top w:val="single" w:sz="8" w:color="0000FF"/>
            </w:tcBorders>
          </w:tcPr>
          <w:p>
            <w:pPr>
              <w:spacing w:after="0"/>
              <w:rPr>
                <w:sz w:val="17"/>
                <w:szCs w:val="17"/>
                <w:color w:val="auto"/>
              </w:rPr>
            </w:pPr>
          </w:p>
        </w:tc>
        <w:tc>
          <w:tcPr>
            <w:tcW w:w="1560" w:type="dxa"/>
            <w:vAlign w:val="bottom"/>
            <w:gridSpan w:val="30"/>
          </w:tcPr>
          <w:p>
            <w:pPr>
              <w:spacing w:after="0"/>
              <w:rPr>
                <w:sz w:val="17"/>
                <w:szCs w:val="17"/>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000FF"/>
            </w:tcBorders>
            <w:gridSpan w:val="24"/>
          </w:tcPr>
          <w:p>
            <w:pPr>
              <w:spacing w:after="0"/>
              <w:rPr>
                <w:sz w:val="20"/>
                <w:szCs w:val="20"/>
                <w:color w:val="auto"/>
              </w:rPr>
            </w:pPr>
            <w:r>
              <w:rPr>
                <w:rFonts w:ascii="Arial" w:cs="Arial" w:eastAsia="Arial" w:hAnsi="Arial"/>
                <w:sz w:val="16"/>
                <w:szCs w:val="16"/>
                <w:color w:val="0000FF"/>
              </w:rPr>
              <w:t>Form of RSU Award Agreement under 2020 Inducement Plan.</w:t>
            </w:r>
          </w:p>
        </w:tc>
        <w:tc>
          <w:tcPr>
            <w:tcW w:w="960" w:type="dxa"/>
            <w:vAlign w:val="bottom"/>
            <w:gridSpan w:val="26"/>
          </w:tcPr>
          <w:p>
            <w:pPr>
              <w:spacing w:after="0"/>
              <w:rPr>
                <w:sz w:val="17"/>
                <w:szCs w:val="17"/>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50"/>
          </w:tcPr>
          <w:p>
            <w:pPr>
              <w:spacing w:after="0"/>
              <w:rPr>
                <w:sz w:val="20"/>
                <w:szCs w:val="20"/>
                <w:color w:val="auto"/>
              </w:rPr>
            </w:pPr>
            <w:r>
              <w:rPr>
                <w:rFonts w:ascii="Arial" w:cs="Arial" w:eastAsia="Arial" w:hAnsi="Arial"/>
                <w:sz w:val="16"/>
                <w:szCs w:val="16"/>
                <w:color w:val="0000FF"/>
              </w:rPr>
              <w:t>Form of Option Agreement under 2020 Inducement Plan.</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50"/>
          </w:tcPr>
          <w:p>
            <w:pPr>
              <w:spacing w:after="0"/>
              <w:rPr>
                <w:rFonts w:ascii="Arial" w:cs="Arial" w:eastAsia="Arial" w:hAnsi="Arial"/>
                <w:sz w:val="16"/>
                <w:szCs w:val="16"/>
                <w:color w:val="0000FF"/>
              </w:rPr>
            </w:pPr>
            <w:hyperlink r:id="rId380">
              <w:r>
                <w:rPr>
                  <w:rFonts w:ascii="Arial" w:cs="Arial" w:eastAsia="Arial" w:hAnsi="Arial"/>
                  <w:sz w:val="16"/>
                  <w:szCs w:val="16"/>
                  <w:color w:val="0000FF"/>
                </w:rPr>
                <w:t>Form of Indemnification Agreement entered into by and between the</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16"/>
          </w:tcPr>
          <w:p>
            <w:pPr>
              <w:spacing w:after="0" w:line="169" w:lineRule="exact"/>
              <w:rPr>
                <w:rFonts w:ascii="Arial" w:cs="Arial" w:eastAsia="Arial" w:hAnsi="Arial"/>
                <w:sz w:val="16"/>
                <w:szCs w:val="16"/>
                <w:color w:val="0000FF"/>
              </w:rPr>
            </w:pPr>
            <w:hyperlink r:id="rId380">
              <w:r>
                <w:rPr>
                  <w:rFonts w:ascii="Arial" w:cs="Arial" w:eastAsia="Arial" w:hAnsi="Arial"/>
                  <w:sz w:val="16"/>
                  <w:szCs w:val="16"/>
                  <w:color w:val="0000FF"/>
                </w:rPr>
                <w:t>Registrant and each director and executive officer.</w:t>
              </w:r>
            </w:hyperlink>
          </w:p>
        </w:tc>
        <w:tc>
          <w:tcPr>
            <w:tcW w:w="20" w:type="dxa"/>
            <w:vAlign w:val="bottom"/>
            <w:tcBorders>
              <w:top w:val="single" w:sz="8" w:color="0000FF"/>
              <w:bottom w:val="single" w:sz="8" w:color="0000EE"/>
            </w:tcBorders>
          </w:tcPr>
          <w:p>
            <w:pPr>
              <w:spacing w:after="0"/>
              <w:rPr>
                <w:sz w:val="14"/>
                <w:szCs w:val="14"/>
                <w:color w:val="auto"/>
              </w:rPr>
            </w:pPr>
          </w:p>
        </w:tc>
        <w:tc>
          <w:tcPr>
            <w:tcW w:w="132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81">
              <w:r>
                <w:rPr>
                  <w:rFonts w:ascii="Arial" w:cs="Arial" w:eastAsia="Arial" w:hAnsi="Arial"/>
                  <w:sz w:val="16"/>
                  <w:szCs w:val="16"/>
                  <w:color w:val="0000FF"/>
                </w:rPr>
                <w:t>Amended and Restated Non-Employee Director Compensation Policy,</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gridSpan w:val="38"/>
          </w:tcPr>
          <w:p>
            <w:pPr>
              <w:spacing w:after="0" w:line="169" w:lineRule="exact"/>
              <w:rPr>
                <w:rFonts w:ascii="Arial" w:cs="Arial" w:eastAsia="Arial" w:hAnsi="Arial"/>
                <w:sz w:val="16"/>
                <w:szCs w:val="16"/>
                <w:color w:val="0000FF"/>
              </w:rPr>
            </w:pPr>
            <w:hyperlink r:id="rId381">
              <w:r>
                <w:rPr>
                  <w:rFonts w:ascii="Arial" w:cs="Arial" w:eastAsia="Arial" w:hAnsi="Arial"/>
                  <w:sz w:val="16"/>
                  <w:szCs w:val="16"/>
                  <w:color w:val="0000FF"/>
                </w:rPr>
                <w:t>dated March 2, 2023.</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82">
              <w:r>
                <w:rPr>
                  <w:rFonts w:ascii="Arial" w:cs="Arial" w:eastAsia="Arial" w:hAnsi="Arial"/>
                  <w:sz w:val="16"/>
                  <w:szCs w:val="16"/>
                  <w:color w:val="0000FF"/>
                </w:rPr>
                <w:t>Amended and Restated Employment Agreement dated March 7, 2023,</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Borders>
              <w:top w:val="single" w:sz="8" w:color="0000FF"/>
              <w:bottom w:val="single" w:sz="8" w:color="0000FF"/>
            </w:tcBorders>
            <w:gridSpan w:val="13"/>
          </w:tcPr>
          <w:p>
            <w:pPr>
              <w:spacing w:after="0" w:line="169" w:lineRule="exact"/>
              <w:rPr>
                <w:rFonts w:ascii="Arial" w:cs="Arial" w:eastAsia="Arial" w:hAnsi="Arial"/>
                <w:sz w:val="16"/>
                <w:szCs w:val="16"/>
                <w:color w:val="0000FF"/>
              </w:rPr>
            </w:pPr>
            <w:hyperlink r:id="rId382">
              <w:r>
                <w:rPr>
                  <w:rFonts w:ascii="Arial" w:cs="Arial" w:eastAsia="Arial" w:hAnsi="Arial"/>
                  <w:sz w:val="16"/>
                  <w:szCs w:val="16"/>
                  <w:color w:val="0000FF"/>
                </w:rPr>
                <w:t>between the Company and Aaron Tachibana.</w:t>
              </w:r>
            </w:hyperlink>
          </w:p>
        </w:tc>
        <w:tc>
          <w:tcPr>
            <w:tcW w:w="186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83">
              <w:r>
                <w:rPr>
                  <w:rFonts w:ascii="Arial" w:cs="Arial" w:eastAsia="Arial" w:hAnsi="Arial"/>
                  <w:sz w:val="16"/>
                  <w:szCs w:val="16"/>
                  <w:color w:val="0000FF"/>
                </w:rPr>
                <w:t>Amended and Restated Offer Letter, dated March 7, 2023, between the</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383">
              <w:r>
                <w:rPr>
                  <w:rFonts w:ascii="Arial" w:cs="Arial" w:eastAsia="Arial" w:hAnsi="Arial"/>
                  <w:sz w:val="16"/>
                  <w:szCs w:val="16"/>
                  <w:color w:val="0000FF"/>
                </w:rPr>
                <w:t>Company and Christopher Hall.</w:t>
              </w:r>
            </w:hyperlink>
          </w:p>
        </w:tc>
        <w:tc>
          <w:tcPr>
            <w:tcW w:w="2880" w:type="dxa"/>
            <w:vAlign w:val="bottom"/>
            <w:tcBorders>
              <w:top w:val="single" w:sz="8" w:color="0000FF"/>
            </w:tcBorders>
            <w:gridSpan w:val="3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84">
              <w:r>
                <w:rPr>
                  <w:rFonts w:ascii="Arial" w:cs="Arial" w:eastAsia="Arial" w:hAnsi="Arial"/>
                  <w:sz w:val="16"/>
                  <w:szCs w:val="16"/>
                  <w:color w:val="0000FF"/>
                </w:rPr>
                <w:t>Amended and Restated Employment Agreement dated March 8, 2023,</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rPr>
            </w:pPr>
            <w:hyperlink r:id="rId384">
              <w:r>
                <w:rPr>
                  <w:rFonts w:ascii="Arial" w:cs="Arial" w:eastAsia="Arial" w:hAnsi="Arial"/>
                  <w:sz w:val="16"/>
                  <w:szCs w:val="16"/>
                  <w:color w:val="0000FF"/>
                </w:rPr>
                <w:t>between the Company and Richard Chen.</w:t>
              </w:r>
            </w:hyperlink>
          </w:p>
        </w:tc>
        <w:tc>
          <w:tcPr>
            <w:tcW w:w="2100" w:type="dxa"/>
            <w:vAlign w:val="bottom"/>
            <w:tcBorders>
              <w:top w:val="single" w:sz="8" w:color="0000FF"/>
            </w:tcBorders>
            <w:gridSpan w:val="30"/>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sz w:val="20"/>
                <w:szCs w:val="20"/>
                <w:color w:val="auto"/>
              </w:rPr>
            </w:pPr>
            <w:r>
              <w:rPr>
                <w:rFonts w:ascii="Arial" w:cs="Arial" w:eastAsia="Arial" w:hAnsi="Arial"/>
                <w:sz w:val="16"/>
                <w:szCs w:val="16"/>
                <w:color w:val="0000FF"/>
              </w:rPr>
              <w:t>Second Amended and Restated Executive Severance Agreement, dated</w:t>
            </w: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Borders>
              <w:top w:val="single" w:sz="8" w:color="0000FF"/>
            </w:tcBorders>
            <w:gridSpan w:val="45"/>
          </w:tcPr>
          <w:p>
            <w:pPr>
              <w:spacing w:after="0" w:line="169" w:lineRule="exact"/>
              <w:rPr>
                <w:sz w:val="20"/>
                <w:szCs w:val="20"/>
                <w:color w:val="auto"/>
              </w:rPr>
            </w:pPr>
            <w:r>
              <w:rPr>
                <w:rFonts w:ascii="Arial" w:cs="Arial" w:eastAsia="Arial" w:hAnsi="Arial"/>
                <w:sz w:val="16"/>
                <w:szCs w:val="16"/>
                <w:color w:val="0000FF"/>
              </w:rPr>
              <w:t>September 25, 2023, between the Company and Christopher Hall.</w:t>
            </w: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sz w:val="20"/>
                <w:szCs w:val="20"/>
                <w:color w:val="auto"/>
              </w:rPr>
            </w:pPr>
            <w:r>
              <w:rPr>
                <w:rFonts w:ascii="Arial" w:cs="Arial" w:eastAsia="Arial" w:hAnsi="Arial"/>
                <w:sz w:val="16"/>
                <w:szCs w:val="16"/>
                <w:color w:val="0000FF"/>
              </w:rPr>
              <w:t>Third Amended and Restated Executive Severance Agreement, dated</w:t>
            </w: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28"/>
          </w:tcPr>
          <w:p>
            <w:pPr>
              <w:spacing w:after="0" w:line="169" w:lineRule="exact"/>
              <w:rPr>
                <w:sz w:val="20"/>
                <w:szCs w:val="20"/>
                <w:color w:val="auto"/>
              </w:rPr>
            </w:pPr>
            <w:r>
              <w:rPr>
                <w:rFonts w:ascii="Arial" w:cs="Arial" w:eastAsia="Arial" w:hAnsi="Arial"/>
                <w:sz w:val="16"/>
                <w:szCs w:val="16"/>
                <w:color w:val="0000FF"/>
              </w:rPr>
              <w:t>September 25, 2023, between the Company and Aaron Tachibana.</w:t>
            </w:r>
          </w:p>
        </w:tc>
        <w:tc>
          <w:tcPr>
            <w:tcW w:w="20" w:type="dxa"/>
            <w:vAlign w:val="bottom"/>
            <w:tcBorders>
              <w:top w:val="single" w:sz="8" w:color="0000FF"/>
              <w:bottom w:val="single" w:sz="8" w:color="0000EE"/>
            </w:tcBorders>
          </w:tcPr>
          <w:p>
            <w:pPr>
              <w:spacing w:after="0"/>
              <w:rPr>
                <w:sz w:val="14"/>
                <w:szCs w:val="14"/>
                <w:color w:val="auto"/>
              </w:rPr>
            </w:pPr>
          </w:p>
        </w:tc>
        <w:tc>
          <w:tcPr>
            <w:tcW w:w="240" w:type="dxa"/>
            <w:vAlign w:val="bottom"/>
            <w:tcBorders>
              <w:top w:val="single" w:sz="8" w:color="0000FF"/>
            </w:tcBorders>
            <w:gridSpan w:val="8"/>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sz w:val="20"/>
                <w:szCs w:val="20"/>
                <w:color w:val="auto"/>
              </w:rPr>
            </w:pPr>
            <w:r>
              <w:rPr>
                <w:rFonts w:ascii="Arial" w:cs="Arial" w:eastAsia="Arial" w:hAnsi="Arial"/>
                <w:sz w:val="16"/>
                <w:szCs w:val="16"/>
                <w:color w:val="0000FF"/>
              </w:rPr>
              <w:t>Third Amended and Restated Executive Severance Agreement, dated</w:t>
            </w: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gridSpan w:val="26"/>
          </w:tcPr>
          <w:p>
            <w:pPr>
              <w:spacing w:after="0" w:line="169" w:lineRule="exact"/>
              <w:rPr>
                <w:sz w:val="20"/>
                <w:szCs w:val="20"/>
                <w:color w:val="auto"/>
              </w:rPr>
            </w:pPr>
            <w:r>
              <w:rPr>
                <w:rFonts w:ascii="Arial" w:cs="Arial" w:eastAsia="Arial" w:hAnsi="Arial"/>
                <w:sz w:val="16"/>
                <w:szCs w:val="16"/>
                <w:color w:val="0000FF"/>
              </w:rPr>
              <w:t>September 25, 2023, between the Company and Richard Chen.</w:t>
            </w:r>
          </w:p>
        </w:tc>
        <w:tc>
          <w:tcPr>
            <w:tcW w:w="480" w:type="dxa"/>
            <w:vAlign w:val="bottom"/>
            <w:tcBorders>
              <w:top w:val="single" w:sz="8" w:color="0000FF"/>
            </w:tcBorders>
            <w:gridSpan w:val="11"/>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sz w:val="20"/>
                <w:szCs w:val="20"/>
                <w:color w:val="auto"/>
              </w:rPr>
            </w:pPr>
            <w:r>
              <w:rPr>
                <w:rFonts w:ascii="Arial" w:cs="Arial" w:eastAsia="Arial" w:hAnsi="Arial"/>
                <w:sz w:val="16"/>
                <w:szCs w:val="16"/>
                <w:color w:val="0000FF"/>
              </w:rPr>
              <w:t>Second Amended and Restated Executive Severance Agreement, dated</w:t>
            </w: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Borders>
              <w:top w:val="single" w:sz="8" w:color="0000FF"/>
            </w:tcBorders>
            <w:gridSpan w:val="45"/>
          </w:tcPr>
          <w:p>
            <w:pPr>
              <w:spacing w:after="0" w:line="169" w:lineRule="exact"/>
              <w:rPr>
                <w:sz w:val="20"/>
                <w:szCs w:val="20"/>
                <w:color w:val="auto"/>
              </w:rPr>
            </w:pPr>
            <w:r>
              <w:rPr>
                <w:rFonts w:ascii="Arial" w:cs="Arial" w:eastAsia="Arial" w:hAnsi="Arial"/>
                <w:sz w:val="16"/>
                <w:szCs w:val="16"/>
                <w:color w:val="0000FF"/>
              </w:rPr>
              <w:t>September 18, 2023, between the Company and Stephen Moore.</w:t>
            </w: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10.16</w:t>
            </w:r>
            <w:r>
              <w:rPr>
                <w:rFonts w:ascii="Arial" w:cs="Arial" w:eastAsia="Arial" w:hAnsi="Arial"/>
                <w:sz w:val="14"/>
                <w:szCs w:val="14"/>
                <w:color w:val="auto"/>
              </w:rPr>
              <w:t>Ω</w:t>
            </w: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85">
              <w:r>
                <w:rPr>
                  <w:rFonts w:ascii="Arial" w:cs="Arial" w:eastAsia="Arial" w:hAnsi="Arial"/>
                  <w:sz w:val="16"/>
                  <w:szCs w:val="16"/>
                  <w:color w:val="0000FF"/>
                </w:rPr>
                <w:t>Commercialization and Reference Laboratory Agreement, between</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tcBorders>
              <w:top w:val="single" w:sz="8" w:color="0000FF"/>
              <w:bottom w:val="single" w:sz="8" w:color="0000FF"/>
            </w:tcBorders>
            <w:gridSpan w:val="30"/>
          </w:tcPr>
          <w:p>
            <w:pPr>
              <w:spacing w:after="0" w:line="169" w:lineRule="exact"/>
              <w:rPr>
                <w:rFonts w:ascii="Arial" w:cs="Arial" w:eastAsia="Arial" w:hAnsi="Arial"/>
                <w:sz w:val="16"/>
                <w:szCs w:val="16"/>
                <w:color w:val="0000FF"/>
                <w:w w:val="98"/>
              </w:rPr>
            </w:pPr>
            <w:hyperlink r:id="rId385">
              <w:r>
                <w:rPr>
                  <w:rFonts w:ascii="Arial" w:cs="Arial" w:eastAsia="Arial" w:hAnsi="Arial"/>
                  <w:sz w:val="16"/>
                  <w:szCs w:val="16"/>
                  <w:color w:val="0000FF"/>
                  <w:w w:val="98"/>
                </w:rPr>
                <w:t>Personalis, Inc. and Tempus AI, Inc. (f/k/a Tempus Labs, Inc.), dated</w:t>
              </w:r>
            </w:hyperlink>
          </w:p>
        </w:tc>
        <w:tc>
          <w:tcPr>
            <w:tcW w:w="120" w:type="dxa"/>
            <w:vAlign w:val="bottom"/>
            <w:tcBorders>
              <w:bottom w:val="single" w:sz="8" w:color="0000FF"/>
            </w:tcBorders>
            <w:gridSpan w:val="4"/>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8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35"/>
          </w:tcPr>
          <w:p>
            <w:pPr>
              <w:spacing w:after="0" w:line="169" w:lineRule="exact"/>
              <w:rPr>
                <w:rFonts w:ascii="Arial" w:cs="Arial" w:eastAsia="Arial" w:hAnsi="Arial"/>
                <w:sz w:val="16"/>
                <w:szCs w:val="16"/>
                <w:color w:val="0000FF"/>
              </w:rPr>
            </w:pPr>
            <w:hyperlink r:id="rId385">
              <w:r>
                <w:rPr>
                  <w:rFonts w:ascii="Arial" w:cs="Arial" w:eastAsia="Arial" w:hAnsi="Arial"/>
                  <w:sz w:val="16"/>
                  <w:szCs w:val="16"/>
                  <w:color w:val="0000FF"/>
                </w:rPr>
                <w:t>November 25, 2023.</w:t>
              </w:r>
            </w:hyperlink>
          </w:p>
        </w:tc>
        <w:tc>
          <w:tcPr>
            <w:tcW w:w="18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86">
              <w:r>
                <w:rPr>
                  <w:rFonts w:ascii="Arial" w:cs="Arial" w:eastAsia="Arial" w:hAnsi="Arial"/>
                  <w:sz w:val="16"/>
                  <w:szCs w:val="16"/>
                  <w:color w:val="0000FF"/>
                </w:rPr>
                <w:t>Lease, by and between MENLO PREHC I, LLC, MENLO PREPI I, LLC,</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34"/>
          </w:tcPr>
          <w:p>
            <w:pPr>
              <w:spacing w:after="0" w:line="169" w:lineRule="exact"/>
              <w:rPr>
                <w:rFonts w:ascii="Arial" w:cs="Arial" w:eastAsia="Arial" w:hAnsi="Arial"/>
                <w:sz w:val="16"/>
                <w:szCs w:val="16"/>
                <w:color w:val="0000FF"/>
              </w:rPr>
            </w:pPr>
            <w:hyperlink r:id="rId386">
              <w:r>
                <w:rPr>
                  <w:rFonts w:ascii="Arial" w:cs="Arial" w:eastAsia="Arial" w:hAnsi="Arial"/>
                  <w:sz w:val="16"/>
                  <w:szCs w:val="16"/>
                  <w:color w:val="0000FF"/>
                </w:rPr>
                <w:t>TPI INVESTORS 9, LLC and the Registrant, dated February 2, 2015.</w:t>
              </w:r>
            </w:hyperlink>
          </w:p>
        </w:tc>
        <w:tc>
          <w:tcPr>
            <w:tcW w:w="20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87">
              <w:r>
                <w:rPr>
                  <w:rFonts w:ascii="Arial" w:cs="Arial" w:eastAsia="Arial" w:hAnsi="Arial"/>
                  <w:sz w:val="16"/>
                  <w:szCs w:val="16"/>
                  <w:color w:val="0000FF"/>
                </w:rPr>
                <w:t>First Amendment to Lease, by and between MENLO PREPI I, LLC and TPI</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23"/>
          </w:tcPr>
          <w:p>
            <w:pPr>
              <w:spacing w:after="0" w:line="169" w:lineRule="exact"/>
              <w:rPr>
                <w:rFonts w:ascii="Arial" w:cs="Arial" w:eastAsia="Arial" w:hAnsi="Arial"/>
                <w:sz w:val="16"/>
                <w:szCs w:val="16"/>
                <w:color w:val="0000FF"/>
              </w:rPr>
            </w:pPr>
            <w:hyperlink r:id="rId387">
              <w:r>
                <w:rPr>
                  <w:rFonts w:ascii="Arial" w:cs="Arial" w:eastAsia="Arial" w:hAnsi="Arial"/>
                  <w:sz w:val="16"/>
                  <w:szCs w:val="16"/>
                  <w:color w:val="0000FF"/>
                </w:rPr>
                <w:t>INVESTORS 9, LLC and the Registrant, dated April 8, 2020.</w:t>
              </w:r>
            </w:hyperlink>
          </w:p>
        </w:tc>
        <w:tc>
          <w:tcPr>
            <w:tcW w:w="108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10.19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88">
              <w:r>
                <w:rPr>
                  <w:rFonts w:ascii="Arial" w:cs="Arial" w:eastAsia="Arial" w:hAnsi="Arial"/>
                  <w:sz w:val="16"/>
                  <w:szCs w:val="16"/>
                  <w:color w:val="0000FF"/>
                </w:rPr>
                <w:t>Lease, by and between Ardenwood Ventures I, LLC and the Registrant,</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388">
              <w:r>
                <w:rPr>
                  <w:rFonts w:ascii="Arial" w:cs="Arial" w:eastAsia="Arial" w:hAnsi="Arial"/>
                  <w:sz w:val="16"/>
                  <w:szCs w:val="16"/>
                  <w:color w:val="0000FF"/>
                </w:rPr>
                <w:t>dated August 25, 2021.</w:t>
              </w:r>
            </w:hyperlink>
          </w:p>
        </w:tc>
        <w:tc>
          <w:tcPr>
            <w:tcW w:w="3500" w:type="dxa"/>
            <w:vAlign w:val="bottom"/>
            <w:tcBorders>
              <w:top w:val="single" w:sz="8" w:color="0000FF"/>
            </w:tcBorders>
            <w:gridSpan w:val="3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10.20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89">
              <w:r>
                <w:rPr>
                  <w:rFonts w:ascii="Arial" w:cs="Arial" w:eastAsia="Arial" w:hAnsi="Arial"/>
                  <w:sz w:val="16"/>
                  <w:szCs w:val="16"/>
                  <w:color w:val="0000FF"/>
                </w:rPr>
                <w:t>Amendment No. 1 to Lease, by and between Ardenwood Ventures I, LLC</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40" w:type="dxa"/>
            <w:vAlign w:val="bottom"/>
            <w:tcBorders>
              <w:top w:val="single" w:sz="8" w:color="0000FF"/>
              <w:bottom w:val="single" w:sz="8" w:color="0000FF"/>
            </w:tcBorders>
            <w:gridSpan w:val="12"/>
          </w:tcPr>
          <w:p>
            <w:pPr>
              <w:spacing w:after="0" w:line="169" w:lineRule="exact"/>
              <w:rPr>
                <w:rFonts w:ascii="Arial" w:cs="Arial" w:eastAsia="Arial" w:hAnsi="Arial"/>
                <w:sz w:val="16"/>
                <w:szCs w:val="16"/>
                <w:color w:val="0000FF"/>
              </w:rPr>
            </w:pPr>
            <w:hyperlink r:id="rId389">
              <w:r>
                <w:rPr>
                  <w:rFonts w:ascii="Arial" w:cs="Arial" w:eastAsia="Arial" w:hAnsi="Arial"/>
                  <w:sz w:val="16"/>
                  <w:szCs w:val="16"/>
                  <w:color w:val="0000FF"/>
                </w:rPr>
                <w:t>and the Registrant, dated December 8, 2021.</w:t>
              </w:r>
            </w:hyperlink>
          </w:p>
        </w:tc>
        <w:tc>
          <w:tcPr>
            <w:tcW w:w="2040" w:type="dxa"/>
            <w:vAlign w:val="bottom"/>
            <w:tcBorders>
              <w:top w:val="single" w:sz="8" w:color="0000FF"/>
            </w:tcBorders>
            <w:gridSpan w:val="35"/>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182"/>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90">
              <w:r>
                <w:rPr>
                  <w:rFonts w:ascii="Arial" w:cs="Arial" w:eastAsia="Arial" w:hAnsi="Arial"/>
                  <w:sz w:val="16"/>
                  <w:szCs w:val="16"/>
                  <w:color w:val="0000FF"/>
                </w:rPr>
                <w:t>Amendment No. 2 to Lease, by and between Ardenwood Ventures I, LLC</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tcBorders>
              <w:top w:val="single" w:sz="8" w:color="0000FF"/>
            </w:tcBorders>
            <w:gridSpan w:val="47"/>
          </w:tcPr>
          <w:p>
            <w:pPr>
              <w:spacing w:after="0" w:line="169" w:lineRule="exact"/>
              <w:rPr>
                <w:rFonts w:ascii="Arial" w:cs="Arial" w:eastAsia="Arial" w:hAnsi="Arial"/>
                <w:sz w:val="16"/>
                <w:szCs w:val="16"/>
                <w:color w:val="0000FF"/>
              </w:rPr>
            </w:pPr>
            <w:hyperlink r:id="rId390">
              <w:r>
                <w:rPr>
                  <w:rFonts w:ascii="Arial" w:cs="Arial" w:eastAsia="Arial" w:hAnsi="Arial"/>
                  <w:sz w:val="16"/>
                  <w:szCs w:val="16"/>
                  <w:color w:val="0000FF"/>
                </w:rPr>
                <w:t>and the Registrant, dated June 9, 2022.</w:t>
              </w:r>
            </w:hyperlink>
          </w:p>
        </w:tc>
        <w:tc>
          <w:tcPr>
            <w:tcW w:w="140" w:type="dxa"/>
            <w:vAlign w:val="bottom"/>
            <w:gridSpan w:val="3"/>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40" w:type="dxa"/>
            <w:vAlign w:val="bottom"/>
            <w:gridSpan w:val="19"/>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91">
              <w:r>
                <w:rPr>
                  <w:rFonts w:ascii="Arial" w:cs="Arial" w:eastAsia="Arial" w:hAnsi="Arial"/>
                  <w:sz w:val="16"/>
                  <w:szCs w:val="16"/>
                  <w:color w:val="0000FF"/>
                </w:rPr>
                <w:t>Amendment No. 3 to Lease, by and between Ardenwood Ventures I, LLC</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tcBorders>
              <w:top w:val="single" w:sz="8" w:color="0000FF"/>
            </w:tcBorders>
            <w:gridSpan w:val="47"/>
          </w:tcPr>
          <w:p>
            <w:pPr>
              <w:spacing w:after="0" w:line="169" w:lineRule="exact"/>
              <w:rPr>
                <w:rFonts w:ascii="Arial" w:cs="Arial" w:eastAsia="Arial" w:hAnsi="Arial"/>
                <w:sz w:val="16"/>
                <w:szCs w:val="16"/>
                <w:color w:val="0000FF"/>
              </w:rPr>
            </w:pPr>
            <w:hyperlink r:id="rId391">
              <w:r>
                <w:rPr>
                  <w:rFonts w:ascii="Arial" w:cs="Arial" w:eastAsia="Arial" w:hAnsi="Arial"/>
                  <w:sz w:val="16"/>
                  <w:szCs w:val="16"/>
                  <w:color w:val="0000FF"/>
                </w:rPr>
                <w:t>and the Registrant, dated December 19, 2022.</w:t>
              </w:r>
            </w:hyperlink>
          </w:p>
        </w:tc>
        <w:tc>
          <w:tcPr>
            <w:tcW w:w="140" w:type="dxa"/>
            <w:vAlign w:val="bottom"/>
            <w:gridSpan w:val="3"/>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14"/>
            <w:shd w:val="clear" w:color="auto" w:fill="0000FF"/>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40" w:type="dxa"/>
            <w:vAlign w:val="bottom"/>
            <w:gridSpan w:val="19"/>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182"/>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10.23‡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rFonts w:ascii="Arial" w:cs="Arial" w:eastAsia="Arial" w:hAnsi="Arial"/>
                <w:sz w:val="16"/>
                <w:szCs w:val="16"/>
                <w:color w:val="0000FF"/>
              </w:rPr>
            </w:pPr>
            <w:hyperlink r:id="rId392">
              <w:r>
                <w:rPr>
                  <w:rFonts w:ascii="Arial" w:cs="Arial" w:eastAsia="Arial" w:hAnsi="Arial"/>
                  <w:sz w:val="16"/>
                  <w:szCs w:val="16"/>
                  <w:color w:val="0000FF"/>
                </w:rPr>
                <w:t>Contract No. 36C24E22D0031, by and between the U.S. Department of</w:t>
              </w:r>
            </w:hyperlink>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top w:val="single" w:sz="8" w:color="0000FF"/>
              <w:bottom w:val="single" w:sz="8" w:color="0000FF"/>
            </w:tcBorders>
            <w:gridSpan w:val="25"/>
          </w:tcPr>
          <w:p>
            <w:pPr>
              <w:spacing w:after="0" w:line="169" w:lineRule="exact"/>
              <w:rPr>
                <w:rFonts w:ascii="Arial" w:cs="Arial" w:eastAsia="Arial" w:hAnsi="Arial"/>
                <w:sz w:val="16"/>
                <w:szCs w:val="16"/>
                <w:color w:val="0000FF"/>
              </w:rPr>
            </w:pPr>
            <w:hyperlink r:id="rId392">
              <w:r>
                <w:rPr>
                  <w:rFonts w:ascii="Arial" w:cs="Arial" w:eastAsia="Arial" w:hAnsi="Arial"/>
                  <w:sz w:val="16"/>
                  <w:szCs w:val="16"/>
                  <w:color w:val="0000FF"/>
                </w:rPr>
                <w:t>Veterans Affairs and the Registrant, dated September 30, 2022.</w:t>
              </w:r>
            </w:hyperlink>
          </w:p>
        </w:tc>
        <w:tc>
          <w:tcPr>
            <w:tcW w:w="640" w:type="dxa"/>
            <w:vAlign w:val="bottom"/>
            <w:tcBorders>
              <w:top w:val="single" w:sz="8" w:color="0000FF"/>
            </w:tcBorders>
            <w:gridSpan w:val="19"/>
          </w:tcPr>
          <w:p>
            <w:pPr>
              <w:spacing w:after="0"/>
              <w:rPr>
                <w:sz w:val="14"/>
                <w:szCs w:val="14"/>
                <w:color w:val="auto"/>
              </w:rPr>
            </w:pPr>
          </w:p>
        </w:tc>
        <w:tc>
          <w:tcPr>
            <w:tcW w:w="220" w:type="dxa"/>
            <w:vAlign w:val="bottom"/>
            <w:gridSpan w:val="6"/>
          </w:tcPr>
          <w:p>
            <w:pPr>
              <w:spacing w:after="0"/>
              <w:rPr>
                <w:sz w:val="14"/>
                <w:szCs w:val="14"/>
                <w:color w:val="auto"/>
              </w:rPr>
            </w:pPr>
          </w:p>
        </w:tc>
      </w:tr>
      <w:tr>
        <w:trPr>
          <w:trHeight w:val="183"/>
        </w:trPr>
        <w:tc>
          <w:tcPr>
            <w:tcW w:w="1060" w:type="dxa"/>
            <w:vAlign w:val="bottom"/>
          </w:tcPr>
          <w:p>
            <w:pPr>
              <w:ind w:left="20"/>
              <w:spacing w:after="0" w:line="183" w:lineRule="exact"/>
              <w:rPr>
                <w:sz w:val="20"/>
                <w:szCs w:val="20"/>
                <w:color w:val="auto"/>
              </w:rPr>
            </w:pPr>
            <w:r>
              <w:rPr>
                <w:rFonts w:ascii="Arial" w:cs="Arial" w:eastAsia="Arial" w:hAnsi="Arial"/>
                <w:sz w:val="16"/>
                <w:szCs w:val="16"/>
                <w:color w:val="auto"/>
              </w:rPr>
              <w:t>21.1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50"/>
          </w:tcPr>
          <w:p>
            <w:pPr>
              <w:spacing w:after="0" w:line="183" w:lineRule="exact"/>
              <w:rPr>
                <w:sz w:val="20"/>
                <w:szCs w:val="20"/>
                <w:color w:val="auto"/>
              </w:rPr>
            </w:pPr>
            <w:r>
              <w:rPr>
                <w:rFonts w:ascii="Arial" w:cs="Arial" w:eastAsia="Arial" w:hAnsi="Arial"/>
                <w:sz w:val="16"/>
                <w:szCs w:val="16"/>
                <w:color w:val="0000FF"/>
              </w:rPr>
              <w:t>Subsidiaries of the Registrant as of December 31, 2023.</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21"/>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8"/>
          </w:tcPr>
          <w:p>
            <w:pPr>
              <w:spacing w:after="0" w:line="20" w:lineRule="exact"/>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22"/>
          </w:tcPr>
          <w:p>
            <w:pPr>
              <w:spacing w:after="0"/>
              <w:rPr>
                <w:sz w:val="20"/>
                <w:szCs w:val="20"/>
                <w:color w:val="auto"/>
              </w:rPr>
            </w:pPr>
            <w:r>
              <w:rPr>
                <w:rFonts w:ascii="Arial" w:cs="Arial" w:eastAsia="Arial" w:hAnsi="Arial"/>
                <w:sz w:val="16"/>
                <w:szCs w:val="16"/>
                <w:color w:val="0000FF"/>
              </w:rPr>
              <w:t>Consent of Independent Registered Public Accounting Firm.</w:t>
            </w:r>
          </w:p>
        </w:tc>
        <w:tc>
          <w:tcPr>
            <w:tcW w:w="1120" w:type="dxa"/>
            <w:vAlign w:val="bottom"/>
            <w:gridSpan w:val="28"/>
          </w:tcPr>
          <w:p>
            <w:pPr>
              <w:spacing w:after="0"/>
              <w:rPr>
                <w:sz w:val="17"/>
                <w:szCs w:val="17"/>
                <w:color w:val="auto"/>
              </w:rPr>
            </w:pPr>
          </w:p>
        </w:tc>
      </w:tr>
      <w:tr>
        <w:trPr>
          <w:trHeight w:val="450"/>
        </w:trPr>
        <w:tc>
          <w:tcPr>
            <w:tcW w:w="1060" w:type="dxa"/>
            <w:vAlign w:val="bottom"/>
          </w:tcPr>
          <w:p>
            <w:pPr>
              <w:spacing w:after="0"/>
              <w:rPr>
                <w:sz w:val="24"/>
                <w:szCs w:val="24"/>
                <w:color w:val="auto"/>
              </w:rPr>
            </w:pPr>
          </w:p>
        </w:tc>
        <w:tc>
          <w:tcPr>
            <w:tcW w:w="4700" w:type="dxa"/>
            <w:vAlign w:val="bottom"/>
            <w:gridSpan w:val="27"/>
          </w:tcPr>
          <w:p>
            <w:pPr>
              <w:jc w:val="right"/>
              <w:ind w:right="40"/>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86321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4">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Form</w:t>
            </w:r>
          </w:p>
        </w:tc>
        <w:tc>
          <w:tcPr>
            <w:tcW w:w="100" w:type="dxa"/>
            <w:vAlign w:val="bottom"/>
          </w:tcPr>
          <w:p>
            <w:pPr>
              <w:spacing w:after="0"/>
              <w:rPr>
                <w:sz w:val="18"/>
                <w:szCs w:val="18"/>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File No.</w:t>
            </w:r>
          </w:p>
        </w:tc>
        <w:tc>
          <w:tcPr>
            <w:tcW w:w="120" w:type="dxa"/>
            <w:vAlign w:val="bottom"/>
          </w:tcPr>
          <w:p>
            <w:pPr>
              <w:spacing w:after="0"/>
              <w:rPr>
                <w:sz w:val="18"/>
                <w:szCs w:val="18"/>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8"/>
                <w:szCs w:val="18"/>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Filing Date</w:t>
            </w:r>
          </w:p>
        </w:tc>
      </w:tr>
      <w:tr>
        <w:trPr>
          <w:trHeight w:val="208"/>
        </w:trPr>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6/24/2019</w:t>
            </w:r>
          </w:p>
        </w:tc>
      </w:tr>
      <w:tr>
        <w:trPr>
          <w:trHeight w:val="215"/>
        </w:trPr>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3.1</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10/31/2022</w:t>
            </w: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color w:val="auto"/>
              </w:rPr>
              <w:t>10-K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4.1</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2/25/2021</w:t>
            </w: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333-231703</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4.1</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6/7/2019</w:t>
            </w: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4.1</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11/28/2023</w:t>
            </w:r>
          </w:p>
        </w:tc>
      </w:tr>
      <w:tr>
        <w:trPr>
          <w:trHeight w:val="391"/>
        </w:trPr>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4.2</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11/28/2023</w:t>
            </w:r>
          </w:p>
        </w:tc>
      </w:tr>
      <w:tr>
        <w:trPr>
          <w:trHeight w:val="581"/>
        </w:trPr>
        <w:tc>
          <w:tcPr>
            <w:tcW w:w="1040" w:type="dxa"/>
            <w:vAlign w:val="bottom"/>
          </w:tcPr>
          <w:p>
            <w:pPr>
              <w:jc w:val="center"/>
              <w:spacing w:after="0"/>
              <w:rPr>
                <w:sz w:val="20"/>
                <w:szCs w:val="20"/>
                <w:color w:val="auto"/>
              </w:rPr>
            </w:pPr>
            <w:r>
              <w:rPr>
                <w:rFonts w:ascii="Arial" w:cs="Arial" w:eastAsia="Arial" w:hAnsi="Arial"/>
                <w:sz w:val="16"/>
                <w:szCs w:val="16"/>
                <w:color w:val="auto"/>
              </w:rPr>
              <w:t>S-1</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333-231703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5/23/2019</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333-231703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10.2</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6/7/2019</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333-231703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10.3</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6/7/2019</w:t>
            </w:r>
          </w:p>
        </w:tc>
      </w:tr>
      <w:tr>
        <w:trPr>
          <w:trHeight w:val="864"/>
        </w:trPr>
        <w:tc>
          <w:tcPr>
            <w:tcW w:w="1040" w:type="dxa"/>
            <w:vAlign w:val="bottom"/>
          </w:tcPr>
          <w:p>
            <w:pPr>
              <w:jc w:val="center"/>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333-231703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10.4</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6/7/2019</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10-Q</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5/3/2023</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3/8/2023</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10.2</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3/8/2023</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001-38943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10.3</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3/8/2023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8-K</w:t>
            </w:r>
          </w:p>
        </w:tc>
        <w:tc>
          <w:tcPr>
            <w:tcW w:w="138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94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w w:val="99"/>
              </w:rPr>
              <w:t>11/28/2023</w:t>
            </w:r>
          </w:p>
        </w:tc>
      </w:tr>
      <w:tr>
        <w:trPr>
          <w:trHeight w:val="580"/>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S-1</w:t>
            </w:r>
          </w:p>
        </w:tc>
        <w:tc>
          <w:tcPr>
            <w:tcW w:w="138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940" w:type="dxa"/>
            <w:vAlign w:val="bottom"/>
          </w:tcPr>
          <w:p>
            <w:pPr>
              <w:jc w:val="center"/>
              <w:spacing w:after="0"/>
              <w:rPr>
                <w:sz w:val="20"/>
                <w:szCs w:val="20"/>
                <w:color w:val="auto"/>
              </w:rPr>
            </w:pPr>
            <w:r>
              <w:rPr>
                <w:rFonts w:ascii="Arial" w:cs="Arial" w:eastAsia="Arial" w:hAnsi="Arial"/>
                <w:sz w:val="16"/>
                <w:szCs w:val="16"/>
                <w:color w:val="auto"/>
              </w:rPr>
              <w:t>10.9</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5/23/2019</w:t>
            </w:r>
          </w:p>
        </w:tc>
      </w:tr>
      <w:tr>
        <w:trPr>
          <w:trHeight w:val="392"/>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38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94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179"/>
              <w:spacing w:after="0"/>
              <w:rPr>
                <w:sz w:val="20"/>
                <w:szCs w:val="20"/>
                <w:color w:val="auto"/>
              </w:rPr>
            </w:pPr>
            <w:r>
              <w:rPr>
                <w:rFonts w:ascii="Arial" w:cs="Arial" w:eastAsia="Arial" w:hAnsi="Arial"/>
                <w:sz w:val="16"/>
                <w:szCs w:val="16"/>
                <w:color w:val="auto"/>
                <w:w w:val="99"/>
              </w:rPr>
              <w:t>8/6/2020</w:t>
            </w:r>
          </w:p>
        </w:tc>
      </w:tr>
      <w:tr>
        <w:trPr>
          <w:trHeight w:val="391"/>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38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94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179"/>
              <w:spacing w:after="0"/>
              <w:rPr>
                <w:sz w:val="20"/>
                <w:szCs w:val="20"/>
                <w:color w:val="auto"/>
              </w:rPr>
            </w:pPr>
            <w:r>
              <w:rPr>
                <w:rFonts w:ascii="Arial" w:cs="Arial" w:eastAsia="Arial" w:hAnsi="Arial"/>
                <w:sz w:val="16"/>
                <w:szCs w:val="16"/>
                <w:color w:val="auto"/>
                <w:w w:val="98"/>
              </w:rPr>
              <w:t>11/4/2021</w:t>
            </w:r>
          </w:p>
        </w:tc>
      </w:tr>
      <w:tr>
        <w:trPr>
          <w:trHeight w:val="392"/>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10-K</w:t>
            </w:r>
          </w:p>
        </w:tc>
        <w:tc>
          <w:tcPr>
            <w:tcW w:w="138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10.16</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2/24/2022</w:t>
            </w:r>
          </w:p>
        </w:tc>
      </w:tr>
      <w:tr>
        <w:trPr>
          <w:trHeight w:val="391"/>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38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94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179"/>
              <w:spacing w:after="0"/>
              <w:rPr>
                <w:sz w:val="20"/>
                <w:szCs w:val="20"/>
                <w:color w:val="auto"/>
              </w:rPr>
            </w:pPr>
            <w:r>
              <w:rPr>
                <w:rFonts w:ascii="Arial" w:cs="Arial" w:eastAsia="Arial" w:hAnsi="Arial"/>
                <w:sz w:val="16"/>
                <w:szCs w:val="16"/>
                <w:color w:val="auto"/>
                <w:w w:val="99"/>
              </w:rPr>
              <w:t>8/3/2022</w:t>
            </w:r>
          </w:p>
        </w:tc>
      </w:tr>
      <w:tr>
        <w:trPr>
          <w:trHeight w:val="392"/>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10-K</w:t>
            </w:r>
          </w:p>
        </w:tc>
        <w:tc>
          <w:tcPr>
            <w:tcW w:w="138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10.19</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2/23/2023</w:t>
            </w:r>
          </w:p>
        </w:tc>
      </w:tr>
      <w:tr>
        <w:trPr>
          <w:trHeight w:val="391"/>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38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94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179"/>
              <w:spacing w:after="0"/>
              <w:rPr>
                <w:sz w:val="20"/>
                <w:szCs w:val="20"/>
                <w:color w:val="auto"/>
              </w:rPr>
            </w:pPr>
            <w:r>
              <w:rPr>
                <w:rFonts w:ascii="Arial" w:cs="Arial" w:eastAsia="Arial" w:hAnsi="Arial"/>
                <w:sz w:val="16"/>
                <w:szCs w:val="16"/>
                <w:color w:val="auto"/>
                <w:w w:val="98"/>
              </w:rPr>
              <w:t>11/2/2022</w:t>
            </w:r>
          </w:p>
        </w:tc>
      </w:tr>
    </w:tbl>
    <w:p>
      <w:pPr>
        <w:sectPr>
          <w:pgSz w:w="11900" w:h="16838" w:orient="portrait"/>
          <w:cols w:equalWidth="0" w:num="2">
            <w:col w:w="6600" w:space="140"/>
            <w:col w:w="4500"/>
          </w:cols>
          <w:pgMar w:left="320" w:top="778"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72"/>
        </w:trPr>
        <w:tc>
          <w:tcPr>
            <w:tcW w:w="1120" w:type="dxa"/>
            <w:vAlign w:val="bottom"/>
            <w:tcBorders>
              <w:top w:val="single" w:sz="8" w:color="0000FF"/>
            </w:tcBorders>
          </w:tcPr>
          <w:p>
            <w:pPr>
              <w:ind w:left="20"/>
              <w:spacing w:after="0"/>
              <w:rPr>
                <w:sz w:val="20"/>
                <w:szCs w:val="20"/>
                <w:color w:val="auto"/>
              </w:rPr>
            </w:pPr>
            <w:r>
              <w:rPr>
                <w:rFonts w:ascii="Arial" w:cs="Arial" w:eastAsia="Arial" w:hAnsi="Arial"/>
                <w:sz w:val="16"/>
                <w:szCs w:val="16"/>
                <w:color w:val="auto"/>
              </w:rPr>
              <w:t>23.2</w:t>
            </w:r>
          </w:p>
        </w:tc>
        <w:tc>
          <w:tcPr>
            <w:tcW w:w="80" w:type="dxa"/>
            <w:vAlign w:val="bottom"/>
          </w:tcPr>
          <w:p>
            <w:pPr>
              <w:spacing w:after="0"/>
              <w:rPr>
                <w:sz w:val="24"/>
                <w:szCs w:val="24"/>
                <w:color w:val="auto"/>
              </w:rPr>
            </w:pPr>
          </w:p>
        </w:tc>
        <w:tc>
          <w:tcPr>
            <w:tcW w:w="432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Consent of Independent Registered Public Accounting Firm.</w:t>
            </w:r>
          </w:p>
        </w:tc>
        <w:tc>
          <w:tcPr>
            <w:tcW w:w="1080" w:type="dxa"/>
            <w:vAlign w:val="bottom"/>
            <w:gridSpan w:val="7"/>
          </w:tcPr>
          <w:p>
            <w:pPr>
              <w:spacing w:after="0"/>
              <w:rPr>
                <w:sz w:val="24"/>
                <w:szCs w:val="24"/>
                <w:color w:val="auto"/>
              </w:rPr>
            </w:pPr>
          </w:p>
        </w:tc>
      </w:tr>
      <w:tr>
        <w:trPr>
          <w:trHeight w:val="196"/>
        </w:trPr>
        <w:tc>
          <w:tcPr>
            <w:tcW w:w="1120" w:type="dxa"/>
            <w:vAlign w:val="bottom"/>
          </w:tcPr>
          <w:p>
            <w:pPr>
              <w:ind w:left="20"/>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7"/>
                <w:szCs w:val="17"/>
                <w:color w:val="auto"/>
              </w:rPr>
            </w:pPr>
          </w:p>
        </w:tc>
        <w:tc>
          <w:tcPr>
            <w:tcW w:w="5400" w:type="dxa"/>
            <w:vAlign w:val="bottom"/>
            <w:gridSpan w:val="13"/>
          </w:tcPr>
          <w:p>
            <w:pPr>
              <w:spacing w:after="0"/>
              <w:rPr>
                <w:sz w:val="20"/>
                <w:szCs w:val="20"/>
                <w:color w:val="auto"/>
              </w:rPr>
            </w:pPr>
            <w:r>
              <w:rPr>
                <w:rFonts w:ascii="Arial" w:cs="Arial" w:eastAsia="Arial" w:hAnsi="Arial"/>
                <w:sz w:val="16"/>
                <w:szCs w:val="16"/>
                <w:color w:val="0000FF"/>
              </w:rPr>
              <w:t>Power of Attorney (included on the Signatures page of this Annual Report</w:t>
            </w: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0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6"/>
                <w:szCs w:val="16"/>
                <w:color w:val="0000FF"/>
              </w:rPr>
              <w:t>on Form 10-K).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20" w:type="dxa"/>
            <w:vAlign w:val="bottom"/>
          </w:tcPr>
          <w:p>
            <w:pPr>
              <w:ind w:left="20"/>
              <w:spacing w:after="0" w:line="183" w:lineRule="exact"/>
              <w:rPr>
                <w:sz w:val="20"/>
                <w:szCs w:val="20"/>
                <w:color w:val="auto"/>
              </w:rPr>
            </w:pPr>
            <w:r>
              <w:rPr>
                <w:rFonts w:ascii="Arial" w:cs="Arial" w:eastAsia="Arial" w:hAnsi="Arial"/>
                <w:sz w:val="16"/>
                <w:szCs w:val="16"/>
                <w:color w:val="auto"/>
              </w:rPr>
              <w:t>31.1</w:t>
            </w:r>
          </w:p>
        </w:tc>
        <w:tc>
          <w:tcPr>
            <w:tcW w:w="80" w:type="dxa"/>
            <w:vAlign w:val="bottom"/>
          </w:tcPr>
          <w:p>
            <w:pPr>
              <w:spacing w:after="0"/>
              <w:rPr>
                <w:sz w:val="15"/>
                <w:szCs w:val="15"/>
                <w:color w:val="auto"/>
              </w:rPr>
            </w:pPr>
          </w:p>
        </w:tc>
        <w:tc>
          <w:tcPr>
            <w:tcW w:w="5400" w:type="dxa"/>
            <w:vAlign w:val="bottom"/>
            <w:tcBorders>
              <w:bottom w:val="single" w:sz="8" w:color="0000FF"/>
            </w:tcBorders>
            <w:gridSpan w:val="13"/>
          </w:tcPr>
          <w:p>
            <w:pPr>
              <w:spacing w:after="0" w:line="183" w:lineRule="exact"/>
              <w:rPr>
                <w:sz w:val="20"/>
                <w:szCs w:val="20"/>
                <w:color w:val="auto"/>
              </w:rPr>
            </w:pPr>
            <w:r>
              <w:rPr>
                <w:rFonts w:ascii="Arial" w:cs="Arial" w:eastAsia="Arial" w:hAnsi="Arial"/>
                <w:sz w:val="16"/>
                <w:szCs w:val="16"/>
                <w:color w:val="0000FF"/>
              </w:rPr>
              <w:t>Certification of Principal Executive Officer Pursuant to Rules 13a-14(a) and</w:t>
            </w: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0" w:type="dxa"/>
            <w:vAlign w:val="bottom"/>
            <w:gridSpan w:val="13"/>
          </w:tcPr>
          <w:p>
            <w:pPr>
              <w:spacing w:after="0" w:line="169" w:lineRule="exact"/>
              <w:rPr>
                <w:sz w:val="20"/>
                <w:szCs w:val="20"/>
                <w:color w:val="auto"/>
              </w:rPr>
            </w:pPr>
            <w:r>
              <w:rPr>
                <w:rFonts w:ascii="Arial" w:cs="Arial" w:eastAsia="Arial" w:hAnsi="Arial"/>
                <w:sz w:val="16"/>
                <w:szCs w:val="16"/>
                <w:color w:val="0000FF"/>
              </w:rPr>
              <w:t>15d-14(a) under the Securities Exchange Act of 1934, as Adopted</w:t>
            </w: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0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460" w:type="dxa"/>
            <w:vAlign w:val="bottom"/>
            <w:tcBorders>
              <w:top w:val="single" w:sz="8" w:color="0000FF"/>
            </w:tcBorders>
            <w:gridSpan w:val="2"/>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1120" w:type="dxa"/>
            <w:vAlign w:val="bottom"/>
          </w:tcPr>
          <w:p>
            <w:pPr>
              <w:ind w:left="20"/>
              <w:spacing w:after="0" w:line="183" w:lineRule="exact"/>
              <w:rPr>
                <w:sz w:val="20"/>
                <w:szCs w:val="20"/>
                <w:color w:val="auto"/>
              </w:rPr>
            </w:pPr>
            <w:r>
              <w:rPr>
                <w:rFonts w:ascii="Arial" w:cs="Arial" w:eastAsia="Arial" w:hAnsi="Arial"/>
                <w:sz w:val="16"/>
                <w:szCs w:val="16"/>
                <w:color w:val="auto"/>
              </w:rPr>
              <w:t>31.2</w:t>
            </w:r>
          </w:p>
        </w:tc>
        <w:tc>
          <w:tcPr>
            <w:tcW w:w="80" w:type="dxa"/>
            <w:vAlign w:val="bottom"/>
          </w:tcPr>
          <w:p>
            <w:pPr>
              <w:spacing w:after="0"/>
              <w:rPr>
                <w:sz w:val="15"/>
                <w:szCs w:val="15"/>
                <w:color w:val="auto"/>
              </w:rPr>
            </w:pPr>
          </w:p>
        </w:tc>
        <w:tc>
          <w:tcPr>
            <w:tcW w:w="5400" w:type="dxa"/>
            <w:vAlign w:val="bottom"/>
            <w:gridSpan w:val="13"/>
          </w:tcPr>
          <w:p>
            <w:pPr>
              <w:spacing w:after="0" w:line="183" w:lineRule="exact"/>
              <w:rPr>
                <w:sz w:val="20"/>
                <w:szCs w:val="20"/>
                <w:color w:val="auto"/>
              </w:rPr>
            </w:pPr>
            <w:r>
              <w:rPr>
                <w:rFonts w:ascii="Arial" w:cs="Arial" w:eastAsia="Arial" w:hAnsi="Arial"/>
                <w:sz w:val="16"/>
                <w:szCs w:val="16"/>
                <w:color w:val="0000FF"/>
              </w:rPr>
              <w:t>Certification of Principal Financial Officer Pursuant to Rules 13a-14(a) and</w:t>
            </w: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6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6"/>
                <w:szCs w:val="16"/>
                <w:color w:val="0000FF"/>
              </w:rPr>
              <w:t>15d-14(a) under the Securities Exchange Act of 1934, as Adopted</w:t>
            </w:r>
          </w:p>
        </w:tc>
        <w:tc>
          <w:tcPr>
            <w:tcW w:w="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0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460" w:type="dxa"/>
            <w:vAlign w:val="bottom"/>
            <w:tcBorders>
              <w:top w:val="single" w:sz="8" w:color="0000FF"/>
            </w:tcBorders>
            <w:gridSpan w:val="2"/>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r>
      <w:tr>
        <w:trPr>
          <w:trHeight w:val="183"/>
        </w:trPr>
        <w:tc>
          <w:tcPr>
            <w:tcW w:w="12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32.1†</w:t>
            </w:r>
          </w:p>
        </w:tc>
        <w:tc>
          <w:tcPr>
            <w:tcW w:w="5400" w:type="dxa"/>
            <w:vAlign w:val="bottom"/>
            <w:gridSpan w:val="13"/>
          </w:tcPr>
          <w:p>
            <w:pPr>
              <w:spacing w:after="0" w:line="183" w:lineRule="exact"/>
              <w:rPr>
                <w:sz w:val="20"/>
                <w:szCs w:val="20"/>
                <w:color w:val="auto"/>
              </w:rPr>
            </w:pPr>
            <w:r>
              <w:rPr>
                <w:rFonts w:ascii="Arial" w:cs="Arial" w:eastAsia="Arial" w:hAnsi="Arial"/>
                <w:sz w:val="16"/>
                <w:szCs w:val="16"/>
                <w:color w:val="0000FF"/>
              </w:rPr>
              <w:t>Certification of Principal Executive Officer Pursuant to 18 U.S.C. Section</w:t>
            </w: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2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6"/>
                <w:szCs w:val="16"/>
                <w:color w:val="0000FF"/>
              </w:rPr>
              <w:t>1350, as Adopted Pursuant to Section 906 of the Sarbanes-Oxley Act of</w:t>
            </w:r>
          </w:p>
        </w:tc>
        <w:tc>
          <w:tcPr>
            <w:tcW w:w="180" w:type="dxa"/>
            <w:vAlign w:val="bottom"/>
            <w:gridSpan w:val="3"/>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94"/>
              </w:rPr>
              <w:t>2002.</w:t>
            </w:r>
          </w:p>
        </w:tc>
        <w:tc>
          <w:tcPr>
            <w:tcW w:w="20" w:type="dxa"/>
            <w:vAlign w:val="bottom"/>
            <w:tcBorders>
              <w:top w:val="single" w:sz="8" w:color="0000FF"/>
              <w:bottom w:val="single" w:sz="8" w:color="0000EE"/>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1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12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32.2†</w:t>
            </w:r>
          </w:p>
        </w:tc>
        <w:tc>
          <w:tcPr>
            <w:tcW w:w="5400" w:type="dxa"/>
            <w:vAlign w:val="bottom"/>
            <w:gridSpan w:val="13"/>
          </w:tcPr>
          <w:p>
            <w:pPr>
              <w:spacing w:after="0" w:line="183" w:lineRule="exact"/>
              <w:rPr>
                <w:sz w:val="20"/>
                <w:szCs w:val="20"/>
                <w:color w:val="auto"/>
              </w:rPr>
            </w:pPr>
            <w:r>
              <w:rPr>
                <w:rFonts w:ascii="Arial" w:cs="Arial" w:eastAsia="Arial" w:hAnsi="Arial"/>
                <w:sz w:val="16"/>
                <w:szCs w:val="16"/>
                <w:color w:val="0000FF"/>
              </w:rPr>
              <w:t>Certification of Principal Financial Officer Pursuant to 18 U.S.C. Section</w:t>
            </w: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6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1350, as Adopted Pursuant to Section 906 of the Sarbanes-Oxley Act of</w:t>
            </w:r>
          </w:p>
        </w:tc>
        <w:tc>
          <w:tcPr>
            <w:tcW w:w="240" w:type="dxa"/>
            <w:vAlign w:val="bottom"/>
            <w:gridSpan w:val="5"/>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94"/>
              </w:rPr>
              <w:t>2002.</w:t>
            </w:r>
          </w:p>
        </w:tc>
        <w:tc>
          <w:tcPr>
            <w:tcW w:w="20" w:type="dxa"/>
            <w:vAlign w:val="bottom"/>
            <w:tcBorders>
              <w:top w:val="single" w:sz="8" w:color="0000FF"/>
              <w:bottom w:val="single" w:sz="8" w:color="0000EE"/>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1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1120" w:type="dxa"/>
            <w:vAlign w:val="bottom"/>
          </w:tcPr>
          <w:p>
            <w:pPr>
              <w:ind w:left="20"/>
              <w:spacing w:after="0" w:line="183" w:lineRule="exact"/>
              <w:rPr>
                <w:sz w:val="20"/>
                <w:szCs w:val="20"/>
                <w:color w:val="auto"/>
              </w:rPr>
            </w:pPr>
            <w:r>
              <w:rPr>
                <w:rFonts w:ascii="Arial" w:cs="Arial" w:eastAsia="Arial" w:hAnsi="Arial"/>
                <w:sz w:val="16"/>
                <w:szCs w:val="16"/>
                <w:color w:val="auto"/>
              </w:rPr>
              <w:t>97#*</w:t>
            </w:r>
          </w:p>
        </w:tc>
        <w:tc>
          <w:tcPr>
            <w:tcW w:w="80" w:type="dxa"/>
            <w:vAlign w:val="bottom"/>
          </w:tcPr>
          <w:p>
            <w:pPr>
              <w:spacing w:after="0"/>
              <w:rPr>
                <w:sz w:val="15"/>
                <w:szCs w:val="15"/>
                <w:color w:val="auto"/>
              </w:rPr>
            </w:pPr>
          </w:p>
        </w:tc>
        <w:tc>
          <w:tcPr>
            <w:tcW w:w="5400" w:type="dxa"/>
            <w:vAlign w:val="bottom"/>
            <w:gridSpan w:val="13"/>
          </w:tcPr>
          <w:p>
            <w:pPr>
              <w:spacing w:after="0" w:line="183" w:lineRule="exact"/>
              <w:rPr>
                <w:sz w:val="20"/>
                <w:szCs w:val="20"/>
                <w:color w:val="auto"/>
              </w:rPr>
            </w:pPr>
            <w:r>
              <w:rPr>
                <w:rFonts w:ascii="Arial" w:cs="Arial" w:eastAsia="Arial" w:hAnsi="Arial"/>
                <w:sz w:val="16"/>
                <w:szCs w:val="16"/>
                <w:color w:val="0000FF"/>
              </w:rPr>
              <w:t>Incentive Compensation Recoupment Policy.</w:t>
            </w: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Borders>
              <w:right w:val="single" w:sz="8" w:color="0000EE"/>
            </w:tcBorders>
            <w:gridSpan w:val="4"/>
            <w:shd w:val="clear" w:color="auto" w:fill="0000FF"/>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8"/>
                <w:szCs w:val="18"/>
                <w:color w:val="auto"/>
              </w:rPr>
            </w:pPr>
          </w:p>
        </w:tc>
        <w:tc>
          <w:tcPr>
            <w:tcW w:w="5400" w:type="dxa"/>
            <w:vAlign w:val="bottom"/>
            <w:gridSpan w:val="13"/>
          </w:tcPr>
          <w:p>
            <w:pPr>
              <w:spacing w:after="0"/>
              <w:rPr>
                <w:sz w:val="20"/>
                <w:szCs w:val="20"/>
                <w:color w:val="auto"/>
              </w:rPr>
            </w:pPr>
            <w:r>
              <w:rPr>
                <w:rFonts w:ascii="Arial" w:cs="Arial" w:eastAsia="Arial" w:hAnsi="Arial"/>
                <w:sz w:val="16"/>
                <w:szCs w:val="16"/>
                <w:color w:val="auto"/>
              </w:rPr>
              <w:t>Inline XBRL Document Set for the consolidated financial statements and</w:t>
            </w:r>
          </w:p>
        </w:tc>
      </w:tr>
      <w:tr>
        <w:trPr>
          <w:trHeight w:val="189"/>
        </w:trPr>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0" w:type="dxa"/>
            <w:vAlign w:val="bottom"/>
            <w:gridSpan w:val="13"/>
          </w:tcPr>
          <w:p>
            <w:pPr>
              <w:spacing w:after="0"/>
              <w:rPr>
                <w:sz w:val="20"/>
                <w:szCs w:val="20"/>
                <w:color w:val="auto"/>
              </w:rPr>
            </w:pPr>
            <w:r>
              <w:rPr>
                <w:rFonts w:ascii="Arial" w:cs="Arial" w:eastAsia="Arial" w:hAnsi="Arial"/>
                <w:sz w:val="16"/>
                <w:szCs w:val="16"/>
                <w:color w:val="auto"/>
              </w:rPr>
              <w:t>accompanying notes in Part II, Item 8, “Financial Statements and</w:t>
            </w:r>
          </w:p>
        </w:tc>
      </w:tr>
      <w:tr>
        <w:trPr>
          <w:trHeight w:val="203"/>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0" w:type="dxa"/>
            <w:vAlign w:val="bottom"/>
            <w:gridSpan w:val="13"/>
          </w:tcPr>
          <w:p>
            <w:pPr>
              <w:spacing w:after="0"/>
              <w:rPr>
                <w:sz w:val="20"/>
                <w:szCs w:val="20"/>
                <w:color w:val="auto"/>
              </w:rPr>
            </w:pPr>
            <w:r>
              <w:rPr>
                <w:rFonts w:ascii="Arial" w:cs="Arial" w:eastAsia="Arial" w:hAnsi="Arial"/>
                <w:sz w:val="16"/>
                <w:szCs w:val="16"/>
                <w:color w:val="auto"/>
              </w:rPr>
              <w:t>Supplementary Data” of this Annual Report on Form 10-K.</w:t>
            </w:r>
          </w:p>
        </w:tc>
      </w:tr>
      <w:tr>
        <w:trPr>
          <w:trHeight w:val="189"/>
        </w:trPr>
        <w:tc>
          <w:tcPr>
            <w:tcW w:w="1120" w:type="dxa"/>
            <w:vAlign w:val="bottom"/>
          </w:tcPr>
          <w:p>
            <w:pPr>
              <w:ind w:left="20"/>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6"/>
                <w:szCs w:val="16"/>
                <w:color w:val="auto"/>
              </w:rPr>
            </w:pPr>
          </w:p>
        </w:tc>
        <w:tc>
          <w:tcPr>
            <w:tcW w:w="5400" w:type="dxa"/>
            <w:vAlign w:val="bottom"/>
            <w:gridSpan w:val="13"/>
          </w:tcPr>
          <w:p>
            <w:pPr>
              <w:spacing w:after="0"/>
              <w:rPr>
                <w:sz w:val="20"/>
                <w:szCs w:val="20"/>
                <w:color w:val="auto"/>
              </w:rPr>
            </w:pPr>
            <w:r>
              <w:rPr>
                <w:rFonts w:ascii="Arial" w:cs="Arial" w:eastAsia="Arial" w:hAnsi="Arial"/>
                <w:sz w:val="16"/>
                <w:szCs w:val="16"/>
                <w:color w:val="auto"/>
              </w:rPr>
              <w:t>Inline XBRL for the cover page of this Annual Report on Form 10-K,</w:t>
            </w:r>
          </w:p>
        </w:tc>
      </w:tr>
      <w:tr>
        <w:trPr>
          <w:trHeight w:val="215"/>
        </w:trPr>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0" w:type="dxa"/>
            <w:vAlign w:val="bottom"/>
            <w:gridSpan w:val="13"/>
          </w:tcPr>
          <w:p>
            <w:pPr>
              <w:spacing w:after="0"/>
              <w:rPr>
                <w:sz w:val="20"/>
                <w:szCs w:val="20"/>
                <w:color w:val="auto"/>
              </w:rPr>
            </w:pPr>
            <w:r>
              <w:rPr>
                <w:rFonts w:ascii="Arial" w:cs="Arial" w:eastAsia="Arial" w:hAnsi="Arial"/>
                <w:sz w:val="16"/>
                <w:szCs w:val="16"/>
                <w:color w:val="auto"/>
              </w:rPr>
              <w:t>included in the Exhibit 101 Inline XBRL Document Set.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8770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62" w:lineRule="exact"/>
        <w:rPr>
          <w:sz w:val="20"/>
          <w:szCs w:val="20"/>
          <w:color w:val="auto"/>
        </w:rPr>
      </w:pPr>
    </w:p>
    <w:p>
      <w:pPr>
        <w:ind w:right="6420" w:firstLine="8"/>
        <w:spacing w:after="0" w:line="292" w:lineRule="auto"/>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 * Filed herewith.</w:t>
      </w:r>
    </w:p>
    <w:p>
      <w:pPr>
        <w:ind w:left="520" w:hanging="509"/>
        <w:spacing w:after="0" w:line="257" w:lineRule="auto"/>
        <w:rPr>
          <w:rFonts w:ascii="Arial" w:cs="Arial" w:eastAsia="Arial" w:hAnsi="Arial"/>
          <w:sz w:val="14"/>
          <w:szCs w:val="14"/>
          <w:color w:val="auto"/>
        </w:rPr>
      </w:pPr>
      <w:r>
        <w:rPr>
          <w:rFonts w:ascii="Arial" w:cs="Arial" w:eastAsia="Arial" w:hAnsi="Arial"/>
          <w:sz w:val="14"/>
          <w:szCs w:val="14"/>
          <w:color w:val="auto"/>
        </w:rPr>
        <w:t>† 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70" w:lineRule="exact"/>
        <w:rPr>
          <w:sz w:val="20"/>
          <w:szCs w:val="20"/>
          <w:color w:val="auto"/>
        </w:rPr>
      </w:pPr>
    </w:p>
    <w:p>
      <w:pPr>
        <w:ind w:left="520" w:right="20" w:hanging="512"/>
        <w:spacing w:after="0" w:line="271" w:lineRule="auto"/>
        <w:tabs>
          <w:tab w:leader="none" w:pos="331" w:val="left"/>
        </w:tabs>
        <w:numPr>
          <w:ilvl w:val="0"/>
          <w:numId w:val="36"/>
        </w:numPr>
        <w:rPr>
          <w:rFonts w:ascii="Arial" w:cs="Arial" w:eastAsia="Arial" w:hAnsi="Arial"/>
          <w:sz w:val="14"/>
          <w:szCs w:val="14"/>
          <w:color w:val="auto"/>
        </w:rPr>
      </w:pPr>
      <w:r>
        <w:rPr>
          <w:rFonts w:ascii="Arial" w:cs="Arial" w:eastAsia="Arial" w:hAnsi="Arial"/>
          <w:sz w:val="14"/>
          <w:szCs w:val="14"/>
          <w:color w:val="auto"/>
        </w:rPr>
        <w:t>Pursuant to Item 601(b)(10)(iv) of Regulation S-K promulgated by the SEC, certain portions of this exhibit have been redacted because the Company customarily and actually treats such omitted information as private or confidential and because such omitted information is not material.</w:t>
      </w:r>
    </w:p>
    <w:p>
      <w:pPr>
        <w:spacing w:after="0" w:line="1" w:lineRule="exact"/>
        <w:rPr>
          <w:sz w:val="20"/>
          <w:szCs w:val="20"/>
          <w:color w:val="auto"/>
        </w:rPr>
      </w:pPr>
    </w:p>
    <w:p>
      <w:pPr>
        <w:ind w:left="520" w:hanging="512"/>
        <w:spacing w:after="0" w:line="263" w:lineRule="auto"/>
        <w:tabs>
          <w:tab w:leader="none" w:pos="331" w:val="left"/>
        </w:tabs>
        <w:numPr>
          <w:ilvl w:val="0"/>
          <w:numId w:val="37"/>
        </w:numPr>
        <w:rPr>
          <w:rFonts w:ascii="Arial" w:cs="Arial" w:eastAsia="Arial" w:hAnsi="Arial"/>
          <w:sz w:val="14"/>
          <w:szCs w:val="14"/>
          <w:color w:val="auto"/>
        </w:rPr>
      </w:pPr>
      <w:r>
        <w:rPr>
          <w:rFonts w:ascii="Arial" w:cs="Arial" w:eastAsia="Arial" w:hAnsi="Arial"/>
          <w:sz w:val="14"/>
          <w:szCs w:val="14"/>
          <w:color w:val="auto"/>
        </w:rPr>
        <w:t>Certain schedules and exhibits have been omitted pursuant to Item 601(a)(5) of Regulation S-K because such schedules and exhibits do not contain information which is material to an investment or voting decision or which is not otherwise disclosed in the filed agreements. The Company will furnish the omitted schedules and exhibits to the SEC upon request by the SEC.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jc w:val="both"/>
        <w:ind w:right="20" w:firstLine="749"/>
        <w:spacing w:after="0" w:line="29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113"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16"/>
          <w:szCs w:val="16"/>
          <w:color w:val="auto"/>
        </w:rPr>
        <w:t>Date: February 28, 2024</w:t>
      </w:r>
      <w:r>
        <w:rPr>
          <w:sz w:val="20"/>
          <w:szCs w:val="20"/>
          <w:color w:val="auto"/>
        </w:rPr>
        <w:tab/>
      </w:r>
      <w:r>
        <w:rPr>
          <w:rFonts w:ascii="Arial" w:cs="Arial" w:eastAsia="Arial" w:hAnsi="Arial"/>
          <w:sz w:val="16"/>
          <w:szCs w:val="16"/>
          <w:color w:val="auto"/>
        </w:rPr>
        <w:t>Personalis, Inc.</w:t>
      </w:r>
    </w:p>
    <w:p>
      <w:pPr>
        <w:spacing w:after="0" w:line="22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By:  /s/ Aaron Tachibana</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-115570</wp:posOffset>
            </wp:positionV>
            <wp:extent cx="31800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Chief Financial Officer and Chief Operating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2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Christopher Hall and Aaron Tachibana,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Registrant and in the capacities and on the dates indicated:</w:t>
      </w:r>
    </w:p>
    <w:p>
      <w:pPr>
        <w:sectPr>
          <w:pgSz w:w="11900" w:h="16838" w:orient="portrait"/>
          <w:cols w:equalWidth="0" w:num="1">
            <w:col w:w="11240"/>
          </w:cols>
          <w:pgMar w:left="320" w:top="778" w:right="339" w:bottom="1440" w:gutter="0" w:footer="0" w:header="0"/>
        </w:sectPr>
      </w:pPr>
    </w:p>
    <w:p>
      <w:pPr>
        <w:spacing w:after="0" w:line="178"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Name and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571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1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 Christopher Hall</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Christopher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3571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Aaron Tachibana</w:t>
      </w:r>
    </w:p>
    <w:p>
      <w:pPr>
        <w:spacing w:after="0" w:line="32"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3571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A. Blaine Bowman</w:t>
      </w:r>
    </w:p>
    <w:p>
      <w:pPr>
        <w:spacing w:after="0" w:line="32"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A. Blaine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3571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Karin Eastham</w:t>
      </w:r>
    </w:p>
    <w:p>
      <w:pPr>
        <w:spacing w:after="0" w:line="32"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Karin Eastham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3571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Kenneth Widder</w:t>
      </w:r>
    </w:p>
    <w:p>
      <w:pPr>
        <w:spacing w:after="0" w:line="32"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Kenneth J. Widder,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3571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Lonnie Shoff</w:t>
      </w:r>
    </w:p>
    <w:p>
      <w:pPr>
        <w:spacing w:after="0" w:line="32"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Lonnie Shoff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3571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Olivia Bloom</w:t>
      </w:r>
    </w:p>
    <w:p>
      <w:pPr>
        <w:spacing w:after="0" w:line="32"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Olivia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3571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 Woodrow A. Myers, Jr.</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Woodrow A. Myers, Jr.,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3571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c>
          <w:tcPr>
            <w:tcW w:w="100" w:type="dxa"/>
            <w:vAlign w:val="bottom"/>
          </w:tcPr>
          <w:p>
            <w:pPr>
              <w:spacing w:after="0"/>
              <w:rPr>
                <w:sz w:val="18"/>
                <w:szCs w:val="18"/>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400"/>
        </w:trPr>
        <w:tc>
          <w:tcPr>
            <w:tcW w:w="4880" w:type="dxa"/>
            <w:vAlign w:val="bottom"/>
          </w:tcPr>
          <w:p>
            <w:pPr>
              <w:jc w:val="center"/>
              <w:spacing w:after="0"/>
              <w:rPr>
                <w:sz w:val="20"/>
                <w:szCs w:val="20"/>
                <w:color w:val="auto"/>
              </w:rPr>
            </w:pPr>
            <w:r>
              <w:rPr>
                <w:rFonts w:ascii="Arial" w:cs="Arial" w:eastAsia="Arial" w:hAnsi="Arial"/>
                <w:sz w:val="16"/>
                <w:szCs w:val="16"/>
                <w:color w:val="auto"/>
              </w:rPr>
              <w:t>President, Chief Executive Officer and 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28, 2024</w:t>
            </w:r>
          </w:p>
        </w:tc>
      </w:tr>
      <w:tr>
        <w:trPr>
          <w:trHeight w:val="213"/>
        </w:trPr>
        <w:tc>
          <w:tcPr>
            <w:tcW w:w="488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08"/>
        </w:trPr>
        <w:tc>
          <w:tcPr>
            <w:tcW w:w="4880" w:type="dxa"/>
            <w:vAlign w:val="bottom"/>
          </w:tcPr>
          <w:p>
            <w:pPr>
              <w:jc w:val="center"/>
              <w:spacing w:after="0"/>
              <w:rPr>
                <w:sz w:val="20"/>
                <w:szCs w:val="20"/>
                <w:color w:val="auto"/>
              </w:rPr>
            </w:pPr>
            <w:r>
              <w:rPr>
                <w:rFonts w:ascii="Arial" w:cs="Arial" w:eastAsia="Arial" w:hAnsi="Arial"/>
                <w:sz w:val="16"/>
                <w:szCs w:val="16"/>
                <w:color w:val="auto"/>
              </w:rPr>
              <w:t>Chief Financial Officer and Chief Operating Officer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28, 2024</w:t>
            </w:r>
          </w:p>
        </w:tc>
      </w:tr>
      <w:tr>
        <w:trPr>
          <w:trHeight w:val="213"/>
        </w:trPr>
        <w:tc>
          <w:tcPr>
            <w:tcW w:w="488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19"/>
        </w:trPr>
        <w:tc>
          <w:tcPr>
            <w:tcW w:w="488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28, 2024</w:t>
            </w:r>
          </w:p>
        </w:tc>
      </w:tr>
      <w:tr>
        <w:trPr>
          <w:trHeight w:val="621"/>
        </w:trPr>
        <w:tc>
          <w:tcPr>
            <w:tcW w:w="488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28, 2024</w:t>
            </w:r>
          </w:p>
        </w:tc>
      </w:tr>
      <w:tr>
        <w:trPr>
          <w:trHeight w:val="621"/>
        </w:trPr>
        <w:tc>
          <w:tcPr>
            <w:tcW w:w="488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28, 2024</w:t>
            </w:r>
          </w:p>
        </w:tc>
      </w:tr>
      <w:tr>
        <w:trPr>
          <w:trHeight w:val="621"/>
        </w:trPr>
        <w:tc>
          <w:tcPr>
            <w:tcW w:w="488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28, 2024</w:t>
            </w:r>
          </w:p>
        </w:tc>
      </w:tr>
      <w:tr>
        <w:trPr>
          <w:trHeight w:val="621"/>
        </w:trPr>
        <w:tc>
          <w:tcPr>
            <w:tcW w:w="488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28, 2024</w:t>
            </w:r>
          </w:p>
        </w:tc>
      </w:tr>
      <w:tr>
        <w:trPr>
          <w:trHeight w:val="621"/>
        </w:trPr>
        <w:tc>
          <w:tcPr>
            <w:tcW w:w="488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28, 2024</w:t>
            </w:r>
          </w:p>
        </w:tc>
      </w:tr>
    </w:tbl>
    <w:p>
      <w:pPr>
        <w:spacing w:after="0" w:line="371" w:lineRule="exact"/>
        <w:rPr>
          <w:sz w:val="20"/>
          <w:szCs w:val="20"/>
          <w:color w:val="auto"/>
        </w:rPr>
      </w:pPr>
    </w:p>
    <w:p>
      <w:pPr>
        <w:sectPr>
          <w:pgSz w:w="11900" w:h="16838" w:orient="portrait"/>
          <w:cols w:equalWidth="0" w:num="2">
            <w:col w:w="3120" w:space="720"/>
            <w:col w:w="7400"/>
          </w:cols>
          <w:pgMar w:left="320" w:top="778" w:right="339" w:bottom="1440" w:gutter="0" w:footer="0" w:header="0"/>
          <w:type w:val="continuous"/>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Exhibit 10.4</w:t>
      </w:r>
    </w:p>
    <w:p>
      <w:pPr>
        <w:spacing w:after="0" w:line="19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ersonalis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2020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ommittee of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22"/>
          <w:szCs w:val="22"/>
          <w:b w:val="1"/>
          <w:bCs w:val="1"/>
          <w:color w:val="auto"/>
        </w:rPr>
        <w:t>: M</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22"/>
          <w:szCs w:val="22"/>
          <w:b w:val="1"/>
          <w:bCs w:val="1"/>
          <w:color w:val="auto"/>
        </w:rPr>
        <w:t xml:space="preserve"> 4, 2020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by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ommittee of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22"/>
          <w:szCs w:val="22"/>
          <w:b w:val="1"/>
          <w:bCs w:val="1"/>
          <w:color w:val="auto"/>
        </w:rPr>
        <w:t>: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22"/>
          <w:szCs w:val="22"/>
          <w:b w:val="1"/>
          <w:bCs w:val="1"/>
          <w:color w:val="auto"/>
        </w:rPr>
        <w:t xml:space="preserve"> 25, 2023</w:t>
      </w:r>
    </w:p>
    <w:p>
      <w:pPr>
        <w:spacing w:after="0" w:line="210"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20"/>
          <w:szCs w:val="20"/>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757"/>
        <w:spacing w:after="0"/>
        <w:tabs>
          <w:tab w:leader="none" w:pos="1018"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Eligible Award Recipients. </w:t>
      </w:r>
      <w:r>
        <w:rPr>
          <w:rFonts w:ascii="Times New Roman" w:cs="Times New Roman" w:eastAsia="Times New Roman" w:hAnsi="Times New Roman"/>
          <w:sz w:val="20"/>
          <w:szCs w:val="20"/>
          <w:color w:val="auto"/>
        </w:rPr>
        <w:t>The only persons eligible to receive grants of Awards under this Plan are individuals who satisfy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standards for inducement grants under Nasdaq Marketplace Rule 5635(c)(4) or 5635(c)(3), if applicable, and the related guidance under Nasdaq IM 5635-1. A person who previously served as an Employee or Director will not be eligible to receive Awards under the Plan, other than following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period of non-employment. Persons eligible to receive grants of Awards under this Plan are referred to in this Plan as “</w:t>
      </w:r>
      <w:r>
        <w:rPr>
          <w:rFonts w:ascii="Times New Roman" w:cs="Times New Roman" w:eastAsia="Times New Roman" w:hAnsi="Times New Roman"/>
          <w:sz w:val="20"/>
          <w:szCs w:val="20"/>
          <w:b w:val="1"/>
          <w:bCs w:val="1"/>
          <w:i w:val="1"/>
          <w:iCs w:val="1"/>
          <w:color w:val="auto"/>
        </w:rPr>
        <w:t>Eligible Employees</w:t>
      </w:r>
      <w:r>
        <w:rPr>
          <w:rFonts w:ascii="Times New Roman" w:cs="Times New Roman" w:eastAsia="Times New Roman" w:hAnsi="Times New Roman"/>
          <w:sz w:val="20"/>
          <w:szCs w:val="20"/>
          <w:color w:val="auto"/>
        </w:rPr>
        <w:t>.” These Awards must be approved by either a majority of the Company’s “</w:t>
      </w:r>
      <w:r>
        <w:rPr>
          <w:rFonts w:ascii="Times New Roman" w:cs="Times New Roman" w:eastAsia="Times New Roman" w:hAnsi="Times New Roman"/>
          <w:sz w:val="20"/>
          <w:szCs w:val="20"/>
          <w:b w:val="1"/>
          <w:bCs w:val="1"/>
          <w:i w:val="1"/>
          <w:iCs w:val="1"/>
          <w:color w:val="auto"/>
        </w:rPr>
        <w:t>Independent Directors</w:t>
      </w:r>
      <w:r>
        <w:rPr>
          <w:rFonts w:ascii="Times New Roman" w:cs="Times New Roman" w:eastAsia="Times New Roman" w:hAnsi="Times New Roman"/>
          <w:sz w:val="20"/>
          <w:szCs w:val="20"/>
          <w:color w:val="auto"/>
        </w:rPr>
        <w:t>” (as such term is defined in Nasdaq Marketplace Rule 5605(a)(2)) or the Company’s compensation committee, provided such committee comprises solely Independent Directors (the “</w:t>
      </w:r>
      <w:r>
        <w:rPr>
          <w:rFonts w:ascii="Times New Roman" w:cs="Times New Roman" w:eastAsia="Times New Roman" w:hAnsi="Times New Roman"/>
          <w:sz w:val="20"/>
          <w:szCs w:val="20"/>
          <w:b w:val="1"/>
          <w:bCs w:val="1"/>
          <w:i w:val="1"/>
          <w:iCs w:val="1"/>
          <w:color w:val="auto"/>
        </w:rPr>
        <w:t>Independent Compensation Committee</w:t>
      </w:r>
      <w:r>
        <w:rPr>
          <w:rFonts w:ascii="Times New Roman" w:cs="Times New Roman" w:eastAsia="Times New Roman" w:hAnsi="Times New Roman"/>
          <w:sz w:val="20"/>
          <w:szCs w:val="20"/>
          <w:color w:val="auto"/>
        </w:rPr>
        <w:t>”) in order to comply with the exemption from the stockholder approval requirement for “inducement grants” provided under Rule 5635(c)(4) of the Nasdaq Marketplace Rules. Nasdaq Marketplace Rule 5635(c)(4) and the related guidance under Nasdaq IM 5635-1 (together with any analogous rules or guidance effective after the date hereof, the “</w:t>
      </w:r>
      <w:r>
        <w:rPr>
          <w:rFonts w:ascii="Times New Roman" w:cs="Times New Roman" w:eastAsia="Times New Roman" w:hAnsi="Times New Roman"/>
          <w:sz w:val="20"/>
          <w:szCs w:val="20"/>
          <w:b w:val="1"/>
          <w:bCs w:val="1"/>
          <w:i w:val="1"/>
          <w:iCs w:val="1"/>
          <w:color w:val="auto"/>
        </w:rPr>
        <w:t>Inducement Award Rules</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9"/>
          <w:szCs w:val="19"/>
          <w:b w:val="1"/>
          <w:bCs w:val="1"/>
          <w:color w:val="auto"/>
        </w:rPr>
        <w:t>Available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Plan provides for the grant of the following Awards: (i) Options, (ii) Stock Appreciation Rights, (iii)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Restricted Stock Awards, (iv) Restricted Stock Unit Awards, (v) Performance Stock Awards, and (vi) Other Stock Awards. All Options shall be Nonstatutory Stock Options.</w:t>
      </w:r>
    </w:p>
    <w:p>
      <w:pPr>
        <w:spacing w:after="0" w:line="191" w:lineRule="exact"/>
        <w:rPr>
          <w:sz w:val="20"/>
          <w:szCs w:val="20"/>
          <w:color w:val="auto"/>
        </w:rPr>
      </w:pPr>
    </w:p>
    <w:p>
      <w:pPr>
        <w:jc w:val="both"/>
        <w:ind w:firstLine="757"/>
        <w:spacing w:after="0" w:line="242" w:lineRule="auto"/>
        <w:tabs>
          <w:tab w:leader="none" w:pos="1018"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Purpose. </w:t>
      </w:r>
      <w:r>
        <w:rPr>
          <w:rFonts w:ascii="Times New Roman" w:cs="Times New Roman" w:eastAsia="Times New Roman" w:hAnsi="Times New Roman"/>
          <w:sz w:val="20"/>
          <w:szCs w:val="20"/>
          <w:color w:val="auto"/>
        </w:rPr>
        <w:t>The Plan, through the grant of Awards, is intended to provide (i) an inducement material for certain individuals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enter into employment with the Company within the meaning of Rule 5635(c)(4) of the Nasdaq Marketplace Rules, (ii) incentives for such persons to exert maximum efforts for the success of the Company and any Affiliate and (iii) a means by which Eligible Employees may be given an opportunity to benefit from increases in value of the Common Stock.</w:t>
      </w:r>
    </w:p>
    <w:p>
      <w:pPr>
        <w:spacing w:after="0" w:line="19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r>
        <w:rPr>
          <w:rFonts w:ascii="Times New Roman" w:cs="Times New Roman" w:eastAsia="Times New Roman" w:hAnsi="Times New Roman"/>
          <w:sz w:val="20"/>
          <w:szCs w:val="20"/>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Administration by Board. </w:t>
      </w:r>
      <w:r>
        <w:rPr>
          <w:rFonts w:ascii="Times New Roman" w:cs="Times New Roman" w:eastAsia="Times New Roman" w:hAnsi="Times New Roman"/>
          <w:sz w:val="20"/>
          <w:szCs w:val="20"/>
          <w:color w:val="auto"/>
        </w:rPr>
        <w:t>The Board will administer the Plan; provided, however, that Awards may only be granted by either</w:t>
      </w:r>
    </w:p>
    <w:p>
      <w:pPr>
        <w:spacing w:after="0" w:line="2" w:lineRule="exact"/>
        <w:rPr>
          <w:rFonts w:ascii="Times New Roman" w:cs="Times New Roman" w:eastAsia="Times New Roman" w:hAnsi="Times New Roman"/>
          <w:sz w:val="22"/>
          <w:szCs w:val="22"/>
          <w:b w:val="1"/>
          <w:bCs w:val="1"/>
          <w:color w:val="auto"/>
        </w:rPr>
      </w:pPr>
    </w:p>
    <w:p>
      <w:pPr>
        <w:jc w:val="both"/>
        <w:spacing w:after="0" w:line="24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(i) a majority of the Company’s Independent Directors or (ii) the Independent Compensation Committee. Subject to those constraints and the other constraints of the Inducement Award Rules, the Board may delegate some of its powers of administration of the Plan to a Committee or Committees, as provided in Section 2(c).</w:t>
      </w:r>
    </w:p>
    <w:p>
      <w:pPr>
        <w:spacing w:after="0" w:line="17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9"/>
          <w:szCs w:val="19"/>
          <w:b w:val="1"/>
          <w:bCs w:val="1"/>
          <w:color w:val="auto"/>
        </w:rPr>
        <w:t>Powers of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Board will have the power, subject to, and within the limitations of, the express provisions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and the Inducement Award Rules:</w:t>
      </w:r>
    </w:p>
    <w:p>
      <w:pPr>
        <w:spacing w:after="0" w:line="157" w:lineRule="exact"/>
        <w:rPr>
          <w:sz w:val="20"/>
          <w:szCs w:val="20"/>
          <w:color w:val="auto"/>
        </w:rPr>
      </w:pPr>
    </w:p>
    <w:p>
      <w:pPr>
        <w:jc w:val="both"/>
        <w:ind w:firstLine="1505"/>
        <w:spacing w:after="0"/>
        <w:tabs>
          <w:tab w:leader="none" w:pos="2036"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an Award; provided, however, that Awards may only be granted by either (i) a majority of the Company’s Independent Directors or (ii) the Independent Compensation Committee.</w:t>
      </w:r>
    </w:p>
    <w:p>
      <w:pPr>
        <w:spacing w:after="0" w:line="204" w:lineRule="exact"/>
        <w:rPr>
          <w:rFonts w:ascii="Times New Roman" w:cs="Times New Roman" w:eastAsia="Times New Roman" w:hAnsi="Times New Roman"/>
          <w:sz w:val="22"/>
          <w:szCs w:val="22"/>
          <w:b w:val="1"/>
          <w:bCs w:val="1"/>
          <w:color w:val="auto"/>
        </w:rPr>
      </w:pPr>
    </w:p>
    <w:p>
      <w:pPr>
        <w:ind w:firstLine="1505"/>
        <w:spacing w:after="0" w:line="245" w:lineRule="auto"/>
        <w:tabs>
          <w:tab w:leader="none" w:pos="2036"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To construe and interpret the Plan and Awards granted under it, and to establish, amend and revoke rules and regulations for administration of the Plan and Awards. The Board, in the exercise of these powers,</w:t>
      </w:r>
    </w:p>
    <w:p>
      <w:pPr>
        <w:spacing w:after="0" w:line="200" w:lineRule="exact"/>
        <w:rPr>
          <w:sz w:val="20"/>
          <w:szCs w:val="20"/>
          <w:color w:val="auto"/>
        </w:rPr>
      </w:pPr>
    </w:p>
    <w:p>
      <w:pPr>
        <w:spacing w:after="0" w:line="22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02" w:name="page103"/>
    <w:bookmarkEnd w:id="102"/>
    <w:p>
      <w:pPr>
        <w:spacing w:after="0" w:line="269" w:lineRule="auto"/>
        <w:rPr>
          <w:sz w:val="20"/>
          <w:szCs w:val="20"/>
          <w:color w:val="auto"/>
        </w:rPr>
      </w:pPr>
      <w:r>
        <w:rPr>
          <w:rFonts w:ascii="Times New Roman" w:cs="Times New Roman" w:eastAsia="Times New Roman" w:hAnsi="Times New Roman"/>
          <w:sz w:val="20"/>
          <w:szCs w:val="20"/>
          <w:color w:val="auto"/>
        </w:rPr>
        <w:t>may correct any defect, omission or inconsistency in the Plan or in any Award Agreement, in a manner and to the extent it will deem necessary or expedient to make the Plan or Award fully effective.</w:t>
      </w:r>
    </w:p>
    <w:p>
      <w:pPr>
        <w:spacing w:after="0" w:line="173" w:lineRule="exact"/>
        <w:rPr>
          <w:sz w:val="20"/>
          <w:szCs w:val="20"/>
          <w:color w:val="auto"/>
        </w:rPr>
      </w:pPr>
    </w:p>
    <w:p>
      <w:pPr>
        <w:ind w:left="2040" w:hanging="535"/>
        <w:spacing w:after="0"/>
        <w:tabs>
          <w:tab w:leader="none" w:pos="2040" w:val="left"/>
        </w:tabs>
        <w:numPr>
          <w:ilvl w:val="2"/>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To settle all controversies regarding the Plan and Awards granted under it.</w:t>
      </w:r>
    </w:p>
    <w:p>
      <w:pPr>
        <w:spacing w:after="0" w:line="206" w:lineRule="exact"/>
        <w:rPr>
          <w:rFonts w:ascii="Times New Roman" w:cs="Times New Roman" w:eastAsia="Times New Roman" w:hAnsi="Times New Roman"/>
          <w:sz w:val="22"/>
          <w:szCs w:val="22"/>
          <w:b w:val="1"/>
          <w:bCs w:val="1"/>
          <w:color w:val="auto"/>
        </w:rPr>
      </w:pPr>
    </w:p>
    <w:p>
      <w:pPr>
        <w:ind w:firstLine="1505"/>
        <w:spacing w:after="0" w:line="245" w:lineRule="auto"/>
        <w:tabs>
          <w:tab w:leader="none" w:pos="2036" w:val="left"/>
        </w:tabs>
        <w:numPr>
          <w:ilvl w:val="2"/>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To accelerate, in whole or in part, the time at which an Award may be exercised or vest (or the time at which cash or shares of Common Stock may be issued in settlement thereof).</w:t>
      </w:r>
    </w:p>
    <w:p>
      <w:pPr>
        <w:spacing w:after="0" w:line="195" w:lineRule="exact"/>
        <w:rPr>
          <w:rFonts w:ascii="Times New Roman" w:cs="Times New Roman" w:eastAsia="Times New Roman" w:hAnsi="Times New Roman"/>
          <w:sz w:val="22"/>
          <w:szCs w:val="22"/>
          <w:b w:val="1"/>
          <w:bCs w:val="1"/>
          <w:color w:val="auto"/>
        </w:rPr>
      </w:pPr>
    </w:p>
    <w:p>
      <w:pPr>
        <w:jc w:val="both"/>
        <w:ind w:firstLine="1505"/>
        <w:spacing w:after="0" w:line="242" w:lineRule="auto"/>
        <w:tabs>
          <w:tab w:leader="none" w:pos="2036" w:val="left"/>
        </w:tabs>
        <w:numPr>
          <w:ilvl w:val="2"/>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w:t>
      </w:r>
    </w:p>
    <w:p>
      <w:pPr>
        <w:spacing w:after="0" w:line="199" w:lineRule="exact"/>
        <w:rPr>
          <w:rFonts w:ascii="Times New Roman" w:cs="Times New Roman" w:eastAsia="Times New Roman" w:hAnsi="Times New Roman"/>
          <w:sz w:val="22"/>
          <w:szCs w:val="22"/>
          <w:b w:val="1"/>
          <w:bCs w:val="1"/>
          <w:color w:val="auto"/>
        </w:rPr>
      </w:pPr>
    </w:p>
    <w:p>
      <w:pPr>
        <w:jc w:val="both"/>
        <w:ind w:firstLine="1505"/>
        <w:spacing w:after="0"/>
        <w:tabs>
          <w:tab w:leader="none" w:pos="2036" w:val="left"/>
        </w:tabs>
        <w:numPr>
          <w:ilvl w:val="2"/>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To amend the Plan in any respect the Board deems necessary or advisable, including, without limitation, by adopting amendments relating to certain nonqualified deferred compensation under Section 409A of the Code and/or to ensure the Plan or Awards granted under the Plan are exempt from, or compliant with, the requirements for nonqualified deferred compensation under Section 409A of the Code, subject to the limitations, if any, of applicable law. Except as provided in Section 9(a) relating to Capitalization Adjustments, if required by applicable law or listing requirements, the Company shall seek stockholder approval for any amendment of the Plan. Except as otherwise provided in the Plan or an Award Agreement, no amendment of the Plan will materially impair a Participant’s rights under an outstanding Award without the Participant’s written consent.</w:t>
      </w:r>
    </w:p>
    <w:p>
      <w:pPr>
        <w:spacing w:after="0" w:line="203" w:lineRule="exact"/>
        <w:rPr>
          <w:rFonts w:ascii="Times New Roman" w:cs="Times New Roman" w:eastAsia="Times New Roman" w:hAnsi="Times New Roman"/>
          <w:sz w:val="22"/>
          <w:szCs w:val="22"/>
          <w:b w:val="1"/>
          <w:bCs w:val="1"/>
          <w:color w:val="auto"/>
        </w:rPr>
      </w:pPr>
    </w:p>
    <w:p>
      <w:pPr>
        <w:ind w:right="20" w:firstLine="1505"/>
        <w:spacing w:after="0" w:line="245" w:lineRule="auto"/>
        <w:tabs>
          <w:tab w:leader="none" w:pos="2036" w:val="left"/>
        </w:tabs>
        <w:numPr>
          <w:ilvl w:val="2"/>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To submit any amendment to the Plan for stockholder approval, including, but not limited to, amendments to the Plan intended to satisfy the requirements of Rule 16b-3.</w:t>
      </w:r>
    </w:p>
    <w:p>
      <w:pPr>
        <w:spacing w:after="0" w:line="195" w:lineRule="exact"/>
        <w:rPr>
          <w:rFonts w:ascii="Times New Roman" w:cs="Times New Roman" w:eastAsia="Times New Roman" w:hAnsi="Times New Roman"/>
          <w:sz w:val="22"/>
          <w:szCs w:val="22"/>
          <w:b w:val="1"/>
          <w:bCs w:val="1"/>
          <w:color w:val="auto"/>
        </w:rPr>
      </w:pPr>
    </w:p>
    <w:p>
      <w:pPr>
        <w:jc w:val="both"/>
        <w:ind w:firstLine="1505"/>
        <w:spacing w:after="0" w:line="251" w:lineRule="auto"/>
        <w:tabs>
          <w:tab w:leader="none" w:pos="2036" w:val="left"/>
        </w:tabs>
        <w:numPr>
          <w:ilvl w:val="2"/>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impaired by any such amendment unless (A) the Company requests the consent of the affected Participant, and</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41" w:lineRule="auto"/>
        <w:tabs>
          <w:tab w:leader="none" w:pos="32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clarify the manner of exemption from, or to bring the Award into compliance with, Section 409A of the Code; or (B) to comply with other applicable laws or listing requirements.</w:t>
      </w:r>
    </w:p>
    <w:p>
      <w:pPr>
        <w:spacing w:after="0" w:line="200" w:lineRule="exact"/>
        <w:rPr>
          <w:rFonts w:ascii="Times New Roman" w:cs="Times New Roman" w:eastAsia="Times New Roman" w:hAnsi="Times New Roman"/>
          <w:sz w:val="20"/>
          <w:szCs w:val="20"/>
          <w:color w:val="auto"/>
        </w:rPr>
      </w:pPr>
    </w:p>
    <w:p>
      <w:pPr>
        <w:ind w:right="20" w:firstLine="1505"/>
        <w:spacing w:after="0" w:line="245" w:lineRule="auto"/>
        <w:tabs>
          <w:tab w:leader="none" w:pos="2036" w:val="left"/>
        </w:tabs>
        <w:numPr>
          <w:ilvl w:val="2"/>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95"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2"/>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To adopt such procedures and sub-plans as are necessary or appropriate to permit participation in the Plan by Eligible Employees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19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Delegation to Committee.</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2"/>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 The Board may delegate some or all of the administration of the Plan to a Committee or Committees.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construed as being to the Committee or subcommittee, as applicable). Any delegation of administrative powers</w:t>
      </w:r>
    </w:p>
    <w:p>
      <w:pPr>
        <w:spacing w:after="0" w:line="19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03" w:name="page104"/>
    <w:bookmarkEnd w:id="103"/>
    <w:p>
      <w:pPr>
        <w:jc w:val="both"/>
        <w:spacing w:after="0" w:line="254" w:lineRule="auto"/>
        <w:rPr>
          <w:sz w:val="20"/>
          <w:szCs w:val="20"/>
          <w:color w:val="auto"/>
        </w:rPr>
      </w:pPr>
      <w:r>
        <w:rPr>
          <w:rFonts w:ascii="Times New Roman" w:cs="Times New Roman" w:eastAsia="Times New Roman" w:hAnsi="Times New Roman"/>
          <w:sz w:val="20"/>
          <w:szCs w:val="20"/>
          <w:color w:val="auto"/>
        </w:rPr>
        <w:t>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84" w:lineRule="exact"/>
        <w:rPr>
          <w:sz w:val="20"/>
          <w:szCs w:val="20"/>
          <w:color w:val="auto"/>
        </w:rPr>
      </w:pPr>
    </w:p>
    <w:p>
      <w:pPr>
        <w:ind w:firstLine="1505"/>
        <w:spacing w:after="0" w:line="249" w:lineRule="auto"/>
        <w:tabs>
          <w:tab w:leader="none" w:pos="2036"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Rule 16b-3 Compliance. </w:t>
      </w:r>
      <w:r>
        <w:rPr>
          <w:rFonts w:ascii="Times New Roman" w:cs="Times New Roman" w:eastAsia="Times New Roman" w:hAnsi="Times New Roman"/>
          <w:sz w:val="20"/>
          <w:szCs w:val="20"/>
          <w:color w:val="auto"/>
        </w:rPr>
        <w:t>The Committee may consist solely of two or more Non-Employee Directors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Rule 16b-3.</w:t>
      </w:r>
    </w:p>
    <w:p>
      <w:pPr>
        <w:spacing w:after="0" w:line="16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9"/>
          <w:szCs w:val="19"/>
          <w:b w:val="1"/>
          <w:bCs w:val="1"/>
          <w:color w:val="auto"/>
        </w:rPr>
        <w:t>Effect of Board’s Decision.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All determinations, interpretations and constructions made by the Board in good faith will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subject to review by any person and will be final, binding and conclusive on all persons.</w:t>
      </w:r>
    </w:p>
    <w:p>
      <w:pPr>
        <w:spacing w:after="0" w:line="153" w:lineRule="exact"/>
        <w:rPr>
          <w:sz w:val="20"/>
          <w:szCs w:val="20"/>
          <w:color w:val="auto"/>
        </w:rPr>
      </w:pPr>
    </w:p>
    <w:p>
      <w:pPr>
        <w:jc w:val="both"/>
        <w:ind w:firstLine="757"/>
        <w:spacing w:after="0" w:line="244" w:lineRule="auto"/>
        <w:tabs>
          <w:tab w:leader="none" w:pos="1018"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Repricing; Cancellation and Re-Grant of Awards. </w:t>
      </w:r>
      <w:r>
        <w:rPr>
          <w:rFonts w:ascii="Times New Roman" w:cs="Times New Roman" w:eastAsia="Times New Roman" w:hAnsi="Times New Roman"/>
          <w:sz w:val="20"/>
          <w:szCs w:val="20"/>
          <w:color w:val="auto"/>
        </w:rPr>
        <w:t>Neither the Board nor any Committee will have the authority to reduce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purchase or strike price of any outstanding Option or SAR, unless the stockholders of the Company have approved such an action within twelve (12) months prior to such an event.</w:t>
      </w:r>
    </w:p>
    <w:p>
      <w:pPr>
        <w:spacing w:after="0" w:line="193"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ubject to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Share Reserve. </w:t>
      </w:r>
      <w:r>
        <w:rPr>
          <w:rFonts w:ascii="Times New Roman" w:cs="Times New Roman" w:eastAsia="Times New Roman" w:hAnsi="Times New Roman"/>
          <w:sz w:val="20"/>
          <w:szCs w:val="20"/>
          <w:color w:val="auto"/>
        </w:rPr>
        <w:t>Subject to Section 9(a) relating to Capitalization Adjustments, the aggregate number of shares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that may be issued pursuant to Awards will not exceed 1,350,000 shares. Shares may be issued in connection with a merger or acquisition as permitted by Nasdaq Marketplace Rule 5635(c) or, if applicable NYSE Listed Company Manual Section 303A.08, AMEX Company Guide Section 711 or other applicable rule, and such issuance will not reduce the number of shares available for issuance under the Plan.</w:t>
      </w:r>
    </w:p>
    <w:p>
      <w:pPr>
        <w:spacing w:after="0" w:line="18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9"/>
          <w:szCs w:val="19"/>
          <w:b w:val="1"/>
          <w:bCs w:val="1"/>
          <w:color w:val="auto"/>
        </w:rPr>
        <w:t>Reversion of Shares to the Share Reserve.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If an Award or any portion thereof (i) expires or otherwise terminates without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shares covered by such Award having been issued or (ii) is settled in cash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an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an Award or as consideration for the exercise or purchase price of an Award will again become available for issuance under the Plan.</w:t>
      </w:r>
    </w:p>
    <w:p>
      <w:pPr>
        <w:spacing w:after="0" w:line="200" w:lineRule="exact"/>
        <w:rPr>
          <w:sz w:val="20"/>
          <w:szCs w:val="20"/>
          <w:color w:val="auto"/>
        </w:rPr>
      </w:pPr>
    </w:p>
    <w:p>
      <w:pPr>
        <w:spacing w:after="0" w:line="222" w:lineRule="exact"/>
        <w:rPr>
          <w:sz w:val="20"/>
          <w:szCs w:val="20"/>
          <w:color w:val="auto"/>
        </w:rPr>
      </w:pPr>
    </w:p>
    <w:p>
      <w:pPr>
        <w:ind w:firstLine="757"/>
        <w:spacing w:after="0" w:line="249" w:lineRule="auto"/>
        <w:tabs>
          <w:tab w:leader="none" w:pos="1018"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Source of Shares. </w:t>
      </w:r>
      <w:r>
        <w:rPr>
          <w:rFonts w:ascii="Times New Roman" w:cs="Times New Roman" w:eastAsia="Times New Roman" w:hAnsi="Times New Roman"/>
          <w:sz w:val="20"/>
          <w:szCs w:val="20"/>
          <w:color w:val="auto"/>
        </w:rPr>
        <w:t>The stock issuable under the Plan will be shares of authorized but unissued or reacquired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shares repurchased by the Company on the open market or otherwise.</w:t>
      </w:r>
    </w:p>
    <w:p>
      <w:pPr>
        <w:spacing w:after="0" w:line="187"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ligibility</w:t>
      </w:r>
      <w:r>
        <w:rPr>
          <w:rFonts w:ascii="Times New Roman" w:cs="Times New Roman" w:eastAsia="Times New Roman" w:hAnsi="Times New Roman"/>
          <w:sz w:val="20"/>
          <w:szCs w:val="20"/>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757"/>
        <w:spacing w:after="0"/>
        <w:tabs>
          <w:tab w:leader="none" w:pos="1018" w:val="left"/>
        </w:tabs>
        <w:numPr>
          <w:ilvl w:val="1"/>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Eligibility for Specific Awards. </w:t>
      </w:r>
      <w:r>
        <w:rPr>
          <w:rFonts w:ascii="Times New Roman" w:cs="Times New Roman" w:eastAsia="Times New Roman" w:hAnsi="Times New Roman"/>
          <w:sz w:val="20"/>
          <w:szCs w:val="20"/>
          <w:color w:val="auto"/>
        </w:rPr>
        <w:t>Awards may only be granted to persons who are Eligible Employees described in Section 1(a)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Plan, where the Award is an inducement material to the individual’s entering into employment with the Company or an Affiliate within the meaning of Rule 5635(c)(4) of the Nasdaq Marketplace Rules or is otherwise permitted pursuant to Rule 5635(c) of the Nasdaq Marketplace Rules,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Awards may not be granted to Eligible Employees who are providing Continuous Service only to any “parent” of the Company, as such term is defined in Rule 405 of the Securities Act, unless (i) the stock underlying such Awards is treated as “service recipient stock” under Section 409A of the Code (for example, because the Awards are granted pursuant to a corporate transaction such as a spin off transaction), (ii) the Company, in consultation with its legal counsel, has determined that such Awards are otherwise exempt from Section 409A of the Code, or (iii) the Company, in consultation with its legal counsel, has determined that such Awards comply with the distribution requirements of Section 409A of the Code.</w:t>
      </w:r>
    </w:p>
    <w:p>
      <w:pPr>
        <w:spacing w:after="0" w:line="184"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19"/>
          <w:szCs w:val="19"/>
          <w:b w:val="1"/>
          <w:bCs w:val="1"/>
          <w:color w:val="auto"/>
        </w:rPr>
        <w:t>Approval Requirements.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All Awards must be granted either by a majority of the Company’s independent directors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Independent Compensation Committee.</w:t>
      </w:r>
    </w:p>
    <w:p>
      <w:pPr>
        <w:spacing w:after="0" w:line="19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04" w:name="page105"/>
    <w:bookmarkEnd w:id="104"/>
    <w:p>
      <w:pPr>
        <w:ind w:left="520" w:hanging="512"/>
        <w:spacing w:after="0"/>
        <w:tabs>
          <w:tab w:leader="none" w:pos="52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rovisions relating to</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Option or SAR will be in such form and will contain such terms and conditions as the Board deems appropriate. All Options will be Nonstatutory Stock Options at the time of grant. The provisions of separate Options or SARs need not be identical;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each Award Agreement will conform to (through incorporation of provisions hereof by reference in the applicable Award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or otherwise) the substance of each of the following provisions:</w:t>
      </w:r>
    </w:p>
    <w:p>
      <w:pPr>
        <w:spacing w:after="0" w:line="189" w:lineRule="exact"/>
        <w:rPr>
          <w:sz w:val="20"/>
          <w:szCs w:val="20"/>
          <w:color w:val="auto"/>
        </w:rPr>
      </w:pPr>
    </w:p>
    <w:p>
      <w:pPr>
        <w:ind w:firstLine="757"/>
        <w:spacing w:after="0" w:line="249" w:lineRule="auto"/>
        <w:tabs>
          <w:tab w:leader="none" w:pos="1018"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No Option or SAR will be exercisable after the expiration of 10 years from the date of its grant or such shorter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specified in the Award Agreement.</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9"/>
          <w:szCs w:val="19"/>
          <w:b w:val="1"/>
          <w:bCs w:val="1"/>
          <w:color w:val="auto"/>
        </w:rPr>
        <w:t>Exercise Price.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exercise or strike price of each Option or SAR will be not less than 100% of the Fair Market Value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Each SAR will be denominated in shares of Common Stock equivalents.</w:t>
      </w:r>
    </w:p>
    <w:p>
      <w:pPr>
        <w:spacing w:after="0" w:line="200" w:lineRule="exact"/>
        <w:rPr>
          <w:sz w:val="20"/>
          <w:szCs w:val="20"/>
          <w:color w:val="auto"/>
        </w:rPr>
      </w:pPr>
    </w:p>
    <w:p>
      <w:pPr>
        <w:spacing w:after="0" w:line="229" w:lineRule="exact"/>
        <w:rPr>
          <w:sz w:val="20"/>
          <w:szCs w:val="20"/>
          <w:color w:val="auto"/>
        </w:rPr>
      </w:pPr>
    </w:p>
    <w:p>
      <w:pPr>
        <w:jc w:val="both"/>
        <w:ind w:firstLine="757"/>
        <w:spacing w:after="0" w:line="241" w:lineRule="auto"/>
        <w:tabs>
          <w:tab w:leader="none" w:pos="1018"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Purchase Price for Options. </w:t>
      </w:r>
      <w:r>
        <w:rPr>
          <w:rFonts w:ascii="Times New Roman" w:cs="Times New Roman" w:eastAsia="Times New Roman" w:hAnsi="Times New Roman"/>
          <w:sz w:val="20"/>
          <w:szCs w:val="20"/>
          <w:color w:val="auto"/>
        </w:rPr>
        <w:t>The purchase price of Common Stock acquired pursuant to the exercise of an Option may be paid,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203"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by cash, check, bank draft or money order payable to the Company;</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2" w:lineRule="auto"/>
        <w:tabs>
          <w:tab w:leader="none" w:pos="2036"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99"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by delivery to the Company (either by actual delivery or attestation) of shares of Common Stock;</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tabs>
          <w:tab w:leader="none" w:pos="2036"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20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in any other form of legal consideration that may be acceptable to the Board and specified in the applicable Award</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Agreement.</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9"/>
          <w:szCs w:val="19"/>
          <w:b w:val="1"/>
          <w:bCs w:val="1"/>
          <w:color w:val="auto"/>
        </w:rPr>
        <w:t>Exercise and Payment of a SAR.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To exercise any outstanding SAR, the Participant must provide written notice of exercise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w:t>
      </w:r>
    </w:p>
    <w:p>
      <w:pPr>
        <w:spacing w:after="0" w:line="18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05" w:name="page106"/>
    <w:bookmarkEnd w:id="105"/>
    <w:p>
      <w:pPr>
        <w:jc w:val="both"/>
        <w:spacing w:after="0" w:line="254" w:lineRule="auto"/>
        <w:rPr>
          <w:sz w:val="20"/>
          <w:szCs w:val="20"/>
          <w:color w:val="auto"/>
        </w:rPr>
      </w:pPr>
      <w:r>
        <w:rPr>
          <w:rFonts w:ascii="Times New Roman" w:cs="Times New Roman" w:eastAsia="Times New Roman" w:hAnsi="Times New Roman"/>
          <w:sz w:val="20"/>
          <w:szCs w:val="20"/>
          <w:color w:val="auto"/>
        </w:rPr>
        <w:t>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84" w:lineRule="exact"/>
        <w:rPr>
          <w:sz w:val="20"/>
          <w:szCs w:val="20"/>
          <w:color w:val="auto"/>
        </w:rPr>
      </w:pPr>
    </w:p>
    <w:p>
      <w:pPr>
        <w:jc w:val="both"/>
        <w:ind w:firstLine="757"/>
        <w:spacing w:after="0" w:line="244" w:lineRule="auto"/>
        <w:tabs>
          <w:tab w:leader="none" w:pos="101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Transferability of Options and SARs. </w:t>
      </w:r>
      <w:r>
        <w:rPr>
          <w:rFonts w:ascii="Times New Roman" w:cs="Times New Roman" w:eastAsia="Times New Roman" w:hAnsi="Times New Roman"/>
          <w:sz w:val="20"/>
          <w:szCs w:val="20"/>
          <w:color w:val="auto"/>
        </w:rPr>
        <w:t>The Board may, in its sole discretion, impose such limitations on the transferability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Options and SARs as the Board will determine. In the absence of such a determination by the Board to the contrary, the following restrictions on the transferability of Options and SARs will apply:</w:t>
      </w:r>
    </w:p>
    <w:p>
      <w:pPr>
        <w:spacing w:after="0" w:line="193" w:lineRule="exact"/>
        <w:rPr>
          <w:rFonts w:ascii="Times New Roman" w:cs="Times New Roman" w:eastAsia="Times New Roman" w:hAnsi="Times New Roman"/>
          <w:sz w:val="22"/>
          <w:szCs w:val="22"/>
          <w:b w:val="1"/>
          <w:bCs w:val="1"/>
          <w:color w:val="auto"/>
        </w:rPr>
      </w:pPr>
    </w:p>
    <w:p>
      <w:pPr>
        <w:jc w:val="both"/>
        <w:ind w:firstLine="1505"/>
        <w:spacing w:after="0" w:line="242" w:lineRule="auto"/>
        <w:tabs>
          <w:tab w:leader="none" w:pos="2036" w:val="left"/>
        </w:tabs>
        <w:numPr>
          <w:ilvl w:val="1"/>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Restrictions on Transfer. </w:t>
      </w:r>
      <w:r>
        <w:rPr>
          <w:rFonts w:ascii="Times New Roman" w:cs="Times New Roman" w:eastAsia="Times New Roman" w:hAnsi="Times New Roman"/>
          <w:sz w:val="20"/>
          <w:szCs w:val="20"/>
          <w:color w:val="auto"/>
        </w:rPr>
        <w:t>An Option or SAR will not be transferable except by will or by the laws of descent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96"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1"/>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Domestic Relations Orders. </w:t>
      </w:r>
      <w:r>
        <w:rPr>
          <w:rFonts w:ascii="Times New Roman" w:cs="Times New Roman" w:eastAsia="Times New Roman" w:hAnsi="Times New Roman"/>
          <w:sz w:val="20"/>
          <w:szCs w:val="20"/>
          <w:color w:val="auto"/>
        </w:rPr>
        <w:t>Subject to the approval of the Board or a duly authorized Officer, an Option or SAR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be transferred pursuant to the terms of a domestic relations order, official marital settlement agreement or other divorce or separation instrument.</w:t>
      </w:r>
    </w:p>
    <w:p>
      <w:pPr>
        <w:spacing w:after="0" w:line="193"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1"/>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Beneficiary Designation. </w:t>
      </w:r>
      <w:r>
        <w:rPr>
          <w:rFonts w:ascii="Times New Roman" w:cs="Times New Roman" w:eastAsia="Times New Roman" w:hAnsi="Times New Roman"/>
          <w:sz w:val="20"/>
          <w:szCs w:val="20"/>
          <w:color w:val="auto"/>
        </w:rPr>
        <w:t>Subject to the approval of the Board or a duly authorized Officer, a Participant may,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delivering 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Vesting Generally. </w:t>
      </w:r>
      <w:r>
        <w:rPr>
          <w:rFonts w:ascii="Times New Roman" w:cs="Times New Roman" w:eastAsia="Times New Roman" w:hAnsi="Times New Roman"/>
          <w:sz w:val="20"/>
          <w:szCs w:val="20"/>
          <w:color w:val="auto"/>
        </w:rPr>
        <w:t>The total number of shares of Common Stock subject to an Option or SAR may vest and become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Section(f) are subject to any Option or SAR provisions governing the minimum number of shares of Common Stock as to which an Option or SAR may be exercised.</w:t>
      </w:r>
    </w:p>
    <w:p>
      <w:pPr>
        <w:spacing w:after="0" w:line="197" w:lineRule="exact"/>
        <w:rPr>
          <w:rFonts w:ascii="Times New Roman" w:cs="Times New Roman" w:eastAsia="Times New Roman" w:hAnsi="Times New Roman"/>
          <w:sz w:val="22"/>
          <w:szCs w:val="22"/>
          <w:b w:val="1"/>
          <w:bCs w:val="1"/>
          <w:color w:val="auto"/>
        </w:rPr>
      </w:pPr>
    </w:p>
    <w:p>
      <w:pPr>
        <w:jc w:val="both"/>
        <w:ind w:firstLine="757"/>
        <w:spacing w:after="0"/>
        <w:tabs>
          <w:tab w:leader="none" w:pos="101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Termination of Continuous Service. </w:t>
      </w:r>
      <w:r>
        <w:rPr>
          <w:rFonts w:ascii="Times New Roman" w:cs="Times New Roman" w:eastAsia="Times New Roman" w:hAnsi="Times New Roman"/>
          <w:sz w:val="20"/>
          <w:szCs w:val="20"/>
          <w:color w:val="auto"/>
        </w:rPr>
        <w:t>Except as otherwise provided in the applicable Award Agreement or other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that is 90 days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19"/>
          <w:szCs w:val="19"/>
          <w:b w:val="1"/>
          <w:bCs w:val="1"/>
          <w:color w:val="auto"/>
        </w:rPr>
        <w:t>Extension of Termination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If the exercise of an Option or SAR following the termination of the Participant’s Continuous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and (ii) the expiration of the term of the Option or SAR as set forth in the</w:t>
      </w:r>
    </w:p>
    <w:p>
      <w:pPr>
        <w:spacing w:after="0" w:line="19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06" w:name="page107"/>
    <w:bookmarkEnd w:id="106"/>
    <w:p>
      <w:pPr>
        <w:jc w:val="both"/>
        <w:spacing w:after="0" w:line="245" w:lineRule="auto"/>
        <w:rPr>
          <w:sz w:val="20"/>
          <w:szCs w:val="20"/>
          <w:color w:val="auto"/>
        </w:rPr>
      </w:pPr>
      <w:r>
        <w:rPr>
          <w:rFonts w:ascii="Times New Roman" w:cs="Times New Roman" w:eastAsia="Times New Roman" w:hAnsi="Times New Roman"/>
          <w:sz w:val="20"/>
          <w:szCs w:val="20"/>
          <w:color w:val="auto"/>
        </w:rPr>
        <w:t>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94" w:lineRule="exact"/>
        <w:rPr>
          <w:sz w:val="20"/>
          <w:szCs w:val="20"/>
          <w:color w:val="auto"/>
        </w:rPr>
      </w:pPr>
    </w:p>
    <w:p>
      <w:pPr>
        <w:jc w:val="both"/>
        <w:ind w:firstLine="757"/>
        <w:spacing w:after="0" w:line="241" w:lineRule="auto"/>
        <w:tabs>
          <w:tab w:leader="none" w:pos="1018"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Disability of Participant. </w:t>
      </w:r>
      <w:r>
        <w:rPr>
          <w:rFonts w:ascii="Times New Roman" w:cs="Times New Roman" w:eastAsia="Times New Roman" w:hAnsi="Times New Roman"/>
          <w:sz w:val="20"/>
          <w:szCs w:val="20"/>
          <w:color w:val="auto"/>
        </w:rPr>
        <w:t>Except as otherwise provided in the applicable Award Agreement or other agreement between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tabs>
          <w:tab w:leader="none" w:pos="1018"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Death of Participant. </w:t>
      </w:r>
      <w:r>
        <w:rPr>
          <w:rFonts w:ascii="Times New Roman" w:cs="Times New Roman" w:eastAsia="Times New Roman" w:hAnsi="Times New Roman"/>
          <w:sz w:val="20"/>
          <w:szCs w:val="20"/>
          <w:color w:val="auto"/>
        </w:rPr>
        <w:t>Except as otherwise provided in the applicable Award Agreement or other agreement between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184"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19"/>
          <w:szCs w:val="19"/>
          <w:b w:val="1"/>
          <w:bCs w:val="1"/>
          <w:color w:val="auto"/>
        </w:rPr>
        <w:t>Termination for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Except as explicitly provided otherwise in a Participant’s Award Agreement or other individual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agreement between the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191" w:lineRule="exact"/>
        <w:rPr>
          <w:sz w:val="20"/>
          <w:szCs w:val="20"/>
          <w:color w:val="auto"/>
        </w:rPr>
      </w:pPr>
    </w:p>
    <w:p>
      <w:pPr>
        <w:jc w:val="both"/>
        <w:ind w:firstLine="757"/>
        <w:spacing w:after="0"/>
        <w:tabs>
          <w:tab w:leader="none" w:pos="101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Non-Exempt Employees. </w:t>
      </w:r>
      <w:r>
        <w:rPr>
          <w:rFonts w:ascii="Times New Roman" w:cs="Times New Roman" w:eastAsia="Times New Roman" w:hAnsi="Times New Roman"/>
          <w:sz w:val="20"/>
          <w:szCs w:val="20"/>
          <w:color w:val="auto"/>
        </w:rPr>
        <w:t>If an Option or SAR is granted to an Employee who is a non-exempt employee for purposes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Fair Labor 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Section 5(l) will apply to all Awards and are hereby incorporated by reference into such Award Agreements.</w:t>
      </w:r>
    </w:p>
    <w:p>
      <w:pPr>
        <w:spacing w:after="0" w:line="20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07" w:name="page108"/>
    <w:bookmarkEnd w:id="107"/>
    <w:p>
      <w:pPr>
        <w:ind w:left="520" w:hanging="512"/>
        <w:spacing w:after="0"/>
        <w:tabs>
          <w:tab w:leader="none" w:pos="52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rovisions of</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 than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20"/>
          <w:szCs w:val="20"/>
          <w:b w:val="1"/>
          <w:bCs w:val="1"/>
          <w:color w:val="auto"/>
        </w:rPr>
        <w:t xml:space="preserve"> SAR</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20"/>
          <w:szCs w:val="20"/>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1"/>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Restricted Stock Awards. </w:t>
      </w:r>
      <w:r>
        <w:rPr>
          <w:rFonts w:ascii="Times New Roman" w:cs="Times New Roman" w:eastAsia="Times New Roman" w:hAnsi="Times New Roman"/>
          <w:sz w:val="20"/>
          <w:szCs w:val="20"/>
          <w:color w:val="auto"/>
        </w:rPr>
        <w:t>Each Restricted Stock Award Agreement will be in such form and will contain such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as the 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96"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2"/>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Consideration. </w:t>
      </w:r>
      <w:r>
        <w:rPr>
          <w:rFonts w:ascii="Times New Roman" w:cs="Times New Roman" w:eastAsia="Times New Roman" w:hAnsi="Times New Roman"/>
          <w:sz w:val="20"/>
          <w:szCs w:val="20"/>
          <w:color w:val="auto"/>
        </w:rPr>
        <w:t>A Restricted Stock Award may be awarded in consideration for (A) cash, check, bank draft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money order payable to the Company, (B) past or future services to the Company or an Affiliate, or (C) any other form of legal consideration that may be acceptable to the Board, in its sole discretion, and permissible under applicable law.</w:t>
      </w:r>
    </w:p>
    <w:p>
      <w:pPr>
        <w:spacing w:after="0" w:line="193" w:lineRule="exact"/>
        <w:rPr>
          <w:rFonts w:ascii="Times New Roman" w:cs="Times New Roman" w:eastAsia="Times New Roman" w:hAnsi="Times New Roman"/>
          <w:sz w:val="22"/>
          <w:szCs w:val="22"/>
          <w:b w:val="1"/>
          <w:bCs w:val="1"/>
          <w:color w:val="auto"/>
        </w:rPr>
      </w:pPr>
    </w:p>
    <w:p>
      <w:pPr>
        <w:ind w:firstLine="1505"/>
        <w:spacing w:after="0" w:line="249" w:lineRule="auto"/>
        <w:tabs>
          <w:tab w:leader="none" w:pos="2036" w:val="left"/>
        </w:tabs>
        <w:numPr>
          <w:ilvl w:val="2"/>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Shares of Common Stock awarded under the Restricted Stock Award Agreement may be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forfeiture to the Company in accordance with a vesting schedule to be determined by the Board.</w:t>
      </w:r>
    </w:p>
    <w:p>
      <w:pPr>
        <w:spacing w:after="0" w:line="187"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2"/>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Termination of Participant’s Continuous Service. </w:t>
      </w:r>
      <w:r>
        <w:rPr>
          <w:rFonts w:ascii="Times New Roman" w:cs="Times New Roman" w:eastAsia="Times New Roman" w:hAnsi="Times New Roman"/>
          <w:sz w:val="20"/>
          <w:szCs w:val="20"/>
          <w:color w:val="auto"/>
        </w:rPr>
        <w:t>If a Participant’s Continuous Service terminates,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receive 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93" w:lineRule="exact"/>
        <w:rPr>
          <w:rFonts w:ascii="Times New Roman" w:cs="Times New Roman" w:eastAsia="Times New Roman" w:hAnsi="Times New Roman"/>
          <w:sz w:val="22"/>
          <w:szCs w:val="22"/>
          <w:b w:val="1"/>
          <w:bCs w:val="1"/>
          <w:color w:val="auto"/>
        </w:rPr>
      </w:pPr>
    </w:p>
    <w:p>
      <w:pPr>
        <w:jc w:val="both"/>
        <w:ind w:firstLine="1505"/>
        <w:spacing w:after="0" w:line="242" w:lineRule="auto"/>
        <w:tabs>
          <w:tab w:leader="none" w:pos="2036" w:val="left"/>
        </w:tabs>
        <w:numPr>
          <w:ilvl w:val="2"/>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Transferability. </w:t>
      </w:r>
      <w:r>
        <w:rPr>
          <w:rFonts w:ascii="Times New Roman" w:cs="Times New Roman" w:eastAsia="Times New Roman" w:hAnsi="Times New Roman"/>
          <w:sz w:val="20"/>
          <w:szCs w:val="20"/>
          <w:color w:val="auto"/>
        </w:rPr>
        <w:t>Rights to acquire shares of Common Stock under the Restricted Stock Award Agreement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96" w:lineRule="exact"/>
        <w:rPr>
          <w:rFonts w:ascii="Times New Roman" w:cs="Times New Roman" w:eastAsia="Times New Roman" w:hAnsi="Times New Roman"/>
          <w:sz w:val="22"/>
          <w:szCs w:val="22"/>
          <w:b w:val="1"/>
          <w:bCs w:val="1"/>
          <w:color w:val="auto"/>
        </w:rPr>
      </w:pPr>
    </w:p>
    <w:p>
      <w:pPr>
        <w:ind w:firstLine="1505"/>
        <w:spacing w:after="0" w:line="249" w:lineRule="auto"/>
        <w:tabs>
          <w:tab w:leader="none" w:pos="2036" w:val="left"/>
        </w:tabs>
        <w:numPr>
          <w:ilvl w:val="2"/>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Dividends. </w:t>
      </w:r>
      <w:r>
        <w:rPr>
          <w:rFonts w:ascii="Times New Roman" w:cs="Times New Roman" w:eastAsia="Times New Roman" w:hAnsi="Times New Roman"/>
          <w:sz w:val="20"/>
          <w:szCs w:val="20"/>
          <w:color w:val="auto"/>
        </w:rPr>
        <w:t>A Restricted Stock Award Agreement may provide that any dividends paid on Restricted Stock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same vesting and forfeiture restrictions as apply to the shares subject to the Restricted Stock Award to which they relate.</w:t>
      </w:r>
    </w:p>
    <w:p>
      <w:pPr>
        <w:spacing w:after="0" w:line="16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9"/>
          <w:szCs w:val="19"/>
          <w:b w:val="1"/>
          <w:bCs w:val="1"/>
          <w:color w:val="auto"/>
        </w:rPr>
        <w:t>Restricted Stock Unit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Each Restricted Stock Unit Award Agreement will be in such form and will contain such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and 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84" w:lineRule="exact"/>
        <w:rPr>
          <w:sz w:val="20"/>
          <w:szCs w:val="20"/>
          <w:color w:val="auto"/>
        </w:rPr>
      </w:pPr>
    </w:p>
    <w:p>
      <w:pPr>
        <w:jc w:val="both"/>
        <w:ind w:firstLine="1505"/>
        <w:spacing w:after="0" w:line="242" w:lineRule="auto"/>
        <w:tabs>
          <w:tab w:leader="none" w:pos="2036"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Consideration. </w:t>
      </w:r>
      <w:r>
        <w:rPr>
          <w:rFonts w:ascii="Times New Roman" w:cs="Times New Roman" w:eastAsia="Times New Roman" w:hAnsi="Times New Roman"/>
          <w:sz w:val="20"/>
          <w:szCs w:val="20"/>
          <w:color w:val="auto"/>
        </w:rPr>
        <w:t>At the time of grant of a Restricted Stock Unit Award, the Board will determine the consideration,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96" w:lineRule="exact"/>
        <w:rPr>
          <w:rFonts w:ascii="Times New Roman" w:cs="Times New Roman" w:eastAsia="Times New Roman" w:hAnsi="Times New Roman"/>
          <w:sz w:val="22"/>
          <w:szCs w:val="22"/>
          <w:b w:val="1"/>
          <w:bCs w:val="1"/>
          <w:color w:val="auto"/>
        </w:rPr>
      </w:pPr>
    </w:p>
    <w:p>
      <w:pPr>
        <w:ind w:right="20" w:firstLine="1505"/>
        <w:spacing w:after="0" w:line="249" w:lineRule="auto"/>
        <w:tabs>
          <w:tab w:leader="none" w:pos="2036"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At the time of the grant of a Restricted Stock Unit Award, the Board may impose such restrictions 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to the vesting of the Restricted Stock Unit Award as it, in its sole discretion, deems appropriate.</w:t>
      </w:r>
    </w:p>
    <w:p>
      <w:pPr>
        <w:spacing w:after="0" w:line="18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08" w:name="page109"/>
    <w:bookmarkEnd w:id="108"/>
    <w:p>
      <w:pPr>
        <w:jc w:val="both"/>
        <w:ind w:firstLine="1505"/>
        <w:spacing w:after="0" w:line="244" w:lineRule="auto"/>
        <w:tabs>
          <w:tab w:leader="none" w:pos="2036"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Payment. </w:t>
      </w:r>
      <w:r>
        <w:rPr>
          <w:rFonts w:ascii="Times New Roman" w:cs="Times New Roman" w:eastAsia="Times New Roman" w:hAnsi="Times New Roman"/>
          <w:sz w:val="20"/>
          <w:szCs w:val="20"/>
          <w:color w:val="auto"/>
        </w:rPr>
        <w:t>A Restricted Stock Unit Award may be settled by the delivery of shares of Common Stock, their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equivalent, any combination thereof or in any other form of consideration, as determined by the Board and contained in the Restricted Stock Unit Award Agreement.</w:t>
      </w:r>
    </w:p>
    <w:p>
      <w:pPr>
        <w:spacing w:after="0" w:line="19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Additional Restrictions. </w:t>
      </w:r>
      <w:r>
        <w:rPr>
          <w:rFonts w:ascii="Times New Roman" w:cs="Times New Roman" w:eastAsia="Times New Roman" w:hAnsi="Times New Roman"/>
          <w:sz w:val="20"/>
          <w:szCs w:val="20"/>
          <w:color w:val="auto"/>
        </w:rPr>
        <w:t>At the time of the grant of a Restricted Stock Unit Award, the Board, as it deems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appropriate, may impose such restrictions or conditions that delay the delivery of the shares of Common Stock (or their cash equivalent) subject to a Restricted Stock Unit Award to a time after the vesting of such Restricted Stock Unit Award.</w:t>
      </w:r>
    </w:p>
    <w:p>
      <w:pPr>
        <w:spacing w:after="0" w:line="193"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Dividend Equivalents</w:t>
      </w:r>
      <w:r>
        <w:rPr>
          <w:rFonts w:ascii="Times New Roman" w:cs="Times New Roman" w:eastAsia="Times New Roman" w:hAnsi="Times New Roman"/>
          <w:sz w:val="20"/>
          <w:szCs w:val="20"/>
          <w:color w:val="auto"/>
        </w:rPr>
        <w:t>. Dividend equivalents may be credited in respect of shares of Common Stock covered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97"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Termination of Participant’s Continuous Service. </w:t>
      </w:r>
      <w:r>
        <w:rPr>
          <w:rFonts w:ascii="Times New Roman" w:cs="Times New Roman" w:eastAsia="Times New Roman" w:hAnsi="Times New Roman"/>
          <w:sz w:val="20"/>
          <w:szCs w:val="20"/>
          <w:color w:val="auto"/>
        </w:rPr>
        <w:t>Except as otherwise provided in the applicable Restricted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Unit Award Agreement, such portion of the Restricted Stock Unit Award that has not vested will be forfeited upon the Participant’s termination of Continuous Service.</w:t>
      </w:r>
    </w:p>
    <w:p>
      <w:pPr>
        <w:spacing w:after="0" w:line="193"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Performance Awards</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Performance Stock Awards</w:t>
      </w:r>
      <w:r>
        <w:rPr>
          <w:rFonts w:ascii="Times New Roman" w:cs="Times New Roman" w:eastAsia="Times New Roman" w:hAnsi="Times New Roman"/>
          <w:sz w:val="20"/>
          <w:szCs w:val="20"/>
          <w:color w:val="auto"/>
        </w:rPr>
        <w:t>. A Performance Stock Award is an Award that is payable (including that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Committee, as the case may be) may determine that cash may be used in payment of Performance Stock Awards.</w:t>
      </w:r>
    </w:p>
    <w:p>
      <w:pPr>
        <w:spacing w:after="0" w:line="196" w:lineRule="exact"/>
        <w:rPr>
          <w:rFonts w:ascii="Times New Roman" w:cs="Times New Roman" w:eastAsia="Times New Roman" w:hAnsi="Times New Roman"/>
          <w:sz w:val="22"/>
          <w:szCs w:val="22"/>
          <w:b w:val="1"/>
          <w:bCs w:val="1"/>
          <w:color w:val="auto"/>
        </w:rPr>
      </w:pPr>
    </w:p>
    <w:p>
      <w:pPr>
        <w:jc w:val="both"/>
        <w:ind w:firstLine="1505"/>
        <w:spacing w:after="0" w:line="242" w:lineRule="auto"/>
        <w:tabs>
          <w:tab w:leader="none" w:pos="2036"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Discretion</w:t>
      </w:r>
      <w:r>
        <w:rPr>
          <w:rFonts w:ascii="Times New Roman" w:cs="Times New Roman" w:eastAsia="Times New Roman" w:hAnsi="Times New Roman"/>
          <w:sz w:val="20"/>
          <w:szCs w:val="20"/>
          <w:color w:val="auto"/>
        </w:rPr>
        <w:t>. A majority of the Company’s Independent Directors or the Independent Compensation Committee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retains the discretion to adjust or eliminate the compensation or 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Award Agreement.</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9"/>
          <w:szCs w:val="19"/>
          <w:b w:val="1"/>
          <w:bCs w:val="1"/>
          <w:color w:val="auto"/>
        </w:rPr>
        <w:t>Other Stock Awards</w:t>
      </w:r>
      <w:r>
        <w:rPr>
          <w:rFonts w:ascii="Times New Roman" w:cs="Times New Roman" w:eastAsia="Times New Roman" w:hAnsi="Times New Roman"/>
          <w:sz w:val="19"/>
          <w:szCs w:val="19"/>
          <w:color w:val="auto"/>
        </w:rPr>
        <w:t>. Other forms of Stock Awards valued in whole or in part by reference to, or otherwise based on,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Stock, including the appreciation in value thereof (e.g., options or stock rights with an exercise price or strike price less than 100% of the Fair Market Value of the Common Stock at the time of grant) may be granted either alone or in addition to Awards provided for under Section 5 and the preceding provisions of this Section 6. Subject to the provisions of the Plan, a majority of the Company’s Independent Directors or the Independent Compensation Committee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89"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ovenants of 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firstLine="757"/>
        <w:spacing w:after="0" w:line="249" w:lineRule="auto"/>
        <w:tabs>
          <w:tab w:leader="none" w:pos="1018" w:val="left"/>
        </w:tabs>
        <w:numPr>
          <w:ilvl w:val="1"/>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Availability of Shares. </w:t>
      </w:r>
      <w:r>
        <w:rPr>
          <w:rFonts w:ascii="Times New Roman" w:cs="Times New Roman" w:eastAsia="Times New Roman" w:hAnsi="Times New Roman"/>
          <w:sz w:val="20"/>
          <w:szCs w:val="20"/>
          <w:color w:val="auto"/>
        </w:rPr>
        <w:t>The Company will keep available at all times the number of shares of Common Stock reasonably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satisfy then-outstanding Awards.</w:t>
      </w:r>
    </w:p>
    <w:p>
      <w:pPr>
        <w:spacing w:after="0" w:line="18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09" w:name="page110"/>
    <w:bookmarkEnd w:id="109"/>
    <w:p>
      <w:pPr>
        <w:jc w:val="both"/>
        <w:ind w:firstLine="749"/>
        <w:spacing w:after="0" w:line="250"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9"/>
          <w:szCs w:val="19"/>
          <w:b w:val="1"/>
          <w:bCs w:val="1"/>
          <w:color w:val="auto"/>
        </w:rPr>
        <w:t>Securities Law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Company will seek to obtain from each regulatory commission or agency, as necessary,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authority as may be required to grant Awards and to issue and sell shares of Common Stock upon exercise or vesting of the Awards;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this undertaking will not require the Company to register under the Securities Act, or other securities or applicable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laws,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will not be eligible for the grant of an Award or the subsequent issuance of cash or Common Stock pursuant to the Award if such grant or issuance would be in violation of any applicable law.</w:t>
      </w:r>
    </w:p>
    <w:p>
      <w:pPr>
        <w:spacing w:after="0" w:line="193" w:lineRule="exact"/>
        <w:rPr>
          <w:sz w:val="20"/>
          <w:szCs w:val="20"/>
          <w:color w:val="auto"/>
        </w:rPr>
      </w:pPr>
    </w:p>
    <w:p>
      <w:pPr>
        <w:jc w:val="both"/>
        <w:ind w:firstLine="757"/>
        <w:spacing w:after="0" w:line="242" w:lineRule="auto"/>
        <w:tabs>
          <w:tab w:leader="none" w:pos="1018" w:val="left"/>
        </w:tabs>
        <w:numPr>
          <w:ilvl w:val="1"/>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No Obligation to Notify or Minimize Taxes. </w:t>
      </w:r>
      <w:r>
        <w:rPr>
          <w:rFonts w:ascii="Times New Roman" w:cs="Times New Roman" w:eastAsia="Times New Roman" w:hAnsi="Times New Roman"/>
          <w:sz w:val="20"/>
          <w:szCs w:val="20"/>
          <w:color w:val="auto"/>
        </w:rPr>
        <w:t>The Company will have no duty or obligation to any Participant to advise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holder as to the tax treatment or time or manner of exercising such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9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20"/>
          <w:szCs w:val="20"/>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firstLine="757"/>
        <w:spacing w:after="0" w:line="249" w:lineRule="auto"/>
        <w:tabs>
          <w:tab w:leader="none" w:pos="1018"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Use of Proceeds from Sales of Common Stock. </w:t>
      </w:r>
      <w:r>
        <w:rPr>
          <w:rFonts w:ascii="Times New Roman" w:cs="Times New Roman" w:eastAsia="Times New Roman" w:hAnsi="Times New Roman"/>
          <w:sz w:val="20"/>
          <w:szCs w:val="20"/>
          <w:color w:val="auto"/>
        </w:rPr>
        <w:t>Proceeds from the sale of shares of Common Stock pursuant to Awards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general funds of the Company.</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9"/>
          <w:szCs w:val="19"/>
          <w:b w:val="1"/>
          <w:bCs w:val="1"/>
          <w:color w:val="auto"/>
        </w:rPr>
        <w:t>Corporate Action Constituting Grant of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Corporate action constituting a grant by the Company of an Award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89" w:lineRule="exact"/>
        <w:rPr>
          <w:sz w:val="20"/>
          <w:szCs w:val="20"/>
          <w:color w:val="auto"/>
        </w:rPr>
      </w:pPr>
    </w:p>
    <w:p>
      <w:pPr>
        <w:jc w:val="both"/>
        <w:ind w:firstLine="757"/>
        <w:spacing w:after="0" w:line="242" w:lineRule="auto"/>
        <w:tabs>
          <w:tab w:leader="none" w:pos="1018"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Stockholder Rights. </w:t>
      </w:r>
      <w:r>
        <w:rPr>
          <w:rFonts w:ascii="Times New Roman" w:cs="Times New Roman" w:eastAsia="Times New Roman" w:hAnsi="Times New Roman"/>
          <w:sz w:val="20"/>
          <w:szCs w:val="20"/>
          <w:color w:val="auto"/>
        </w:rPr>
        <w:t>No Participant will be deemed to be the holder of, or to have any of the rights of a holder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9"/>
          <w:szCs w:val="19"/>
          <w:b w:val="1"/>
          <w:bCs w:val="1"/>
          <w:color w:val="auto"/>
        </w:rPr>
        <w:t>No Employment or Other Service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Nothing in the Plan, any Award Agreement or any other instrument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spacing w:after="0" w:line="186" w:lineRule="exact"/>
        <w:rPr>
          <w:sz w:val="20"/>
          <w:szCs w:val="20"/>
          <w:color w:val="auto"/>
        </w:rPr>
      </w:pPr>
    </w:p>
    <w:p>
      <w:pPr>
        <w:jc w:val="both"/>
        <w:ind w:firstLine="757"/>
        <w:spacing w:after="0" w:line="241" w:lineRule="auto"/>
        <w:tabs>
          <w:tab w:leader="none" w:pos="1018"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Change in Time Commitment. </w:t>
      </w:r>
      <w:r>
        <w:rPr>
          <w:rFonts w:ascii="Times New Roman" w:cs="Times New Roman" w:eastAsia="Times New Roman" w:hAnsi="Times New Roman"/>
          <w:sz w:val="20"/>
          <w:szCs w:val="20"/>
          <w:color w:val="auto"/>
        </w:rPr>
        <w:t>In the event a Participant’s regular level of time commitment in the performance of his or 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w:t>
      </w:r>
    </w:p>
    <w:p>
      <w:pPr>
        <w:spacing w:after="0" w:line="19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10" w:name="page111"/>
    <w:bookmarkEnd w:id="110"/>
    <w:p>
      <w:pPr>
        <w:jc w:val="both"/>
        <w:spacing w:after="0" w:line="254" w:lineRule="auto"/>
        <w:rPr>
          <w:sz w:val="20"/>
          <w:szCs w:val="20"/>
          <w:color w:val="auto"/>
        </w:rPr>
      </w:pPr>
      <w:r>
        <w:rPr>
          <w:rFonts w:ascii="Times New Roman" w:cs="Times New Roman" w:eastAsia="Times New Roman" w:hAnsi="Times New Roman"/>
          <w:sz w:val="20"/>
          <w:szCs w:val="20"/>
          <w:color w:val="auto"/>
        </w:rPr>
        <w:t>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4" w:lineRule="exact"/>
        <w:rPr>
          <w:sz w:val="20"/>
          <w:szCs w:val="20"/>
          <w:color w:val="auto"/>
        </w:rPr>
      </w:pPr>
    </w:p>
    <w:p>
      <w:pPr>
        <w:jc w:val="both"/>
        <w:ind w:firstLine="757"/>
        <w:spacing w:after="0" w:line="252" w:lineRule="auto"/>
        <w:tabs>
          <w:tab w:leader="none" w:pos="1018" w:val="left"/>
        </w:tabs>
        <w:numPr>
          <w:ilvl w:val="1"/>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Investment Assurances. </w:t>
      </w:r>
      <w:r>
        <w:rPr>
          <w:rFonts w:ascii="Times New Roman" w:cs="Times New Roman" w:eastAsia="Times New Roman" w:hAnsi="Times New Roman"/>
          <w:sz w:val="19"/>
          <w:szCs w:val="19"/>
          <w:color w:val="auto"/>
        </w:rPr>
        <w:t>The Company may require a Participant, as a condition of exercising or acquiring Common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w:t>
      </w:r>
    </w:p>
    <w:p>
      <w:pPr>
        <w:spacing w:after="0" w:line="2" w:lineRule="exact"/>
        <w:rPr>
          <w:rFonts w:ascii="Times New Roman" w:cs="Times New Roman" w:eastAsia="Times New Roman" w:hAnsi="Times New Roman"/>
          <w:sz w:val="21"/>
          <w:szCs w:val="21"/>
          <w:b w:val="1"/>
          <w:bCs w:val="1"/>
          <w:color w:val="auto"/>
        </w:rPr>
      </w:pPr>
    </w:p>
    <w:p>
      <w:pPr>
        <w:jc w:val="both"/>
        <w:ind w:firstLine="8"/>
        <w:spacing w:after="0" w:line="257" w:lineRule="auto"/>
        <w:tabs>
          <w:tab w:leader="none" w:pos="32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81" w:lineRule="exact"/>
        <w:rPr>
          <w:rFonts w:ascii="Times New Roman" w:cs="Times New Roman" w:eastAsia="Times New Roman" w:hAnsi="Times New Roman"/>
          <w:sz w:val="19"/>
          <w:szCs w:val="19"/>
          <w:color w:val="auto"/>
        </w:rPr>
      </w:pPr>
    </w:p>
    <w:p>
      <w:pPr>
        <w:jc w:val="both"/>
        <w:ind w:firstLine="757"/>
        <w:spacing w:after="0"/>
        <w:tabs>
          <w:tab w:leader="none" w:pos="1018"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Withholding Obligations. </w:t>
      </w:r>
      <w:r>
        <w:rPr>
          <w:rFonts w:ascii="Times New Roman" w:cs="Times New Roman" w:eastAsia="Times New Roman" w:hAnsi="Times New Roman"/>
          <w:sz w:val="20"/>
          <w:szCs w:val="20"/>
          <w:color w:val="auto"/>
        </w:rPr>
        <w:t>Unless prohibited by the terms of an Award Agreement, the Company may, in its sole discretion,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 shares of Common Stock are withheld with a value exceeding the maximum amount of tax required to be withheld by law (or such lesser amount as may be necessary to avoid classification of the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85"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19"/>
          <w:szCs w:val="19"/>
          <w:b w:val="1"/>
          <w:bCs w:val="1"/>
          <w:color w:val="auto"/>
        </w:rPr>
        <w:t>Electronic Delivery.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Any reference herein to a “written” agreement or document will include any agreement or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delivered electronically, filed publicly at www.sec.gov (or any successor website thereto) or posted on the Company’s intranet (or other shared electronic medium controlled by the Company to which the Participant has access).</w:t>
      </w:r>
    </w:p>
    <w:p>
      <w:pPr>
        <w:spacing w:after="0" w:line="174" w:lineRule="exact"/>
        <w:rPr>
          <w:sz w:val="20"/>
          <w:szCs w:val="20"/>
          <w:color w:val="auto"/>
        </w:rPr>
      </w:pPr>
    </w:p>
    <w:p>
      <w:pPr>
        <w:jc w:val="both"/>
        <w:ind w:firstLine="757"/>
        <w:spacing w:after="0"/>
        <w:tabs>
          <w:tab w:leader="none" w:pos="1018"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Deferrals. </w:t>
      </w:r>
      <w:r>
        <w:rPr>
          <w:rFonts w:ascii="Times New Roman" w:cs="Times New Roman" w:eastAsia="Times New Roman" w:hAnsi="Times New Roman"/>
          <w:sz w:val="20"/>
          <w:szCs w:val="20"/>
          <w:color w:val="auto"/>
        </w:rPr>
        <w:t>To the extent permitted by applicable law, the Board, in its sole discretion, may determine that the delivery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202" w:lineRule="exact"/>
        <w:rPr>
          <w:rFonts w:ascii="Times New Roman" w:cs="Times New Roman" w:eastAsia="Times New Roman" w:hAnsi="Times New Roman"/>
          <w:sz w:val="22"/>
          <w:szCs w:val="22"/>
          <w:b w:val="1"/>
          <w:bCs w:val="1"/>
          <w:color w:val="auto"/>
        </w:rPr>
      </w:pPr>
    </w:p>
    <w:p>
      <w:pPr>
        <w:jc w:val="both"/>
        <w:ind w:firstLine="757"/>
        <w:spacing w:after="0"/>
        <w:tabs>
          <w:tab w:leader="none" w:pos="1018"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Compliance with Section 409A of the Code. </w:t>
      </w:r>
      <w:r>
        <w:rPr>
          <w:rFonts w:ascii="Times New Roman" w:cs="Times New Roman" w:eastAsia="Times New Roman" w:hAnsi="Times New Roman"/>
          <w:sz w:val="20"/>
          <w:szCs w:val="20"/>
          <w:color w:val="auto"/>
        </w:rPr>
        <w:t>Unless otherwise expressly provided for in an Award Agreement, the Plan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w:t>
      </w:r>
    </w:p>
    <w:p>
      <w:pPr>
        <w:spacing w:after="0" w:line="20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11" w:name="page112"/>
    <w:bookmarkEnd w:id="111"/>
    <w:p>
      <w:pPr>
        <w:jc w:val="both"/>
        <w:spacing w:after="0" w:line="244" w:lineRule="auto"/>
        <w:rPr>
          <w:sz w:val="20"/>
          <w:szCs w:val="20"/>
          <w:color w:val="auto"/>
        </w:rPr>
      </w:pPr>
      <w:r>
        <w:rPr>
          <w:rFonts w:ascii="Times New Roman" w:cs="Times New Roman" w:eastAsia="Times New Roman" w:hAnsi="Times New Roman"/>
          <w:sz w:val="20"/>
          <w:szCs w:val="20"/>
          <w:color w:val="auto"/>
        </w:rPr>
        <w:t>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7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19"/>
          <w:szCs w:val="19"/>
          <w:b w:val="1"/>
          <w:bCs w:val="1"/>
          <w:color w:val="auto"/>
        </w:rPr>
        <w:t>Clawback/Recovery.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All Awards granted under the Plan will be subject to recoupment in accordance with any clawback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200" w:lineRule="exact"/>
        <w:rPr>
          <w:sz w:val="20"/>
          <w:szCs w:val="20"/>
          <w:color w:val="auto"/>
        </w:rPr>
      </w:pPr>
    </w:p>
    <w:p>
      <w:pPr>
        <w:spacing w:after="0" w:line="222"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djustments upon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hanges in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vents</w:t>
      </w:r>
      <w:r>
        <w:rPr>
          <w:rFonts w:ascii="Times New Roman" w:cs="Times New Roman" w:eastAsia="Times New Roman" w:hAnsi="Times New Roman"/>
          <w:sz w:val="20"/>
          <w:szCs w:val="20"/>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Capitalization Adjustments.  </w:t>
      </w:r>
      <w:r>
        <w:rPr>
          <w:rFonts w:ascii="Times New Roman" w:cs="Times New Roman" w:eastAsia="Times New Roman" w:hAnsi="Times New Roman"/>
          <w:sz w:val="20"/>
          <w:szCs w:val="20"/>
          <w:color w:val="auto"/>
        </w:rPr>
        <w:t>In the event of a Capitalization Adjustment, the Board will appropriately and proportionately</w:t>
      </w:r>
    </w:p>
    <w:p>
      <w:pPr>
        <w:spacing w:after="0" w:line="2" w:lineRule="exact"/>
        <w:rPr>
          <w:rFonts w:ascii="Times New Roman" w:cs="Times New Roman" w:eastAsia="Times New Roman" w:hAnsi="Times New Roman"/>
          <w:sz w:val="22"/>
          <w:szCs w:val="22"/>
          <w:b w:val="1"/>
          <w:bCs w:val="1"/>
          <w:color w:val="auto"/>
        </w:rPr>
      </w:pPr>
    </w:p>
    <w:p>
      <w:pPr>
        <w:jc w:val="both"/>
        <w:spacing w:after="0" w:line="24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adjust: (i) the class(es) and maximum number of securities subject to the Plan pursuant to Section 3(a); and (ii) the class(es) and number of securities and price per share of stock subject to outstanding Awards. The Board will make such adjustments, and its determination will be final, binding and conclusive.</w:t>
      </w:r>
    </w:p>
    <w:p>
      <w:pPr>
        <w:spacing w:after="0" w:line="17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9"/>
          <w:szCs w:val="19"/>
          <w:b w:val="1"/>
          <w:bCs w:val="1"/>
          <w:color w:val="auto"/>
        </w:rPr>
        <w:t>Dissolution.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Except as otherwise provided in the Award Agreement, in the event of a Dissolution of the Company,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outstanding Awards (other than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Award is providing Continuous Service;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Board may, in its sole discretion, cause some or all Awards to become fully vested, exercisable and/or no longer subject to repurchase or forfeiture (to the extent such Awards have not previously expired or terminated) before the Dissolution is completed but contingent on its completion.</w:t>
      </w:r>
    </w:p>
    <w:p>
      <w:pPr>
        <w:spacing w:after="0" w:line="186" w:lineRule="exact"/>
        <w:rPr>
          <w:sz w:val="20"/>
          <w:szCs w:val="20"/>
          <w:color w:val="auto"/>
        </w:rPr>
      </w:pPr>
    </w:p>
    <w:p>
      <w:pPr>
        <w:jc w:val="both"/>
        <w:ind w:firstLine="757"/>
        <w:spacing w:after="0" w:line="241" w:lineRule="auto"/>
        <w:tabs>
          <w:tab w:leader="none" w:pos="1018"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Transaction. </w:t>
      </w:r>
      <w:r>
        <w:rPr>
          <w:rFonts w:ascii="Times New Roman" w:cs="Times New Roman" w:eastAsia="Times New Roman" w:hAnsi="Times New Roman"/>
          <w:sz w:val="20"/>
          <w:szCs w:val="20"/>
          <w:color w:val="auto"/>
        </w:rPr>
        <w:t>The following provisions shall apply to Awards in the event of a Transaction unless otherwise provided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instrument evidencing the Award or any other written agreement between the Company or any Affiliate and the Participant or unless otherwise expressly provided by the Board at the time of grant of an Award. In the event of a Transaction, then, notwithstanding any other provision of the Plan, the Board shall take one or more of the following actions with respect to Awards, contingent upon the closing or completion of the Transaction:</w:t>
      </w:r>
    </w:p>
    <w:p>
      <w:pPr>
        <w:spacing w:after="0" w:line="203" w:lineRule="exact"/>
        <w:rPr>
          <w:rFonts w:ascii="Times New Roman" w:cs="Times New Roman" w:eastAsia="Times New Roman" w:hAnsi="Times New Roman"/>
          <w:sz w:val="22"/>
          <w:szCs w:val="22"/>
          <w:b w:val="1"/>
          <w:bCs w:val="1"/>
          <w:color w:val="auto"/>
        </w:rPr>
      </w:pPr>
    </w:p>
    <w:p>
      <w:pPr>
        <w:jc w:val="both"/>
        <w:ind w:firstLine="1505"/>
        <w:spacing w:after="0" w:line="242" w:lineRule="auto"/>
        <w:tabs>
          <w:tab w:leader="none" w:pos="2036" w:val="left"/>
        </w:tabs>
        <w:numPr>
          <w:ilvl w:val="1"/>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arrange for the surviving corporation or acquiring corporation (or the surviving or acquiring corporation’s parent company) to assume or continue the Award or to substitute a similar stock award for the Award (including, but not limited to, an award to acquire the same consideration paid to the stockholders of the Company pursuant to the Transaction);</w:t>
      </w:r>
    </w:p>
    <w:p>
      <w:pPr>
        <w:spacing w:after="0" w:line="199" w:lineRule="exact"/>
        <w:rPr>
          <w:rFonts w:ascii="Times New Roman" w:cs="Times New Roman" w:eastAsia="Times New Roman" w:hAnsi="Times New Roman"/>
          <w:sz w:val="22"/>
          <w:szCs w:val="22"/>
          <w:b w:val="1"/>
          <w:bCs w:val="1"/>
          <w:color w:val="auto"/>
        </w:rPr>
      </w:pPr>
    </w:p>
    <w:p>
      <w:pPr>
        <w:jc w:val="both"/>
        <w:ind w:firstLine="1505"/>
        <w:spacing w:after="0" w:line="242" w:lineRule="auto"/>
        <w:tabs>
          <w:tab w:leader="none" w:pos="2036" w:val="left"/>
        </w:tabs>
        <w:numPr>
          <w:ilvl w:val="1"/>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arrange for the assignment of any reacquisition or repurchase rights held by the Company in respect of Common Stock issued pursuant to the Award to the surviving corporation or acquiring corporation (or the surviving or acquiring corporation’s parent company);</w:t>
      </w:r>
    </w:p>
    <w:p>
      <w:pPr>
        <w:spacing w:after="0" w:line="199" w:lineRule="exact"/>
        <w:rPr>
          <w:rFonts w:ascii="Times New Roman" w:cs="Times New Roman" w:eastAsia="Times New Roman" w:hAnsi="Times New Roman"/>
          <w:sz w:val="22"/>
          <w:szCs w:val="22"/>
          <w:b w:val="1"/>
          <w:bCs w:val="1"/>
          <w:color w:val="auto"/>
        </w:rPr>
      </w:pPr>
    </w:p>
    <w:p>
      <w:pPr>
        <w:ind w:firstLine="1505"/>
        <w:spacing w:after="0" w:line="245" w:lineRule="auto"/>
        <w:tabs>
          <w:tab w:leader="none" w:pos="2036" w:val="left"/>
        </w:tabs>
        <w:numPr>
          <w:ilvl w:val="1"/>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accelerate the vesting, in whole or in part, of the Award (and, if applicable, the time at which the Award may be exercised) to a date prior to the effective time of such Transaction as the Board shall determine</w:t>
      </w:r>
    </w:p>
    <w:p>
      <w:pPr>
        <w:spacing w:after="0" w:line="19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12" w:name="page113"/>
    <w:bookmarkEnd w:id="112"/>
    <w:p>
      <w:pPr>
        <w:spacing w:after="0" w:line="269" w:lineRule="auto"/>
        <w:rPr>
          <w:sz w:val="20"/>
          <w:szCs w:val="20"/>
          <w:color w:val="auto"/>
        </w:rPr>
      </w:pPr>
      <w:r>
        <w:rPr>
          <w:rFonts w:ascii="Times New Roman" w:cs="Times New Roman" w:eastAsia="Times New Roman" w:hAnsi="Times New Roman"/>
          <w:sz w:val="20"/>
          <w:szCs w:val="20"/>
          <w:color w:val="auto"/>
        </w:rPr>
        <w:t>(or, if the Board shall not determine such a date, to the date that is five days prior to the effective date of the Transaction), with such Award terminating if not exercised (if applicable) at or prior to the effective time of the Transaction;</w:t>
      </w:r>
    </w:p>
    <w:p>
      <w:pPr>
        <w:spacing w:after="0" w:line="171" w:lineRule="exact"/>
        <w:rPr>
          <w:sz w:val="20"/>
          <w:szCs w:val="20"/>
          <w:color w:val="auto"/>
        </w:rPr>
      </w:pPr>
    </w:p>
    <w:p>
      <w:pPr>
        <w:ind w:left="2040" w:hanging="535"/>
        <w:spacing w:after="0"/>
        <w:tabs>
          <w:tab w:leader="none" w:pos="2040" w:val="left"/>
        </w:tabs>
        <w:numPr>
          <w:ilvl w:val="1"/>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arrange for the lapse, in whole or in part, of any reacquisition or repurchase rights held by the Company with</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respect to the Award;</w:t>
      </w:r>
    </w:p>
    <w:p>
      <w:pPr>
        <w:spacing w:after="0" w:line="207" w:lineRule="exact"/>
        <w:rPr>
          <w:rFonts w:ascii="Times New Roman" w:cs="Times New Roman" w:eastAsia="Times New Roman" w:hAnsi="Times New Roman"/>
          <w:sz w:val="22"/>
          <w:szCs w:val="22"/>
          <w:b w:val="1"/>
          <w:bCs w:val="1"/>
          <w:color w:val="auto"/>
        </w:rPr>
      </w:pPr>
    </w:p>
    <w:p>
      <w:pPr>
        <w:ind w:right="20" w:firstLine="1505"/>
        <w:spacing w:after="0" w:line="245" w:lineRule="auto"/>
        <w:tabs>
          <w:tab w:leader="none" w:pos="2036" w:val="left"/>
        </w:tabs>
        <w:numPr>
          <w:ilvl w:val="1"/>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cancel or arrange for the cancellation of the Award, to the extent not vested or not exercised prior to the effective time of the Transaction, in exchange for such cash consideration, if any, as the Board, in its sole discretion, may consider appropriate; and</w:t>
      </w:r>
    </w:p>
    <w:p>
      <w:pPr>
        <w:spacing w:after="0" w:line="195" w:lineRule="exact"/>
        <w:rPr>
          <w:rFonts w:ascii="Times New Roman" w:cs="Times New Roman" w:eastAsia="Times New Roman" w:hAnsi="Times New Roman"/>
          <w:sz w:val="22"/>
          <w:szCs w:val="22"/>
          <w:b w:val="1"/>
          <w:bCs w:val="1"/>
          <w:color w:val="auto"/>
        </w:rPr>
      </w:pPr>
    </w:p>
    <w:p>
      <w:pPr>
        <w:jc w:val="both"/>
        <w:ind w:firstLine="1505"/>
        <w:spacing w:after="0" w:line="250" w:lineRule="auto"/>
        <w:tabs>
          <w:tab w:leader="none" w:pos="2036" w:val="left"/>
        </w:tabs>
        <w:numPr>
          <w:ilvl w:val="1"/>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make a payment, in such form as may be determined by the Board equal to the excess, if any, of (A) the value of the property the Participant would have received upon the exercise of the Award immediately prior to the effective time of the Transaction, over</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41" w:lineRule="auto"/>
        <w:tabs>
          <w:tab w:leader="none" w:pos="31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Common Stock in connection with the Transaction is delayed as a result of escrows, earn outs, holdbacks or other contingencies.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The Board need not take the same action or actions with respect to all Awards or portions thereof or with respect to all Participants.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may take different actions with respect to the vested and unvested portions of an Award.</w:t>
      </w:r>
    </w:p>
    <w:p>
      <w:pPr>
        <w:spacing w:after="0" w:line="18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9"/>
          <w:szCs w:val="19"/>
          <w:b w:val="1"/>
          <w:bCs w:val="1"/>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 Award may be subject to additional acceleration of vesting and exercisability upon or after a 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Control as may be provided in the Award Agreement for such Award or as may be provided in any other written agreement between the Company or any Affiliate and the Participant.</w:t>
      </w:r>
    </w:p>
    <w:p>
      <w:pPr>
        <w:spacing w:after="0" w:line="191"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ermination or</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uspension of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Board may suspend or terminate the Plan at any time. No Awards may be granted under the Plan while the Plan is suspended or after it is terminated.</w:t>
      </w:r>
    </w:p>
    <w:p>
      <w:pPr>
        <w:spacing w:after="0" w:line="169"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 of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Plan will come into existence on the Effective Date.</w:t>
      </w:r>
    </w:p>
    <w:p>
      <w:pPr>
        <w:spacing w:after="0" w:line="225"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hoice of</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law of the State of Delaware will govern all questions concerning the construction, validity and interpretation of this Plan, without regard to that state’s conflict of laws rules.</w:t>
      </w:r>
    </w:p>
    <w:p>
      <w:pPr>
        <w:spacing w:after="0" w:line="169" w:lineRule="exact"/>
        <w:rPr>
          <w:sz w:val="20"/>
          <w:szCs w:val="20"/>
          <w:color w:val="auto"/>
        </w:rPr>
      </w:pPr>
    </w:p>
    <w:p>
      <w:pPr>
        <w:ind w:left="520" w:hanging="512"/>
        <w:spacing w:after="0"/>
        <w:tabs>
          <w:tab w:leader="none" w:pos="52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used in the Plan, the following definitions will apply to the capitalized terms indicated below:</w:t>
      </w:r>
    </w:p>
    <w:p>
      <w:pPr>
        <w:spacing w:after="0" w:line="20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at the time of determination, any “parent” or “subsidiary” of the Company as such terms are defined in Rule</w:t>
      </w:r>
    </w:p>
    <w:p>
      <w:pPr>
        <w:spacing w:after="0" w:line="2" w:lineRule="exact"/>
        <w:rPr>
          <w:rFonts w:ascii="Times New Roman" w:cs="Times New Roman" w:eastAsia="Times New Roman" w:hAnsi="Times New Roman"/>
          <w:sz w:val="22"/>
          <w:szCs w:val="22"/>
          <w:b w:val="1"/>
          <w:bCs w:val="1"/>
          <w:color w:val="auto"/>
        </w:rPr>
      </w:pPr>
    </w:p>
    <w:p>
      <w:pPr>
        <w:ind w:right="20" w:firstLine="8"/>
        <w:spacing w:after="0" w:line="246" w:lineRule="auto"/>
        <w:tabs>
          <w:tab w:leader="none" w:pos="37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Securities Act. The Board will have the authority to determine the time or times at which “parent” or “subsidiary” status is determined within the foregoing definition.</w:t>
      </w:r>
    </w:p>
    <w:p>
      <w:pPr>
        <w:spacing w:after="0" w:line="173"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Award</w:t>
      </w:r>
      <w:r>
        <w:rPr>
          <w:rFonts w:ascii="Times New Roman" w:cs="Times New Roman" w:eastAsia="Times New Roman" w:hAnsi="Times New Roman"/>
          <w:sz w:val="19"/>
          <w:szCs w:val="19"/>
          <w:color w:val="auto"/>
        </w:rPr>
        <w:t>” means an Option, a Stock Appreciation Right, a Restricted Stock Award, a Restricted Stock Unit Award, a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Stock Award or an Other Stock Award.</w:t>
      </w:r>
    </w:p>
    <w:p>
      <w:pPr>
        <w:spacing w:after="0" w:line="194" w:lineRule="exact"/>
        <w:rPr>
          <w:sz w:val="20"/>
          <w:szCs w:val="20"/>
          <w:color w:val="auto"/>
        </w:rPr>
      </w:pPr>
    </w:p>
    <w:p>
      <w:pPr>
        <w:ind w:left="1020" w:hanging="263"/>
        <w:spacing w:after="0"/>
        <w:tabs>
          <w:tab w:leader="none" w:pos="1020"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Award Agreement</w:t>
      </w:r>
      <w:r>
        <w:rPr>
          <w:rFonts w:ascii="Times New Roman" w:cs="Times New Roman" w:eastAsia="Times New Roman" w:hAnsi="Times New Roman"/>
          <w:sz w:val="19"/>
          <w:szCs w:val="19"/>
          <w:color w:val="auto"/>
        </w:rPr>
        <w:t>” means a written agreement between the Company and a Participant evidencing the terms and conditions of</w:t>
      </w:r>
    </w:p>
    <w:p>
      <w:pPr>
        <w:spacing w:after="0" w:line="14"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an Award.</w:t>
      </w:r>
    </w:p>
    <w:p>
      <w:pPr>
        <w:spacing w:after="0" w:line="20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13" w:name="page114"/>
    <w:bookmarkEnd w:id="113"/>
    <w:p>
      <w:pPr>
        <w:ind w:left="320"/>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w:t>
      </w:r>
    </w:p>
    <w:p>
      <w:pPr>
        <w:spacing w:after="0" w:line="224" w:lineRule="exact"/>
        <w:rPr>
          <w:sz w:val="20"/>
          <w:szCs w:val="20"/>
          <w:color w:val="auto"/>
        </w:rPr>
      </w:pPr>
    </w:p>
    <w:p>
      <w:pPr>
        <w:jc w:val="both"/>
        <w:ind w:left="-440" w:firstLine="757"/>
        <w:spacing w:after="0" w:line="241" w:lineRule="auto"/>
        <w:tabs>
          <w:tab w:leader="none" w:pos="578"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Capitalization Adjustment</w:t>
      </w:r>
      <w:r>
        <w:rPr>
          <w:rFonts w:ascii="Times New Roman" w:cs="Times New Roman" w:eastAsia="Times New Roman" w:hAnsi="Times New Roman"/>
          <w:sz w:val="20"/>
          <w:szCs w:val="20"/>
          <w:color w:val="auto"/>
        </w:rPr>
        <w:t>”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96" w:lineRule="exact"/>
        <w:rPr>
          <w:rFonts w:ascii="Times New Roman" w:cs="Times New Roman" w:eastAsia="Times New Roman" w:hAnsi="Times New Roman"/>
          <w:sz w:val="22"/>
          <w:szCs w:val="22"/>
          <w:b w:val="1"/>
          <w:bCs w:val="1"/>
          <w:color w:val="auto"/>
        </w:rPr>
      </w:pPr>
    </w:p>
    <w:p>
      <w:pPr>
        <w:jc w:val="both"/>
        <w:ind w:left="-440" w:firstLine="757"/>
        <w:spacing w:after="0" w:line="254" w:lineRule="auto"/>
        <w:tabs>
          <w:tab w:leader="none" w:pos="578"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shall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87" w:lineRule="exact"/>
        <w:rPr>
          <w:rFonts w:ascii="Times New Roman" w:cs="Times New Roman" w:eastAsia="Times New Roman" w:hAnsi="Times New Roman"/>
          <w:sz w:val="21"/>
          <w:szCs w:val="21"/>
          <w:b w:val="1"/>
          <w:bCs w:val="1"/>
          <w:color w:val="auto"/>
        </w:rPr>
      </w:pPr>
    </w:p>
    <w:p>
      <w:pPr>
        <w:ind w:left="-440" w:firstLine="757"/>
        <w:spacing w:after="0" w:line="249" w:lineRule="auto"/>
        <w:tabs>
          <w:tab w:leader="none" w:pos="578"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the occurrence, in a single transaction or in a series of related transactions, of any one or more of the following events:</w:t>
      </w:r>
    </w:p>
    <w:p>
      <w:pPr>
        <w:spacing w:after="0" w:line="191" w:lineRule="exact"/>
        <w:rPr>
          <w:rFonts w:ascii="Times New Roman" w:cs="Times New Roman" w:eastAsia="Times New Roman" w:hAnsi="Times New Roman"/>
          <w:sz w:val="22"/>
          <w:szCs w:val="22"/>
          <w:b w:val="1"/>
          <w:bCs w:val="1"/>
          <w:color w:val="auto"/>
        </w:rPr>
      </w:pPr>
    </w:p>
    <w:p>
      <w:pPr>
        <w:jc w:val="both"/>
        <w:ind w:left="-440" w:firstLine="1505"/>
        <w:spacing w:after="0" w:line="253" w:lineRule="auto"/>
        <w:tabs>
          <w:tab w:leader="none" w:pos="1596" w:val="left"/>
        </w:tabs>
        <w:numPr>
          <w:ilvl w:val="1"/>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IPO Date, either an executive officer or a Director (either, an “</w:t>
      </w:r>
      <w:r>
        <w:rPr>
          <w:rFonts w:ascii="Times New Roman" w:cs="Times New Roman" w:eastAsia="Times New Roman" w:hAnsi="Times New Roman"/>
          <w:sz w:val="19"/>
          <w:szCs w:val="19"/>
          <w:b w:val="1"/>
          <w:bCs w:val="1"/>
          <w:i w:val="1"/>
          <w:iCs w:val="1"/>
          <w:color w:val="auto"/>
        </w:rPr>
        <w:t>IPO Investor</w:t>
      </w:r>
      <w:r>
        <w:rPr>
          <w:rFonts w:ascii="Times New Roman" w:cs="Times New Roman" w:eastAsia="Times New Roman" w:hAnsi="Times New Roman"/>
          <w:sz w:val="19"/>
          <w:szCs w:val="19"/>
          <w:color w:val="auto"/>
        </w:rPr>
        <w:t>”) and/or any entity in which an IPO Investor has a direct or indirect interest (whether in the form of voting rights or participation in profits or capital contributions) of more than 50% (collectively, the “</w:t>
      </w:r>
      <w:r>
        <w:rPr>
          <w:rFonts w:ascii="Times New Roman" w:cs="Times New Roman" w:eastAsia="Times New Roman" w:hAnsi="Times New Roman"/>
          <w:sz w:val="19"/>
          <w:szCs w:val="19"/>
          <w:b w:val="1"/>
          <w:bCs w:val="1"/>
          <w:i w:val="1"/>
          <w:iCs w:val="1"/>
          <w:color w:val="auto"/>
        </w:rPr>
        <w:t>IPO Entities</w:t>
      </w:r>
      <w:r>
        <w:rPr>
          <w:rFonts w:ascii="Times New Roman" w:cs="Times New Roman" w:eastAsia="Times New Roman" w:hAnsi="Times New Roman"/>
          <w:sz w:val="19"/>
          <w:szCs w:val="19"/>
          <w:color w:val="auto"/>
        </w:rPr>
        <w:t>”) or on account of the IPO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w:t>
      </w:r>
      <w:r>
        <w:rPr>
          <w:rFonts w:ascii="Times New Roman" w:cs="Times New Roman" w:eastAsia="Times New Roman" w:hAnsi="Times New Roman"/>
          <w:sz w:val="19"/>
          <w:szCs w:val="19"/>
          <w:b w:val="1"/>
          <w:bCs w:val="1"/>
          <w:i w:val="1"/>
          <w:iCs w:val="1"/>
          <w:color w:val="auto"/>
        </w:rPr>
        <w:t>Subject Person</w:t>
      </w:r>
      <w:r>
        <w:rPr>
          <w:rFonts w:ascii="Times New Roman" w:cs="Times New Roman" w:eastAsia="Times New Roman" w:hAnsi="Times New Roman"/>
          <w:sz w:val="19"/>
          <w:szCs w:val="19"/>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90" w:lineRule="exact"/>
        <w:rPr>
          <w:rFonts w:ascii="Times New Roman" w:cs="Times New Roman" w:eastAsia="Times New Roman" w:hAnsi="Times New Roman"/>
          <w:sz w:val="21"/>
          <w:szCs w:val="21"/>
          <w:b w:val="1"/>
          <w:bCs w:val="1"/>
          <w:color w:val="auto"/>
        </w:rPr>
      </w:pPr>
    </w:p>
    <w:p>
      <w:pPr>
        <w:jc w:val="both"/>
        <w:ind w:left="-440" w:firstLine="1505"/>
        <w:spacing w:after="0" w:line="241" w:lineRule="auto"/>
        <w:tabs>
          <w:tab w:leader="none" w:pos="1596" w:val="left"/>
        </w:tabs>
        <w:numPr>
          <w:ilvl w:val="1"/>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013" w:right="339" w:bottom="1440" w:gutter="0" w:footer="0" w:header="0"/>
        </w:sectPr>
      </w:pPr>
    </w:p>
    <w:bookmarkStart w:id="114" w:name="page115"/>
    <w:bookmarkEnd w:id="114"/>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spacing w:after="0" w:line="198" w:lineRule="exact"/>
        <w:rPr>
          <w:sz w:val="20"/>
          <w:szCs w:val="20"/>
          <w:color w:val="auto"/>
        </w:rPr>
      </w:pPr>
    </w:p>
    <w:p>
      <w:pPr>
        <w:jc w:val="both"/>
        <w:ind w:firstLine="1505"/>
        <w:spacing w:after="0"/>
        <w:tabs>
          <w:tab w:leader="none" w:pos="2036"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w:t>
      </w:r>
    </w:p>
    <w:p>
      <w:pPr>
        <w:spacing w:after="0" w:line="202" w:lineRule="exact"/>
        <w:rPr>
          <w:rFonts w:ascii="Times New Roman" w:cs="Times New Roman" w:eastAsia="Times New Roman" w:hAnsi="Times New Roman"/>
          <w:sz w:val="22"/>
          <w:szCs w:val="22"/>
          <w:b w:val="1"/>
          <w:bCs w:val="1"/>
          <w:color w:val="auto"/>
        </w:rPr>
      </w:pPr>
    </w:p>
    <w:p>
      <w:pPr>
        <w:ind w:firstLine="1505"/>
        <w:spacing w:after="0" w:line="270" w:lineRule="auto"/>
        <w:tabs>
          <w:tab w:leader="none" w:pos="2036"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the stockholders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167" w:lineRule="exact"/>
        <w:rPr>
          <w:rFonts w:ascii="Times New Roman" w:cs="Times New Roman" w:eastAsia="Times New Roman" w:hAnsi="Times New Roman"/>
          <w:sz w:val="21"/>
          <w:szCs w:val="21"/>
          <w:b w:val="1"/>
          <w:bCs w:val="1"/>
          <w:color w:val="auto"/>
        </w:rPr>
      </w:pPr>
    </w:p>
    <w:p>
      <w:pPr>
        <w:jc w:val="both"/>
        <w:ind w:firstLine="1505"/>
        <w:spacing w:after="0" w:line="242" w:lineRule="auto"/>
        <w:tabs>
          <w:tab w:leader="none" w:pos="2036"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individuals who, on the date the Plan is adopted by the Board, are members of the Board (the “</w:t>
      </w:r>
      <w:r>
        <w:rPr>
          <w:rFonts w:ascii="Times New Roman" w:cs="Times New Roman" w:eastAsia="Times New Roman" w:hAnsi="Times New Roman"/>
          <w:sz w:val="20"/>
          <w:szCs w:val="20"/>
          <w:b w:val="1"/>
          <w:bCs w:val="1"/>
          <w:i w:val="1"/>
          <w:iCs w:val="1"/>
          <w:color w:val="auto"/>
        </w:rPr>
        <w:t>Incumbent Board</w:t>
      </w:r>
      <w:r>
        <w:rPr>
          <w:rFonts w:ascii="Times New Roman" w:cs="Times New Roman" w:eastAsia="Times New Roman" w:hAnsi="Times New Roman"/>
          <w:sz w:val="20"/>
          <w:szCs w:val="20"/>
          <w:color w:val="auto"/>
        </w:rPr>
        <w:t xml:space="preserve">”) cease for any reason to constitute at least a majority of the members of the Board;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no definition of Change in Control or any analogous term is set forth in such an individual written agreement, the foregoing definition will apply.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Internal Revenue Code of 1986, as amended, including any applicable regulations and guidance thereunder.</w:t>
      </w:r>
    </w:p>
    <w:p>
      <w:pPr>
        <w:spacing w:after="0" w:line="224" w:lineRule="exact"/>
        <w:rPr>
          <w:sz w:val="20"/>
          <w:szCs w:val="20"/>
          <w:color w:val="auto"/>
        </w:rPr>
      </w:pPr>
    </w:p>
    <w:p>
      <w:pPr>
        <w:ind w:firstLine="757"/>
        <w:spacing w:after="0" w:line="249" w:lineRule="auto"/>
        <w:tabs>
          <w:tab w:leader="none" w:pos="1018"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a committee of one or more Independent Directors to whom authority has been delegated by the Board in accordance with Section 2(c).</w:t>
      </w:r>
    </w:p>
    <w:p>
      <w:pPr>
        <w:spacing w:after="0" w:line="187"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 having one vote per share.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means Personalis, Inc., a Delaware corporation.</w:t>
      </w:r>
    </w:p>
    <w:p>
      <w:pPr>
        <w:spacing w:after="0" w:line="224" w:lineRule="exact"/>
        <w:rPr>
          <w:sz w:val="20"/>
          <w:szCs w:val="20"/>
          <w:color w:val="auto"/>
        </w:rPr>
      </w:pPr>
    </w:p>
    <w:p>
      <w:pPr>
        <w:jc w:val="both"/>
        <w:ind w:firstLine="757"/>
        <w:spacing w:after="0" w:line="241" w:lineRule="auto"/>
        <w:tabs>
          <w:tab w:leader="none" w:pos="1018"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9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15" w:name="page116"/>
    <w:bookmarkEnd w:id="115"/>
    <w:p>
      <w:pPr>
        <w:jc w:val="both"/>
        <w:ind w:firstLine="749"/>
        <w:spacing w:after="0" w:line="254" w:lineRule="auto"/>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Continuous Service</w:t>
      </w:r>
      <w:r>
        <w:rPr>
          <w:rFonts w:ascii="Times New Roman" w:cs="Times New Roman" w:eastAsia="Times New Roman" w:hAnsi="Times New Roman"/>
          <w:sz w:val="19"/>
          <w:szCs w:val="19"/>
          <w:color w:val="auto"/>
        </w:rPr>
        <w:t>” means that the Participant’s service with the Company or an Affiliate, whether as an Employee,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17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Corporate Transaction</w:t>
      </w:r>
      <w:r>
        <w:rPr>
          <w:rFonts w:ascii="Times New Roman" w:cs="Times New Roman" w:eastAsia="Times New Roman" w:hAnsi="Times New Roman"/>
          <w:sz w:val="19"/>
          <w:szCs w:val="19"/>
          <w:color w:val="auto"/>
        </w:rPr>
        <w:t>” means the consummation, in a single transaction or in a series of related transactions, of any one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more of the following events:</w:t>
      </w:r>
    </w:p>
    <w:p>
      <w:pPr>
        <w:spacing w:after="0" w:line="157" w:lineRule="exact"/>
        <w:rPr>
          <w:sz w:val="20"/>
          <w:szCs w:val="20"/>
          <w:color w:val="auto"/>
        </w:rPr>
      </w:pPr>
    </w:p>
    <w:p>
      <w:pPr>
        <w:ind w:right="20" w:firstLine="1505"/>
        <w:spacing w:after="0" w:line="245" w:lineRule="auto"/>
        <w:tabs>
          <w:tab w:leader="none" w:pos="2036"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 sale or other disposition of all or substantially all, as determined by the Board, in its sole discretion, of the consolidated assets of the Company and its Subsidiaries;</w:t>
      </w:r>
    </w:p>
    <w:p>
      <w:pPr>
        <w:spacing w:after="0" w:line="195"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 sale or other disposition of more than 50% of the outstanding securities of the Company;</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 merger, consolidation or similar transaction following which the Company is not the surviving corporation; or</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2" w:lineRule="auto"/>
        <w:tabs>
          <w:tab w:leader="none" w:pos="2036"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95" w:lineRule="exact"/>
        <w:rPr>
          <w:sz w:val="20"/>
          <w:szCs w:val="20"/>
          <w:color w:val="auto"/>
        </w:rPr>
      </w:pPr>
    </w:p>
    <w:p>
      <w:pPr>
        <w:ind w:firstLine="757"/>
        <w:spacing w:after="0" w:line="249" w:lineRule="auto"/>
        <w:tabs>
          <w:tab w:leader="none" w:pos="1018"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member of the Board. Directors are not eligible to receive Awards under the Plan with respect to their service in such capacity.</w:t>
      </w:r>
    </w:p>
    <w:p>
      <w:pPr>
        <w:spacing w:after="0" w:line="169"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means, with respect to a Participant, the inability of such Participant to engage in any substantial gainful activity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(q)</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Dissolution</w:t>
      </w:r>
      <w:r>
        <w:rPr>
          <w:rFonts w:ascii="Times New Roman" w:cs="Times New Roman" w:eastAsia="Times New Roman" w:hAnsi="Times New Roman"/>
          <w:sz w:val="19"/>
          <w:szCs w:val="19"/>
          <w:color w:val="auto"/>
        </w:rPr>
        <w:t>” means when the Company, after having executed a certificate of dissolution with the State of Delaware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applicable state), has completely wound up its affairs. Conversion of the Company into a Limited Liability Company (or any other pass-through entity) will not be considered a “Dissolution” for purposes of the Plan.</w:t>
      </w:r>
    </w:p>
    <w:p>
      <w:pPr>
        <w:spacing w:after="0" w:line="191" w:lineRule="exact"/>
        <w:rPr>
          <w:sz w:val="20"/>
          <w:szCs w:val="20"/>
          <w:color w:val="auto"/>
        </w:rPr>
      </w:pPr>
    </w:p>
    <w:p>
      <w:pPr>
        <w:ind w:left="1020" w:hanging="263"/>
        <w:spacing w:after="0"/>
        <w:tabs>
          <w:tab w:leader="none" w:pos="102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means May 4, 2020.</w:t>
      </w:r>
    </w:p>
    <w:p>
      <w:pPr>
        <w:spacing w:after="0" w:line="206" w:lineRule="exact"/>
        <w:rPr>
          <w:rFonts w:ascii="Times New Roman" w:cs="Times New Roman" w:eastAsia="Times New Roman" w:hAnsi="Times New Roman"/>
          <w:sz w:val="22"/>
          <w:szCs w:val="22"/>
          <w:b w:val="1"/>
          <w:bCs w:val="1"/>
          <w:color w:val="auto"/>
        </w:rPr>
      </w:pPr>
    </w:p>
    <w:p>
      <w:pPr>
        <w:ind w:right="20" w:firstLine="757"/>
        <w:spacing w:after="0" w:line="249" w:lineRule="auto"/>
        <w:tabs>
          <w:tab w:leader="none" w:pos="1018"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person employed by the Company or an Affiliate. However, service solely as a Director, or payment of a fee for such services, will not cause a Director to be considered an “Employee” for purposes of the Plan.</w:t>
      </w:r>
    </w:p>
    <w:p>
      <w:pPr>
        <w:spacing w:after="0" w:line="187"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Entity</w:t>
      </w:r>
      <w:r>
        <w:rPr>
          <w:rFonts w:ascii="Times New Roman" w:cs="Times New Roman" w:eastAsia="Times New Roman" w:hAnsi="Times New Roman"/>
          <w:sz w:val="20"/>
          <w:szCs w:val="20"/>
          <w:color w:val="auto"/>
        </w:rPr>
        <w:t>” means a corporation, partnership, limited liability company or other entity.</w:t>
      </w:r>
    </w:p>
    <w:p>
      <w:pPr>
        <w:spacing w:after="0" w:line="20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16" w:name="page117"/>
    <w:bookmarkEnd w:id="116"/>
    <w:p>
      <w:pPr>
        <w:ind w:left="760"/>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Securities Exchange Act of 1934, as amended, and the rules and regulations promulgated thereunder.</w:t>
      </w:r>
    </w:p>
    <w:p>
      <w:pPr>
        <w:spacing w:after="0" w:line="224" w:lineRule="exact"/>
        <w:rPr>
          <w:sz w:val="20"/>
          <w:szCs w:val="20"/>
          <w:color w:val="auto"/>
        </w:rPr>
      </w:pPr>
    </w:p>
    <w:p>
      <w:pPr>
        <w:jc w:val="both"/>
        <w:ind w:firstLine="757"/>
        <w:spacing w:after="0"/>
        <w:tabs>
          <w:tab w:leader="none" w:pos="1018"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 Person</w:t>
      </w:r>
      <w:r>
        <w:rPr>
          <w:rFonts w:ascii="Times New Roman" w:cs="Times New Roman" w:eastAsia="Times New Roman" w:hAnsi="Times New Roman"/>
          <w:sz w:val="20"/>
          <w:szCs w:val="20"/>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IPO Date, is the Owner, directly or indirectly, of securities of the Company representing more than 50% of the combined voting power of the Company’s then outstanding securities.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Fair Market Value</w:t>
      </w:r>
      <w:r>
        <w:rPr>
          <w:rFonts w:ascii="Times New Roman" w:cs="Times New Roman" w:eastAsia="Times New Roman" w:hAnsi="Times New Roman"/>
          <w:sz w:val="19"/>
          <w:szCs w:val="19"/>
          <w:color w:val="auto"/>
        </w:rPr>
        <w:t>” means, as of any date, the value of the Common Stock determined as follows:</w:t>
      </w:r>
    </w:p>
    <w:p>
      <w:pPr>
        <w:spacing w:after="0" w:line="228" w:lineRule="exact"/>
        <w:rPr>
          <w:sz w:val="20"/>
          <w:szCs w:val="20"/>
          <w:color w:val="auto"/>
        </w:rPr>
      </w:pPr>
    </w:p>
    <w:p>
      <w:pPr>
        <w:jc w:val="both"/>
        <w:ind w:firstLine="1505"/>
        <w:spacing w:after="0" w:line="241" w:lineRule="auto"/>
        <w:tabs>
          <w:tab w:leader="none" w:pos="2036" w:val="left"/>
        </w:tabs>
        <w:numPr>
          <w:ilvl w:val="1"/>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200" w:lineRule="exact"/>
        <w:rPr>
          <w:rFonts w:ascii="Times New Roman" w:cs="Times New Roman" w:eastAsia="Times New Roman" w:hAnsi="Times New Roman"/>
          <w:sz w:val="22"/>
          <w:szCs w:val="22"/>
          <w:b w:val="1"/>
          <w:bCs w:val="1"/>
          <w:color w:val="auto"/>
        </w:rPr>
      </w:pPr>
    </w:p>
    <w:p>
      <w:pPr>
        <w:ind w:right="20" w:firstLine="1505"/>
        <w:spacing w:after="0" w:line="245" w:lineRule="auto"/>
        <w:tabs>
          <w:tab w:leader="none" w:pos="2036" w:val="left"/>
        </w:tabs>
        <w:numPr>
          <w:ilvl w:val="1"/>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95" w:lineRule="exact"/>
        <w:rPr>
          <w:rFonts w:ascii="Times New Roman" w:cs="Times New Roman" w:eastAsia="Times New Roman" w:hAnsi="Times New Roman"/>
          <w:sz w:val="22"/>
          <w:szCs w:val="22"/>
          <w:b w:val="1"/>
          <w:bCs w:val="1"/>
          <w:color w:val="auto"/>
        </w:rPr>
      </w:pPr>
    </w:p>
    <w:p>
      <w:pPr>
        <w:ind w:right="20" w:firstLine="1505"/>
        <w:spacing w:after="0" w:line="245" w:lineRule="auto"/>
        <w:tabs>
          <w:tab w:leader="none" w:pos="2036" w:val="left"/>
        </w:tabs>
        <w:numPr>
          <w:ilvl w:val="1"/>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In the absence of such markets for the Common Stock, the Fair Market Value will be determined by the Board in good faith and in a manner that complies with Section 409A of the Code.</w:t>
      </w:r>
    </w:p>
    <w:p>
      <w:pPr>
        <w:spacing w:after="0" w:line="191" w:lineRule="exact"/>
        <w:rPr>
          <w:rFonts w:ascii="Times New Roman" w:cs="Times New Roman" w:eastAsia="Times New Roman" w:hAnsi="Times New Roman"/>
          <w:sz w:val="22"/>
          <w:szCs w:val="22"/>
          <w:b w:val="1"/>
          <w:bCs w:val="1"/>
          <w:color w:val="auto"/>
        </w:rPr>
      </w:pPr>
    </w:p>
    <w:p>
      <w:pPr>
        <w:ind w:firstLine="757"/>
        <w:spacing w:after="0" w:line="249" w:lineRule="auto"/>
        <w:tabs>
          <w:tab w:leader="none" w:pos="1018"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IPO Date</w:t>
      </w:r>
      <w:r>
        <w:rPr>
          <w:rFonts w:ascii="Times New Roman" w:cs="Times New Roman" w:eastAsia="Times New Roman" w:hAnsi="Times New Roman"/>
          <w:sz w:val="20"/>
          <w:szCs w:val="20"/>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87"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20"/>
          <w:szCs w:val="20"/>
          <w:b w:val="1"/>
          <w:bCs w:val="1"/>
          <w:i w:val="1"/>
          <w:iCs w:val="1"/>
          <w:color w:val="auto"/>
        </w:rPr>
        <w:t>Regulation S-K</w:t>
      </w:r>
      <w:r>
        <w:rPr>
          <w:rFonts w:ascii="Times New Roman" w:cs="Times New Roman" w:eastAsia="Times New Roman" w:hAnsi="Times New Roman"/>
          <w:sz w:val="20"/>
          <w:szCs w:val="20"/>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97" w:lineRule="exact"/>
        <w:rPr>
          <w:rFonts w:ascii="Times New Roman" w:cs="Times New Roman" w:eastAsia="Times New Roman" w:hAnsi="Times New Roman"/>
          <w:sz w:val="22"/>
          <w:szCs w:val="22"/>
          <w:b w:val="1"/>
          <w:bCs w:val="1"/>
          <w:color w:val="auto"/>
        </w:rPr>
      </w:pPr>
    </w:p>
    <w:p>
      <w:pPr>
        <w:ind w:firstLine="757"/>
        <w:spacing w:after="0" w:line="249" w:lineRule="auto"/>
        <w:tabs>
          <w:tab w:leader="none" w:pos="1018"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Nonstatutory Stock Option</w:t>
      </w:r>
      <w:r>
        <w:rPr>
          <w:rFonts w:ascii="Times New Roman" w:cs="Times New Roman" w:eastAsia="Times New Roman" w:hAnsi="Times New Roman"/>
          <w:sz w:val="20"/>
          <w:szCs w:val="20"/>
          <w:color w:val="auto"/>
        </w:rPr>
        <w:t>” means any option granted pursuant to Section 5 of the Plan that does not qualify as an “incentive stock option” within the meaning of Section 422 of the Code.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(aa)</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Officer</w:t>
      </w:r>
      <w:r>
        <w:rPr>
          <w:rFonts w:ascii="Times New Roman" w:cs="Times New Roman" w:eastAsia="Times New Roman" w:hAnsi="Times New Roman"/>
          <w:sz w:val="19"/>
          <w:szCs w:val="19"/>
          <w:color w:val="auto"/>
        </w:rPr>
        <w:t>” means a person who is an officer of the Company within the meaning of Section 16 of the Exchange Act.</w:t>
      </w: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(bb)</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Option</w:t>
      </w:r>
      <w:r>
        <w:rPr>
          <w:rFonts w:ascii="Times New Roman" w:cs="Times New Roman" w:eastAsia="Times New Roman" w:hAnsi="Times New Roman"/>
          <w:sz w:val="19"/>
          <w:szCs w:val="19"/>
          <w:color w:val="auto"/>
        </w:rPr>
        <w:t>” means a Nonstatutory Stock Option to purchase shares of Common Stock granted pursuant to the Plan.</w:t>
      </w:r>
    </w:p>
    <w:p>
      <w:pPr>
        <w:spacing w:after="0" w:line="190"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22"/>
          <w:szCs w:val="22"/>
          <w:b w:val="1"/>
          <w:bCs w:val="1"/>
          <w:color w:val="auto"/>
        </w:rPr>
        <w:t>(cc)</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Option Agreement</w:t>
      </w:r>
      <w:r>
        <w:rPr>
          <w:rFonts w:ascii="Times New Roman" w:cs="Times New Roman" w:eastAsia="Times New Roman" w:hAnsi="Times New Roman"/>
          <w:sz w:val="19"/>
          <w:szCs w:val="19"/>
          <w:color w:val="auto"/>
        </w:rPr>
        <w:t>” means a written agreement between the Company and an Optionholder evidencing the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conditions of an Option grant. Each Option Agreement will be subject to the terms and conditions of the Plan.</w:t>
      </w:r>
    </w:p>
    <w:p>
      <w:pPr>
        <w:spacing w:after="0" w:line="15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17" w:name="page118"/>
    <w:bookmarkEnd w:id="117"/>
    <w:p>
      <w:pPr>
        <w:jc w:val="both"/>
        <w:ind w:firstLine="749"/>
        <w:spacing w:after="0" w:line="282" w:lineRule="auto"/>
        <w:rPr>
          <w:sz w:val="20"/>
          <w:szCs w:val="20"/>
          <w:color w:val="auto"/>
        </w:rPr>
      </w:pPr>
      <w:r>
        <w:rPr>
          <w:rFonts w:ascii="Times New Roman" w:cs="Times New Roman" w:eastAsia="Times New Roman" w:hAnsi="Times New Roman"/>
          <w:sz w:val="22"/>
          <w:szCs w:val="22"/>
          <w:b w:val="1"/>
          <w:bCs w:val="1"/>
          <w:color w:val="auto"/>
        </w:rPr>
        <w:t>(dd)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Optionholder</w:t>
      </w:r>
      <w:r>
        <w:rPr>
          <w:rFonts w:ascii="Times New Roman" w:cs="Times New Roman" w:eastAsia="Times New Roman" w:hAnsi="Times New Roman"/>
          <w:sz w:val="19"/>
          <w:szCs w:val="19"/>
          <w:color w:val="auto"/>
        </w:rPr>
        <w:t>” means a person to whom an Option is granted pursuant to the Plan or, if applicable, such other person who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holds an outstanding Option.</w:t>
      </w:r>
    </w:p>
    <w:p>
      <w:pPr>
        <w:spacing w:after="0" w:line="13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2"/>
          <w:szCs w:val="22"/>
          <w:b w:val="1"/>
          <w:bCs w:val="1"/>
          <w:color w:val="auto"/>
        </w:rPr>
        <w:t>(ee)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Other Stock Award</w:t>
      </w:r>
      <w:r>
        <w:rPr>
          <w:rFonts w:ascii="Times New Roman" w:cs="Times New Roman" w:eastAsia="Times New Roman" w:hAnsi="Times New Roman"/>
          <w:sz w:val="19"/>
          <w:szCs w:val="19"/>
          <w:color w:val="auto"/>
        </w:rPr>
        <w:t>” means an award based in whole or in part by reference to the Common Stock which is granted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to the terms and conditions of Section 6(d).</w:t>
      </w:r>
    </w:p>
    <w:p>
      <w:pPr>
        <w:spacing w:after="0" w:line="13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(ff)</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Other Stock Award Agreement</w:t>
      </w:r>
      <w:r>
        <w:rPr>
          <w:rFonts w:ascii="Times New Roman" w:cs="Times New Roman" w:eastAsia="Times New Roman" w:hAnsi="Times New Roman"/>
          <w:sz w:val="19"/>
          <w:szCs w:val="19"/>
          <w:color w:val="auto"/>
        </w:rPr>
        <w:t>” means a written agreement between the Company and a holder of an Other 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evidencing the terms and conditions of an Other Stock Award grant. Each Other Stock Award Agreement will be subject to the terms and conditions of the Plan.</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b w:val="1"/>
          <w:bCs w:val="1"/>
          <w:color w:val="auto"/>
        </w:rPr>
        <w:t>(gg)</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Own,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Owned,</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Owner,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Ownership</w:t>
      </w:r>
      <w:r>
        <w:rPr>
          <w:rFonts w:ascii="Times New Roman" w:cs="Times New Roman" w:eastAsia="Times New Roman" w:hAnsi="Times New Roman"/>
          <w:sz w:val="19"/>
          <w:szCs w:val="19"/>
          <w:color w:val="auto"/>
        </w:rPr>
        <w:t>” means a person or Entity will be deemed to “Own,” to have “Owned,” to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200" w:lineRule="exact"/>
        <w:rPr>
          <w:sz w:val="20"/>
          <w:szCs w:val="20"/>
          <w:color w:val="auto"/>
        </w:rPr>
      </w:pPr>
    </w:p>
    <w:p>
      <w:pPr>
        <w:spacing w:after="0" w:line="20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2"/>
          <w:szCs w:val="22"/>
          <w:b w:val="1"/>
          <w:bCs w:val="1"/>
          <w:color w:val="auto"/>
        </w:rPr>
        <w:t>(hh)</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means a person to whom an Award is granted pursuant to the Plan or, if applicable, such other person who holds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 outstanding Award.</w:t>
      </w:r>
    </w:p>
    <w:p>
      <w:pPr>
        <w:spacing w:after="0" w:line="13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(ii)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Criteria</w:t>
      </w:r>
      <w:r>
        <w:rPr>
          <w:rFonts w:ascii="Times New Roman" w:cs="Times New Roman" w:eastAsia="Times New Roman" w:hAnsi="Times New Roman"/>
          <w:sz w:val="19"/>
          <w:szCs w:val="19"/>
          <w:color w:val="auto"/>
        </w:rPr>
        <w:t>” means the one or more criteria that a majority of the Company’s Independent Directors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Independent Compensation Committee will select for purposes of establishing the Performance Goals for a Performance Period. The Performance Criteria that will be used to establish such Performance Goals may be based on any one of, or combination of, the following as determined by a majority of the Company’s Independent Directors or the Independent Compensation Committee: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w:t>
      </w:r>
    </w:p>
    <w:p>
      <w:pPr>
        <w:spacing w:after="0" w:line="1" w:lineRule="exact"/>
        <w:rPr>
          <w:sz w:val="20"/>
          <w:szCs w:val="20"/>
          <w:color w:val="auto"/>
        </w:rPr>
      </w:pPr>
    </w:p>
    <w:p>
      <w:pPr>
        <w:jc w:val="both"/>
        <w:ind w:firstLine="8"/>
        <w:spacing w:after="0" w:line="239" w:lineRule="auto"/>
        <w:tabs>
          <w:tab w:leader="none" w:pos="44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and cost reduction goals; (xvii) improvement in or attainment of working capital levels; (xviii) economic value added (or an equivalent metric); (xix) market share; (xx) cash flow; (xxi) cash flow per share; (xxii) share price performance; (xxiii) debt reduction; (xxiv) customer satisfaction; (xxv) stockholders’ equity; (xxvi) capital expenditures; (xxvii) debt levels; (xxviii) operating profit or net operating profit; (xxix) workforce diversity; (xxx) growth of net income or operating income; (xxxi) billings; (xxxii) implementation or completion of projects or processes; (xxxiii) financing; (xxxiv) regulatory milestones; (xxxv) stockholder liquidity; (xxvi) corporate governance and compliance; (xxxvii) product commercialization; (xxxviii) intellectual property; (xxxix) personnel matters; (xl) progress of internal research or clinical programs; (xli) progress of partnered programs; (xlii) partner satisfaction; (xliii) budget management; (xliv) clinical achievements; (xlv) completing phases of a clinical study (including the treatment phase); (xlvi) announcing or presenting preliminary or final data from clinical studies; in each case, whether on particular timelines or generally; (xlvii) timely completion of clinical trials; (xlviii) submission of Device Master File(s) and other regulatory achievements; (xlix) partner or collaborator achievements; (l) internal controls, including those related to the Sarbanes-Oxley Act of 2002; (li) research progress, including the development of programs; (lii) investor relations, analysts and communication; (liii) manufacturing achievements (including obtaining particular yields from manufacturing runs and other measurable objectives related to process development activities); (liv) strategic partnerships or transactions (including in-licensing and out-licensing of intellectual property; (lv) establishing relationships with commercial entities with respect to the marketing, distribution and sale of the Company’s products and services (including with group purchasing organizations, distributors and other vendors); (lvi) supply chain achievements (including establishing relationships with manufacturers, suppliers and other services providers of the Company’s products and services); (lvii) co-development, co-marketing, profit sharing, joint venture or other similar arrangements; (lviii) individual performance goals; (lix) corporate development and planning goals; and (lx) other measures of performance selected by a majority of the Company’s Independent Directors or the Independent Compensation Committee.</w:t>
      </w:r>
    </w:p>
    <w:p>
      <w:pPr>
        <w:spacing w:after="0" w:line="195"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2"/>
          <w:szCs w:val="22"/>
          <w:b w:val="1"/>
          <w:bCs w:val="1"/>
          <w:color w:val="auto"/>
        </w:rPr>
        <w:t>(jj)</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Goals</w:t>
      </w:r>
      <w:r>
        <w:rPr>
          <w:rFonts w:ascii="Times New Roman" w:cs="Times New Roman" w:eastAsia="Times New Roman" w:hAnsi="Times New Roman"/>
          <w:sz w:val="19"/>
          <w:szCs w:val="19"/>
          <w:color w:val="auto"/>
        </w:rPr>
        <w:t>” means, for a Performance Period, the one or more goals established by a majority of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Independent Directors or the Independent Compensation Committee for the Performance</w:t>
      </w:r>
    </w:p>
    <w:p>
      <w:pPr>
        <w:spacing w:after="0" w:line="19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18" w:name="page119"/>
    <w:bookmarkEnd w:id="118"/>
    <w:p>
      <w:pPr>
        <w:jc w:val="both"/>
        <w:spacing w:after="0"/>
        <w:rPr>
          <w:sz w:val="20"/>
          <w:szCs w:val="20"/>
          <w:color w:val="auto"/>
        </w:rPr>
      </w:pPr>
      <w:r>
        <w:rPr>
          <w:rFonts w:ascii="Times New Roman" w:cs="Times New Roman" w:eastAsia="Times New Roman" w:hAnsi="Times New Roman"/>
          <w:sz w:val="20"/>
          <w:szCs w:val="20"/>
          <w:color w:val="auto"/>
        </w:rPr>
        <w:t>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a majority of the Company’s Independent Directors or the Independent Compensation Committee (i) in the Award Agreement at the time the Award is granted or (ii) in such other document setting forth the Performance Goals at the time the Performance Goals are established, a majority of the Company’s Independent Directors or the Independent Compensation Committee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a majority of the Company’s Independent Directors or the Independent Compensation Committee retains the discretion to adjust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w:t>
      </w:r>
    </w:p>
    <w:p>
      <w:pPr>
        <w:spacing w:after="0" w:line="19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(kk)</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Period</w:t>
      </w:r>
      <w:r>
        <w:rPr>
          <w:rFonts w:ascii="Times New Roman" w:cs="Times New Roman" w:eastAsia="Times New Roman" w:hAnsi="Times New Roman"/>
          <w:sz w:val="19"/>
          <w:szCs w:val="19"/>
          <w:color w:val="auto"/>
        </w:rPr>
        <w:t>” means the period of time selected by a majority of the Company’s Independent Directors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Independent Compensation Committee over which the attainment of one or more Performance Goals will be measured for the purpose of determining a Participant’s right to and the payment of an Award. Performance Periods may be of varying and overlapping duration, at the sole discretion of a majority of the Company’s Independent Directors or the Independent Compensation Committee.</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(ll)</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Stock Award</w:t>
      </w:r>
      <w:r>
        <w:rPr>
          <w:rFonts w:ascii="Times New Roman" w:cs="Times New Roman" w:eastAsia="Times New Roman" w:hAnsi="Times New Roman"/>
          <w:sz w:val="19"/>
          <w:szCs w:val="19"/>
          <w:color w:val="auto"/>
        </w:rPr>
        <w:t>” means an Award granted under the terms and conditions of Section 6(c)(i).</w:t>
      </w:r>
    </w:p>
    <w:p>
      <w:pPr>
        <w:spacing w:after="0" w:line="224" w:lineRule="exact"/>
        <w:rPr>
          <w:sz w:val="20"/>
          <w:szCs w:val="20"/>
          <w:color w:val="auto"/>
        </w:rPr>
      </w:pPr>
    </w:p>
    <w:p>
      <w:pPr>
        <w:ind w:left="1320" w:hanging="563"/>
        <w:spacing w:after="0"/>
        <w:tabs>
          <w:tab w:leader="none" w:pos="132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Personalis, Inc. 2020 Inducement Plan, as it may be amended.</w:t>
      </w:r>
    </w:p>
    <w:p>
      <w:pPr>
        <w:spacing w:after="0" w:line="188"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22"/>
          <w:szCs w:val="22"/>
          <w:b w:val="1"/>
          <w:bCs w:val="1"/>
          <w:color w:val="auto"/>
        </w:rPr>
        <w:t>(nn)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Award</w:t>
      </w:r>
      <w:r>
        <w:rPr>
          <w:rFonts w:ascii="Times New Roman" w:cs="Times New Roman" w:eastAsia="Times New Roman" w:hAnsi="Times New Roman"/>
          <w:sz w:val="19"/>
          <w:szCs w:val="19"/>
          <w:color w:val="auto"/>
        </w:rPr>
        <w:t>” means an award of shares of Common Stock which is granted pursuant to the terms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of Section 6(a).</w:t>
      </w:r>
    </w:p>
    <w:p>
      <w:pPr>
        <w:spacing w:after="0" w:line="135"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b w:val="1"/>
          <w:bCs w:val="1"/>
          <w:color w:val="auto"/>
        </w:rPr>
        <w:t>(oo)</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Award Agreement</w:t>
      </w:r>
      <w:r>
        <w:rPr>
          <w:rFonts w:ascii="Times New Roman" w:cs="Times New Roman" w:eastAsia="Times New Roman" w:hAnsi="Times New Roman"/>
          <w:sz w:val="19"/>
          <w:szCs w:val="19"/>
          <w:color w:val="auto"/>
        </w:rPr>
        <w:t>” means a written agreement between the Company and a holder of a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Award evidencing the terms and conditions of a Restricted Stock Award grant. Each Restricted Stock Award Agreement will be subject to the terms and conditions of the Plan.</w:t>
      </w:r>
    </w:p>
    <w:p>
      <w:pPr>
        <w:spacing w:after="0" w:line="174" w:lineRule="exact"/>
        <w:rPr>
          <w:sz w:val="20"/>
          <w:szCs w:val="20"/>
          <w:color w:val="auto"/>
        </w:rPr>
      </w:pPr>
    </w:p>
    <w:p>
      <w:pPr>
        <w:ind w:firstLine="757"/>
        <w:spacing w:after="0" w:line="249" w:lineRule="auto"/>
        <w:tabs>
          <w:tab w:leader="none" w:pos="1182"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Unit Award</w:t>
      </w:r>
      <w:r>
        <w:rPr>
          <w:rFonts w:ascii="Times New Roman" w:cs="Times New Roman" w:eastAsia="Times New Roman" w:hAnsi="Times New Roman"/>
          <w:sz w:val="20"/>
          <w:szCs w:val="20"/>
          <w:color w:val="auto"/>
        </w:rPr>
        <w:t>” means a right to receive shares of Common Stock which is granted pursuant to the terms and conditions of Section 6(b).</w:t>
      </w:r>
    </w:p>
    <w:p>
      <w:pPr>
        <w:spacing w:after="0" w:line="16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b w:val="1"/>
          <w:bCs w:val="1"/>
          <w:color w:val="auto"/>
        </w:rPr>
        <w:t>(qq)</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Unit Award Agreement</w:t>
      </w:r>
      <w:r>
        <w:rPr>
          <w:rFonts w:ascii="Times New Roman" w:cs="Times New Roman" w:eastAsia="Times New Roman" w:hAnsi="Times New Roman"/>
          <w:sz w:val="19"/>
          <w:szCs w:val="19"/>
          <w:color w:val="auto"/>
        </w:rPr>
        <w:t>” means a written agreement between the Company and a holder of a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Stock Unit Award evidencing the terms and conditions of a Restricted Stock Unit Award grant. Each Restricted Stock Unit Award Agreement will be subject to the terms and conditions of the Plan.</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(rr)</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Rule 16b-3</w:t>
      </w:r>
      <w:r>
        <w:rPr>
          <w:rFonts w:ascii="Times New Roman" w:cs="Times New Roman" w:eastAsia="Times New Roman" w:hAnsi="Times New Roman"/>
          <w:sz w:val="19"/>
          <w:szCs w:val="19"/>
          <w:color w:val="auto"/>
        </w:rPr>
        <w:t>” means Rule 16b-3 promulgated under the Exchange Act or any successor to Rule 16b-3, as in effect from time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20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19" w:name="page120"/>
    <w:bookmarkEnd w:id="119"/>
    <w:p>
      <w:pPr>
        <w:ind w:left="760"/>
        <w:spacing w:after="0"/>
        <w:rPr>
          <w:sz w:val="20"/>
          <w:szCs w:val="20"/>
          <w:color w:val="auto"/>
        </w:rPr>
      </w:pPr>
      <w:r>
        <w:rPr>
          <w:rFonts w:ascii="Times New Roman" w:cs="Times New Roman" w:eastAsia="Times New Roman" w:hAnsi="Times New Roman"/>
          <w:sz w:val="22"/>
          <w:szCs w:val="22"/>
          <w:b w:val="1"/>
          <w:bCs w:val="1"/>
          <w:color w:val="auto"/>
        </w:rPr>
        <w:t>(ss)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means the Securities Act of 1933, as amended.</w:t>
      </w:r>
    </w:p>
    <w:p>
      <w:pPr>
        <w:spacing w:after="0" w:line="206"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22"/>
          <w:szCs w:val="22"/>
          <w:b w:val="1"/>
          <w:bCs w:val="1"/>
          <w:color w:val="auto"/>
        </w:rPr>
        <w:t>(tt)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SAR</w:t>
      </w:r>
      <w:r>
        <w:rPr>
          <w:rFonts w:ascii="Times New Roman" w:cs="Times New Roman" w:eastAsia="Times New Roman" w:hAnsi="Times New Roman"/>
          <w:sz w:val="19"/>
          <w:szCs w:val="19"/>
          <w:color w:val="auto"/>
        </w:rPr>
        <w:t>” means a right to receive the appreciation on Common Stock that is granted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terms and conditions of Section 5.</w:t>
      </w:r>
    </w:p>
    <w:p>
      <w:pPr>
        <w:spacing w:after="0" w:line="135"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b w:val="1"/>
          <w:bCs w:val="1"/>
          <w:color w:val="auto"/>
        </w:rPr>
        <w:t>(uu)</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 Agreement</w:t>
      </w:r>
      <w:r>
        <w:rPr>
          <w:rFonts w:ascii="Times New Roman" w:cs="Times New Roman" w:eastAsia="Times New Roman" w:hAnsi="Times New Roman"/>
          <w:sz w:val="19"/>
          <w:szCs w:val="19"/>
          <w:color w:val="auto"/>
        </w:rPr>
        <w:t>” means a written agreement between the Company and a holder of a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Appreciation Right evidencing the terms and conditions of a Stock Appreciation Right grant. Each Stock Appreciation Right Agreement will be subject to the terms and conditions of the Plan.</w:t>
      </w:r>
    </w:p>
    <w:p>
      <w:pPr>
        <w:spacing w:after="0" w:line="174" w:lineRule="exact"/>
        <w:rPr>
          <w:sz w:val="20"/>
          <w:szCs w:val="20"/>
          <w:color w:val="auto"/>
        </w:rPr>
      </w:pPr>
    </w:p>
    <w:p>
      <w:pPr>
        <w:jc w:val="both"/>
        <w:ind w:firstLine="757"/>
        <w:spacing w:after="0" w:line="241" w:lineRule="auto"/>
        <w:tabs>
          <w:tab w:leader="none" w:pos="1158"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(ww)</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Transaction</w:t>
      </w:r>
      <w:r>
        <w:rPr>
          <w:rFonts w:ascii="Times New Roman" w:cs="Times New Roman" w:eastAsia="Times New Roman" w:hAnsi="Times New Roman"/>
          <w:sz w:val="19"/>
          <w:szCs w:val="19"/>
          <w:color w:val="auto"/>
        </w:rPr>
        <w:t>” means a Corporate Transaction or a Change in Control.</w:t>
      </w:r>
    </w:p>
    <w:p>
      <w:pPr>
        <w:spacing w:after="0" w:line="22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b w:val="1"/>
          <w:bCs w:val="1"/>
          <w:color w:val="auto"/>
        </w:rPr>
        <w:t>Exhibit 10.5</w:t>
      </w:r>
    </w:p>
    <w:p>
      <w:pPr>
        <w:spacing w:after="0" w:line="200" w:lineRule="exact"/>
        <w:rPr>
          <w:sz w:val="20"/>
          <w:szCs w:val="20"/>
          <w:color w:val="auto"/>
        </w:rPr>
      </w:pPr>
    </w:p>
    <w:p>
      <w:pPr>
        <w:spacing w:after="0" w:line="3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ersonalis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Personalis,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2020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awards to Participant a Restricted Stock Unit Award for the number of shares of the Company’s Common Stock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set forth below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The Award is subject to all of the terms and conditions as set forth in this notice of grant (this “</w:t>
      </w:r>
      <w:r>
        <w:rPr>
          <w:rFonts w:ascii="Times New Roman" w:cs="Times New Roman" w:eastAsia="Times New Roman" w:hAnsi="Times New Roman"/>
          <w:sz w:val="18"/>
          <w:szCs w:val="18"/>
          <w:b w:val="1"/>
          <w:bCs w:val="1"/>
          <w:i w:val="1"/>
          <w:iCs w:val="1"/>
          <w:color w:val="auto"/>
        </w:rPr>
        <w:t>Restricted Stock Unit Grant Notice</w:t>
      </w:r>
      <w:r>
        <w:rPr>
          <w:rFonts w:ascii="Times New Roman" w:cs="Times New Roman" w:eastAsia="Times New Roman" w:hAnsi="Times New Roman"/>
          <w:sz w:val="18"/>
          <w:szCs w:val="18"/>
          <w:color w:val="auto"/>
        </w:rPr>
        <w:t>”), and in the Plan and the Restricted Stock Unit Award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both of which are attached hereto and incorporated herein in their entirety. Capitalized terms not explicitly defined herein shall have the meanings set forth in the Plan or the Award Agreement. In the event of any conflict between the terms in this Restricted Stock Unit Grant Notice or the Award Agreement and the Plan, the terms of the Plan shall control.</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-7620</wp:posOffset>
            </wp:positionV>
            <wp:extent cx="2286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-19050</wp:posOffset>
            </wp:positionV>
            <wp:extent cx="2286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9">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-19050</wp:posOffset>
            </wp:positionV>
            <wp:extent cx="2286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-19050</wp:posOffset>
            </wp:positionV>
            <wp:extent cx="2286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Vesting Schedule: </w:t>
      </w:r>
      <w:r>
        <w:rPr>
          <w:rFonts w:ascii="Times New Roman" w:cs="Times New Roman" w:eastAsia="Times New Roman" w:hAnsi="Times New Roman"/>
          <w:sz w:val="18"/>
          <w:szCs w:val="18"/>
          <w:color w:val="auto"/>
        </w:rPr>
        <w:t>__________________, subject to Participant’s Continuous Service through each such vesting date.</w:t>
      </w:r>
    </w:p>
    <w:p>
      <w:pPr>
        <w:spacing w:after="0" w:line="225" w:lineRule="exact"/>
        <w:rPr>
          <w:sz w:val="20"/>
          <w:szCs w:val="20"/>
          <w:color w:val="auto"/>
        </w:rPr>
      </w:pPr>
    </w:p>
    <w:p>
      <w:pPr>
        <w:jc w:val="both"/>
        <w:ind w:left="1820" w:hanging="2245"/>
        <w:spacing w:after="0" w:line="282" w:lineRule="auto"/>
        <w:tabs>
          <w:tab w:leader="none" w:pos="180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Subject to any Capitalization Adjustment, one share of Common Stock (or its cash equivalent, at the discretion of the Company) will be issued for each Restricted Stock Unit that vests at the time set forth in Section 6 of the Award Agreement.</w:t>
      </w:r>
    </w:p>
    <w:p>
      <w:pPr>
        <w:spacing w:after="0" w:line="2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Additional Terms/Acknowledgements: </w:t>
      </w:r>
      <w:r>
        <w:rPr>
          <w:rFonts w:ascii="Times New Roman" w:cs="Times New Roman" w:eastAsia="Times New Roman" w:hAnsi="Times New Roman"/>
          <w:sz w:val="18"/>
          <w:szCs w:val="18"/>
          <w:color w:val="auto"/>
        </w:rPr>
        <w:t>Participant acknowledges receipt of, and understands and agrees to, this Restricted Stock Unit Grant Notice,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and the Plan. Participant further acknowledges that as of the Date of Grant, this Restricted Stock Unit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restricted stock unit awards or options previously granted and delivered to Participant, (ii) the written employment agreement, offer letter or other written agreement entered into between the Company and Participant specifying the terms that should govern this specific Award, and (iii) any compensation recovery policy that is adopted by the Company or is otherwise required by applicable law.</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accepting this Award, Participant acknowledges having received and read the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28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ersonalis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tab/>
        <w:t>P</w:t>
      </w:r>
      <w:r>
        <w:rPr>
          <w:rFonts w:ascii="Times New Roman" w:cs="Times New Roman" w:eastAsia="Times New Roman" w:hAnsi="Times New Roman"/>
          <w:sz w:val="12"/>
          <w:szCs w:val="12"/>
          <w:b w:val="1"/>
          <w:bCs w:val="1"/>
          <w:color w:val="auto"/>
        </w:rPr>
        <w:t>articipant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349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2">
                      <a:extLst>
                        <a:ext uri="{28A0092B-C50C-407E-A947-70E740481C1C}"/>
                      </a:extLst>
                    </a:blip>
                    <a:srcRect/>
                    <a:stretch>
                      <a:fillRect/>
                    </a:stretch>
                  </pic:blipFill>
                  <pic:spPr bwMode="auto">
                    <a:xfrm>
                      <a:off x="0" y="0"/>
                      <a:ext cx="34925" cy="8255"/>
                    </a:xfrm>
                    <a:prstGeom prst="rect">
                      <a:avLst/>
                    </a:prstGeom>
                    <a:noFill/>
                  </pic:spPr>
                </pic:pic>
              </a:graphicData>
            </a:graphic>
          </wp:anchor>
        </w:drawing>
        <w:drawing>
          <wp:anchor simplePos="0" relativeHeight="251657728" behindDoc="1" locked="0" layoutInCell="0" allowOverlap="1">
            <wp:simplePos x="0" y="0"/>
            <wp:positionH relativeFrom="column">
              <wp:posOffset>462280</wp:posOffset>
            </wp:positionH>
            <wp:positionV relativeFrom="paragraph">
              <wp:posOffset>-7620</wp:posOffset>
            </wp:positionV>
            <wp:extent cx="2286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Signature Signature</w:t>
      </w:r>
    </w:p>
    <w:p>
      <w:pPr>
        <w:spacing w:after="0" w:line="20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-7620</wp:posOffset>
            </wp:positionV>
            <wp:extent cx="18478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4">
                      <a:extLst>
                        <a:ext uri="{28A0092B-C50C-407E-A947-70E740481C1C}"/>
                      </a:extLst>
                    </a:blip>
                    <a:srcRect/>
                    <a:stretch>
                      <a:fillRect/>
                    </a:stretch>
                  </pic:blipFill>
                  <pic:spPr bwMode="auto">
                    <a:xfrm>
                      <a:off x="0" y="0"/>
                      <a:ext cx="184785" cy="889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-7620</wp:posOffset>
            </wp:positionV>
            <wp:extent cx="1809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5">
                      <a:extLst>
                        <a:ext uri="{28A0092B-C50C-407E-A947-70E740481C1C}"/>
                      </a:extLst>
                    </a:blip>
                    <a:srcRect/>
                    <a:stretch>
                      <a:fillRect/>
                    </a:stretch>
                  </pic:blipFill>
                  <pic:spPr bwMode="auto">
                    <a:xfrm>
                      <a:off x="0" y="0"/>
                      <a:ext cx="1809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-7620</wp:posOffset>
            </wp:positionV>
            <wp:extent cx="20955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6">
                      <a:extLst>
                        <a:ext uri="{28A0092B-C50C-407E-A947-70E740481C1C}"/>
                      </a:extLst>
                    </a:blip>
                    <a:srcRect/>
                    <a:stretch>
                      <a:fillRect/>
                    </a:stretch>
                  </pic:blipFill>
                  <pic:spPr bwMode="auto">
                    <a:xfrm>
                      <a:off x="0" y="0"/>
                      <a:ext cx="209550" cy="8255"/>
                    </a:xfrm>
                    <a:prstGeom prst="rect">
                      <a:avLst/>
                    </a:prstGeom>
                    <a:noFill/>
                  </pic:spPr>
                </pic:pic>
              </a:graphicData>
            </a:graphic>
          </wp:anchor>
        </w:drawing>
      </w:r>
    </w:p>
    <w:p>
      <w:pPr>
        <w:spacing w:after="0" w:line="20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ttachments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Award Agreement and 2020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1" w:name="page122"/>
    <w:bookmarkEnd w:id="121"/>
    <w:p>
      <w:pPr>
        <w:ind w:left="500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22"/>
          <w:szCs w:val="22"/>
          <w:b w:val="1"/>
          <w:bCs w:val="1"/>
          <w:color w:val="auto"/>
        </w:rPr>
        <w:t xml:space="preserve"> I</w:t>
      </w:r>
    </w:p>
    <w:p>
      <w:pPr>
        <w:spacing w:after="0" w:line="20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ersonalis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2020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9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Pursuant to the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this Restricted Stock Unit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Personalis,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awarded you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 Restricted Stock Unit Award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pursuant to the Company’s 2020 Inducement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for the number of Restricted Stock Units/shares indicated in the Grant Notice. The Award is granted in compliance with Nasdaq Listing Rule 5635(c)(4) as a material inducement to you entering into employment with the Company. Capitalized terms not explicitly defined in this Agreement or the Grant Notice shall have the same meanings given to them in the Plan. The terms of your Award, in addition to those set forth in the Grant Notice, are as follows.</w:t>
      </w:r>
    </w:p>
    <w:p>
      <w:pPr>
        <w:spacing w:after="0" w:line="192" w:lineRule="exact"/>
        <w:rPr>
          <w:sz w:val="20"/>
          <w:szCs w:val="20"/>
          <w:color w:val="auto"/>
        </w:rPr>
      </w:pPr>
    </w:p>
    <w:p>
      <w:pPr>
        <w:jc w:val="both"/>
        <w:ind w:firstLine="757"/>
        <w:spacing w:after="0"/>
        <w:tabs>
          <w:tab w:leader="none" w:pos="1018"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rant of the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Award represents the right to be issued on a future date one (1) share of Common Stock for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Times New Roman" w:cs="Times New Roman" w:eastAsia="Times New Roman" w:hAnsi="Times New Roman"/>
          <w:sz w:val="20"/>
          <w:szCs w:val="20"/>
          <w:b w:val="1"/>
          <w:bCs w:val="1"/>
          <w:i w:val="1"/>
          <w:iCs w:val="1"/>
          <w:color w:val="auto"/>
        </w:rPr>
        <w:t>Account</w:t>
      </w:r>
      <w:r>
        <w:rPr>
          <w:rFonts w:ascii="Times New Roman" w:cs="Times New Roman" w:eastAsia="Times New Roman" w:hAnsi="Times New Roman"/>
          <w:sz w:val="20"/>
          <w:szCs w:val="20"/>
          <w:color w:val="auto"/>
        </w:rPr>
        <w:t>”) the number of Restricted Stock Units/shares of Common Stock subject to the Award. Notwithstanding the foregoing, the Company reserves the right to issue you the cash equivalent of Common Stock, in part or in full satisfaction of the delivery of Common Stock in connection with the vesting of the Restricted Stock Units, and, to the extent applicable, references in this Agreement and the Grant Notice to Common Stock issuable in connection with your Restricted Stock Units will include the potential issuance of its cash equivalent pursuant to such right. This Award was granted in consideration of your services to the Company.</w:t>
      </w:r>
    </w:p>
    <w:p>
      <w:pPr>
        <w:spacing w:after="0" w:line="202" w:lineRule="exact"/>
        <w:rPr>
          <w:rFonts w:ascii="Times New Roman" w:cs="Times New Roman" w:eastAsia="Times New Roman" w:hAnsi="Times New Roman"/>
          <w:sz w:val="22"/>
          <w:szCs w:val="22"/>
          <w:b w:val="1"/>
          <w:bCs w:val="1"/>
          <w:color w:val="auto"/>
        </w:rPr>
      </w:pPr>
    </w:p>
    <w:p>
      <w:pPr>
        <w:jc w:val="both"/>
        <w:ind w:firstLine="757"/>
        <w:spacing w:after="0" w:line="242" w:lineRule="auto"/>
        <w:tabs>
          <w:tab w:leader="none" w:pos="1018"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esting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limitations contained herein, your Award will vest, if at all, in accordance with the vesting schedule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in the Grant Notice. Vesting will cease upon the termination of your Continuous Service and the Restricted Stock Units credited to the Account that were not vested on the date of such termination will be forfeited at no cost to the Company and you will have no further right, title or interest in or to such Award or the shares of Common Stock to be issued in respect of such portion of the Award.</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umber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number of Restricted Stock Units subject to your Award may be adjusted from time to time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97"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ecurities</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ompliance</w:t>
      </w:r>
      <w:r>
        <w:rPr>
          <w:rFonts w:ascii="Times New Roman" w:cs="Times New Roman" w:eastAsia="Times New Roman" w:hAnsi="Times New Roman"/>
          <w:sz w:val="20"/>
          <w:szCs w:val="20"/>
          <w:color w:val="auto"/>
        </w:rPr>
        <w:t>. You may not be issued any Common Stock under your Award unless the shares of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spacing w:after="0" w:line="199" w:lineRule="exact"/>
        <w:rPr>
          <w:rFonts w:ascii="Times New Roman" w:cs="Times New Roman" w:eastAsia="Times New Roman" w:hAnsi="Times New Roman"/>
          <w:sz w:val="22"/>
          <w:szCs w:val="22"/>
          <w:b w:val="1"/>
          <w:bCs w:val="1"/>
          <w:color w:val="auto"/>
        </w:rPr>
      </w:pPr>
    </w:p>
    <w:p>
      <w:pPr>
        <w:jc w:val="both"/>
        <w:ind w:firstLine="757"/>
        <w:spacing w:after="0" w:line="242" w:lineRule="auto"/>
        <w:tabs>
          <w:tab w:leader="none" w:pos="1018"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ransfer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estrictions</w:t>
      </w:r>
      <w:r>
        <w:rPr>
          <w:rFonts w:ascii="Times New Roman" w:cs="Times New Roman" w:eastAsia="Times New Roman" w:hAnsi="Times New Roman"/>
          <w:sz w:val="20"/>
          <w:szCs w:val="20"/>
          <w:color w:val="auto"/>
        </w:rPr>
        <w:t>. Prior to the time that shares of Common Stock have been delivered to you, you may not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22" w:name="page123"/>
    <w:bookmarkEnd w:id="122"/>
    <w:p>
      <w:pPr>
        <w:jc w:val="both"/>
        <w:ind w:firstLine="1505"/>
        <w:spacing w:after="0" w:line="244" w:lineRule="auto"/>
        <w:tabs>
          <w:tab w:leader="none" w:pos="2036" w:val="left"/>
        </w:tabs>
        <w:numPr>
          <w:ilvl w:val="1"/>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Death</w:t>
      </w:r>
      <w:r>
        <w:rPr>
          <w:rFonts w:ascii="Times New Roman" w:cs="Times New Roman" w:eastAsia="Times New Roman" w:hAnsi="Times New Roman"/>
          <w:sz w:val="20"/>
          <w:szCs w:val="20"/>
          <w:color w:val="auto"/>
        </w:rPr>
        <w:t>. Your Award is transferable by will and by the laws of descent and distribution. At your death, vesting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Award will cease and your executor or administrator of your estate shall be entitled to receive, on behalf of your estate, any Common Stock or other consideration that vested but was not issued before your death.</w:t>
      </w:r>
    </w:p>
    <w:p>
      <w:pPr>
        <w:spacing w:after="0" w:line="193"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1"/>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Domestic Relations Orders. </w:t>
      </w:r>
      <w:r>
        <w:rPr>
          <w:rFonts w:ascii="Times New Roman" w:cs="Times New Roman" w:eastAsia="Times New Roman" w:hAnsi="Times New Roman"/>
          <w:sz w:val="20"/>
          <w:szCs w:val="20"/>
          <w:color w:val="auto"/>
        </w:rPr>
        <w:t>Upon receiving written permission from the Board or its duly authorized designee,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provided that you and the designated transferee enter into transfer and other agreements required by the Company, you may transfer your right to receive the distribution of Common Stock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9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ate of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ssuance</w:t>
      </w:r>
      <w:r>
        <w:rPr>
          <w:rFonts w:ascii="Times New Roman" w:cs="Times New Roman" w:eastAsia="Times New Roman" w:hAnsi="Times New Roman"/>
          <w:sz w:val="20"/>
          <w:szCs w:val="20"/>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tabs>
          <w:tab w:leader="none" w:pos="2036"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issuance of shares in respect of the Restricted Stock Units is intended to comply with Treasury Regulations Section 1.409A-1(b)(4) and will be construed and administered in such a manner. Subject to the satisfaction of the Withholding Obligation set forth in Section 11 of this Agreement,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Times New Roman" w:cs="Times New Roman" w:eastAsia="Times New Roman" w:hAnsi="Times New Roman"/>
          <w:sz w:val="20"/>
          <w:szCs w:val="20"/>
          <w:b w:val="1"/>
          <w:bCs w:val="1"/>
          <w:i w:val="1"/>
          <w:iCs w:val="1"/>
          <w:color w:val="auto"/>
        </w:rPr>
        <w:t>Original Issuance Date</w:t>
      </w:r>
      <w:r>
        <w:rPr>
          <w:rFonts w:ascii="Times New Roman" w:cs="Times New Roman" w:eastAsia="Times New Roman" w:hAnsi="Times New Roman"/>
          <w:sz w:val="20"/>
          <w:szCs w:val="20"/>
          <w:color w:val="auto"/>
        </w:rPr>
        <w:t>”.</w:t>
      </w:r>
    </w:p>
    <w:p>
      <w:pPr>
        <w:spacing w:after="0" w:line="203" w:lineRule="exact"/>
        <w:rPr>
          <w:rFonts w:ascii="Times New Roman" w:cs="Times New Roman" w:eastAsia="Times New Roman" w:hAnsi="Times New Roman"/>
          <w:sz w:val="22"/>
          <w:szCs w:val="22"/>
          <w:b w:val="1"/>
          <w:bCs w:val="1"/>
          <w:color w:val="auto"/>
        </w:rPr>
      </w:pPr>
    </w:p>
    <w:p>
      <w:pPr>
        <w:ind w:firstLine="1505"/>
        <w:spacing w:after="0" w:line="245" w:lineRule="auto"/>
        <w:tabs>
          <w:tab w:leader="none" w:pos="2036"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If the Original Issuance Date falls on a date that is not a business day, delivery shall instead occur on the next following business day. In addition, if:</w:t>
      </w:r>
    </w:p>
    <w:p>
      <w:pPr>
        <w:spacing w:after="0" w:line="195" w:lineRule="exact"/>
        <w:rPr>
          <w:rFonts w:ascii="Times New Roman" w:cs="Times New Roman" w:eastAsia="Times New Roman" w:hAnsi="Times New Roman"/>
          <w:sz w:val="22"/>
          <w:szCs w:val="22"/>
          <w:b w:val="1"/>
          <w:bCs w:val="1"/>
          <w:color w:val="auto"/>
        </w:rPr>
      </w:pPr>
    </w:p>
    <w:p>
      <w:pPr>
        <w:jc w:val="both"/>
        <w:ind w:firstLine="2254"/>
        <w:spacing w:after="0"/>
        <w:tabs>
          <w:tab w:leader="none" w:pos="2546" w:val="left"/>
        </w:tabs>
        <w:numPr>
          <w:ilvl w:val="2"/>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20"/>
          <w:szCs w:val="20"/>
          <w:b w:val="1"/>
          <w:bCs w:val="1"/>
          <w:i w:val="1"/>
          <w:iCs w:val="1"/>
          <w:color w:val="auto"/>
        </w:rPr>
        <w:t>10b5-1 Arrangement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w:t>
      </w:r>
    </w:p>
    <w:p>
      <w:pPr>
        <w:spacing w:after="0" w:line="204" w:lineRule="exact"/>
        <w:rPr>
          <w:rFonts w:ascii="Times New Roman" w:cs="Times New Roman" w:eastAsia="Times New Roman" w:hAnsi="Times New Roman"/>
          <w:sz w:val="22"/>
          <w:szCs w:val="22"/>
          <w:b w:val="1"/>
          <w:bCs w:val="1"/>
          <w:color w:val="auto"/>
        </w:rPr>
      </w:pPr>
    </w:p>
    <w:p>
      <w:pPr>
        <w:jc w:val="both"/>
        <w:ind w:firstLine="2254"/>
        <w:spacing w:after="0"/>
        <w:tabs>
          <w:tab w:leader="none" w:pos="2546" w:val="left"/>
        </w:tabs>
        <w:numPr>
          <w:ilvl w:val="2"/>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pursuant to Section 11 of this Agreement (including but not limited to a commitment under a 10b5-1 Arrangement) and (C) not to permit you to pay your Withholding Obligation in cash,</w:t>
      </w:r>
    </w:p>
    <w:p>
      <w:pPr>
        <w:spacing w:after="0" w:line="19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then</w:t>
      </w:r>
      <w:r>
        <w:rPr>
          <w:rFonts w:ascii="Times New Roman" w:cs="Times New Roman" w:eastAsia="Times New Roman" w:hAnsi="Times New Roman"/>
          <w:sz w:val="20"/>
          <w:szCs w:val="20"/>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20"/>
          <w:szCs w:val="20"/>
          <w:u w:val="single" w:color="auto"/>
          <w:color w:val="auto"/>
        </w:rPr>
        <w:t>if and only if</w:t>
      </w:r>
      <w:r>
        <w:rPr>
          <w:rFonts w:ascii="Times New Roman" w:cs="Times New Roman" w:eastAsia="Times New Roman" w:hAnsi="Times New Roman"/>
          <w:sz w:val="20"/>
          <w:szCs w:val="20"/>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95" w:lineRule="exact"/>
        <w:rPr>
          <w:sz w:val="20"/>
          <w:szCs w:val="20"/>
          <w:color w:val="auto"/>
        </w:rPr>
      </w:pPr>
    </w:p>
    <w:p>
      <w:pPr>
        <w:ind w:left="2040" w:hanging="535"/>
        <w:spacing w:after="0"/>
        <w:tabs>
          <w:tab w:leader="none" w:pos="2040" w:val="left"/>
        </w:tabs>
        <w:numPr>
          <w:ilvl w:val="0"/>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The form of delivery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 stock certificate or electronic entry evidencing such shares) shall be determined by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23" w:name="page124"/>
    <w:bookmarkEnd w:id="123"/>
    <w:p>
      <w:pPr>
        <w:jc w:val="both"/>
        <w:ind w:firstLine="757"/>
        <w:spacing w:after="0" w:line="244" w:lineRule="auto"/>
        <w:tabs>
          <w:tab w:leader="none" w:pos="1018"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ividends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shall receive no benefit or adjustment to your Award with respect to any cash dividend, stock dividend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distribution that 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93" w:lineRule="exact"/>
        <w:rPr>
          <w:rFonts w:ascii="Times New Roman" w:cs="Times New Roman" w:eastAsia="Times New Roman" w:hAnsi="Times New Roman"/>
          <w:sz w:val="22"/>
          <w:szCs w:val="22"/>
          <w:b w:val="1"/>
          <w:bCs w:val="1"/>
          <w:color w:val="auto"/>
        </w:rPr>
      </w:pPr>
    </w:p>
    <w:p>
      <w:pPr>
        <w:ind w:firstLine="757"/>
        <w:spacing w:after="0" w:line="249" w:lineRule="auto"/>
        <w:tabs>
          <w:tab w:leader="none" w:pos="1018"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estrictive</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egends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shares of Common Stock issued in respect of your Award shall be endorsed with appropriate legends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determined by the Company.</w:t>
      </w:r>
    </w:p>
    <w:p>
      <w:pPr>
        <w:spacing w:after="0" w:line="187" w:lineRule="exact"/>
        <w:rPr>
          <w:rFonts w:ascii="Times New Roman" w:cs="Times New Roman" w:eastAsia="Times New Roman" w:hAnsi="Times New Roman"/>
          <w:sz w:val="22"/>
          <w:szCs w:val="22"/>
          <w:b w:val="1"/>
          <w:bCs w:val="1"/>
          <w:color w:val="auto"/>
        </w:rPr>
      </w:pPr>
    </w:p>
    <w:p>
      <w:pPr>
        <w:jc w:val="both"/>
        <w:ind w:firstLine="757"/>
        <w:spacing w:after="0" w:line="242" w:lineRule="auto"/>
        <w:tabs>
          <w:tab w:leader="none" w:pos="1018"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xecution of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hereby acknowledge and agree that the manner selected by the Company by which you indicate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ward not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3"/>
          <w:szCs w:val="13"/>
          <w:b w:val="1"/>
          <w:bCs w:val="1"/>
          <w:color w:val="auto"/>
        </w:rPr>
        <w:t>ontract</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firstLine="1505"/>
        <w:spacing w:after="0"/>
        <w:tabs>
          <w:tab w:leader="none" w:pos="2036"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203" w:lineRule="exact"/>
        <w:rPr>
          <w:rFonts w:ascii="Times New Roman" w:cs="Times New Roman" w:eastAsia="Times New Roman" w:hAnsi="Times New Roman"/>
          <w:sz w:val="22"/>
          <w:szCs w:val="22"/>
          <w:b w:val="1"/>
          <w:bCs w:val="1"/>
          <w:color w:val="auto"/>
        </w:rPr>
      </w:pPr>
    </w:p>
    <w:p>
      <w:pPr>
        <w:jc w:val="both"/>
        <w:ind w:firstLine="1505"/>
        <w:spacing w:after="0"/>
        <w:tabs>
          <w:tab w:leader="none" w:pos="2036"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Times New Roman" w:cs="Times New Roman" w:eastAsia="Times New Roman" w:hAnsi="Times New Roman"/>
          <w:sz w:val="20"/>
          <w:szCs w:val="20"/>
          <w:b w:val="1"/>
          <w:bCs w:val="1"/>
          <w:i w:val="1"/>
          <w:iCs w:val="1"/>
          <w:color w:val="auto"/>
        </w:rPr>
        <w:t>reorganization</w:t>
      </w:r>
      <w:r>
        <w:rPr>
          <w:rFonts w:ascii="Times New Roman" w:cs="Times New Roman" w:eastAsia="Times New Roman" w:hAnsi="Times New Roman"/>
          <w:sz w:val="20"/>
          <w:szCs w:val="20"/>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19"/>
          <w:szCs w:val="19"/>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O</w:t>
      </w:r>
      <w:r>
        <w:rPr>
          <w:rFonts w:ascii="Times New Roman" w:cs="Times New Roman" w:eastAsia="Times New Roman" w:hAnsi="Times New Roman"/>
          <w:sz w:val="13"/>
          <w:szCs w:val="13"/>
          <w:b w:val="1"/>
          <w:bCs w:val="1"/>
          <w:color w:val="auto"/>
        </w:rPr>
        <w:t>bligation</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firstLine="1505"/>
        <w:spacing w:after="0" w:line="246" w:lineRule="auto"/>
        <w:tabs>
          <w:tab w:leader="none" w:pos="189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vesting date, and on or before the time you receive a distribution of the shares of Common Stock in respect of your Restricted Stock Units, and at any other time as reasonably requested by the Company in accordance with applicable tax laws, you hereby authorize any required withholding from the Common Stock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Times New Roman" w:cs="Times New Roman" w:eastAsia="Times New Roman" w:hAnsi="Times New Roman"/>
          <w:sz w:val="20"/>
          <w:szCs w:val="20"/>
          <w:b w:val="1"/>
          <w:bCs w:val="1"/>
          <w:i w:val="1"/>
          <w:iCs w:val="1"/>
          <w:color w:val="auto"/>
        </w:rPr>
        <w:t>Withholding Obligation</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accepting this Award, you acknowledge and agree that the Company or any Affiliate may, in its sole discretion, satisfy all or any portion of the Withholding Obligation relating to your Restricted Stock Units by any of the following means or by a combination of such means: (i) causing you to pay any portion of the Withholding Obligation in cash; (ii) withholding from any compensation otherwise payable to you by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24" w:name="page125"/>
    <w:bookmarkEnd w:id="124"/>
    <w:p>
      <w:pPr>
        <w:jc w:val="both"/>
        <w:ind w:firstLine="8"/>
        <w:spacing w:after="0" w:line="241" w:lineRule="auto"/>
        <w:tabs>
          <w:tab w:leader="none" w:pos="36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withholding shares of Common Stock from the shares of Common Stock issued or otherwise issuable to you in connection with the Award with a Fair Market Value (measured as of the date shares of Common Stock are issued pursuant to Section 6) equal to the amount of such Withholding Obligation; provided, however, that the number of such shares of Common Stock so withheld will not exceed the amount necessary to satisfy the Withholding Obligation using the maximum statutory withholding rates for federal, state, local and foreign tax purposes, including payroll taxes, that are applicable to supplemental taxable income;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Times New Roman" w:cs="Times New Roman" w:eastAsia="Times New Roman" w:hAnsi="Times New Roman"/>
          <w:sz w:val="20"/>
          <w:szCs w:val="20"/>
          <w:b w:val="1"/>
          <w:bCs w:val="1"/>
          <w:i w:val="1"/>
          <w:iCs w:val="1"/>
          <w:color w:val="auto"/>
        </w:rPr>
        <w:t>FINRA Dealer</w:t>
      </w:r>
      <w:r>
        <w:rPr>
          <w:rFonts w:ascii="Times New Roman" w:cs="Times New Roman" w:eastAsia="Times New Roman" w:hAnsi="Times New Roman"/>
          <w:sz w:val="20"/>
          <w:szCs w:val="20"/>
          <w:color w:val="auto"/>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Common Stock or any other consideration pursuant to this Award.</w:t>
      </w:r>
    </w:p>
    <w:p>
      <w:pPr>
        <w:spacing w:after="0" w:line="197"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Withholding Obligation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6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19"/>
          <w:szCs w:val="19"/>
          <w:b w:val="1"/>
          <w:bCs w:val="1"/>
          <w:color w:val="auto"/>
        </w:rPr>
        <w:t>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3"/>
          <w:szCs w:val="13"/>
          <w:b w:val="1"/>
          <w:bCs w:val="1"/>
          <w:color w:val="auto"/>
        </w:rPr>
        <w:t>onsequences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Company has no duty or obligation to minimize the tax consequences to you of this Award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16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19"/>
          <w:szCs w:val="19"/>
          <w:b w:val="1"/>
          <w:bCs w:val="1"/>
          <w:color w:val="auto"/>
        </w:rPr>
        <w:t>U</w:t>
      </w:r>
      <w:r>
        <w:rPr>
          <w:rFonts w:ascii="Times New Roman" w:cs="Times New Roman" w:eastAsia="Times New Roman" w:hAnsi="Times New Roman"/>
          <w:sz w:val="13"/>
          <w:szCs w:val="13"/>
          <w:b w:val="1"/>
          <w:bCs w:val="1"/>
          <w:color w:val="auto"/>
        </w:rPr>
        <w:t>nsecured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O</w:t>
      </w:r>
      <w:r>
        <w:rPr>
          <w:rFonts w:ascii="Times New Roman" w:cs="Times New Roman" w:eastAsia="Times New Roman" w:hAnsi="Times New Roman"/>
          <w:sz w:val="13"/>
          <w:szCs w:val="13"/>
          <w:b w:val="1"/>
          <w:bCs w:val="1"/>
          <w:color w:val="auto"/>
        </w:rPr>
        <w:t>bligation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Your Award is unfunded, and as a holder of a vested Award, you shall be considered an unsecured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creditor of the 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6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19"/>
          <w:szCs w:val="19"/>
          <w:b w:val="1"/>
          <w:bCs w:val="1"/>
          <w:color w:val="auto"/>
        </w:rPr>
        <w:t>N</w:t>
      </w:r>
      <w:r>
        <w:rPr>
          <w:rFonts w:ascii="Times New Roman" w:cs="Times New Roman" w:eastAsia="Times New Roman" w:hAnsi="Times New Roman"/>
          <w:sz w:val="13"/>
          <w:szCs w:val="13"/>
          <w:b w:val="1"/>
          <w:bCs w:val="1"/>
          <w:color w:val="auto"/>
        </w:rPr>
        <w:t>otices</w:t>
      </w:r>
      <w:r>
        <w:rPr>
          <w:rFonts w:ascii="Times New Roman" w:cs="Times New Roman" w:eastAsia="Times New Roman" w:hAnsi="Times New Roman"/>
          <w:sz w:val="19"/>
          <w:szCs w:val="19"/>
          <w:color w:val="auto"/>
        </w:rPr>
        <w:t>. Any notice or request required or permitted hereunder shall be given in writing (including electronically) and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0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19"/>
          <w:szCs w:val="19"/>
          <w:b w:val="1"/>
          <w:bCs w:val="1"/>
          <w:color w:val="auto"/>
        </w:rPr>
        <w:t>H</w:t>
      </w:r>
      <w:r>
        <w:rPr>
          <w:rFonts w:ascii="Times New Roman" w:cs="Times New Roman" w:eastAsia="Times New Roman" w:hAnsi="Times New Roman"/>
          <w:sz w:val="13"/>
          <w:szCs w:val="13"/>
          <w:b w:val="1"/>
          <w:bCs w:val="1"/>
          <w:color w:val="auto"/>
        </w:rPr>
        <w:t>eadings</w:t>
      </w:r>
      <w:r>
        <w:rPr>
          <w:rFonts w:ascii="Times New Roman" w:cs="Times New Roman" w:eastAsia="Times New Roman" w:hAnsi="Times New Roman"/>
          <w:sz w:val="19"/>
          <w:szCs w:val="19"/>
          <w:color w:val="auto"/>
        </w:rPr>
        <w:t>. The headings of the Sections in this Agreement are inserted for convenience only and shall not be deemed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constitute a part of this Agreement or to affect the meaning of this Agreement.</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16.</w:t>
      </w:r>
      <w:r>
        <w:rPr>
          <w:rFonts w:ascii="Times New Roman" w:cs="Times New Roman" w:eastAsia="Times New Roman" w:hAnsi="Times New Roman"/>
          <w:sz w:val="19"/>
          <w:szCs w:val="19"/>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ind w:left="2040" w:hanging="535"/>
        <w:spacing w:after="0"/>
        <w:tabs>
          <w:tab w:leader="none" w:pos="204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rights and obligations of the Company under your Award shall be transferable by the</w:t>
      </w:r>
    </w:p>
    <w:p>
      <w:pPr>
        <w:spacing w:after="0" w:line="192" w:lineRule="exact"/>
        <w:rPr>
          <w:rFonts w:ascii="Times New Roman" w:cs="Times New Roman" w:eastAsia="Times New Roman" w:hAnsi="Times New Roman"/>
          <w:sz w:val="22"/>
          <w:szCs w:val="22"/>
          <w:b w:val="1"/>
          <w:bCs w:val="1"/>
          <w:color w:val="auto"/>
        </w:rPr>
      </w:pPr>
    </w:p>
    <w:p>
      <w:pPr>
        <w:ind w:left="55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25" w:name="page126"/>
    <w:bookmarkEnd w:id="125"/>
    <w:p>
      <w:pPr>
        <w:ind w:right="20"/>
        <w:spacing w:after="0" w:line="269" w:lineRule="auto"/>
        <w:rPr>
          <w:sz w:val="20"/>
          <w:szCs w:val="20"/>
          <w:color w:val="auto"/>
        </w:rPr>
      </w:pPr>
      <w:r>
        <w:rPr>
          <w:rFonts w:ascii="Times New Roman" w:cs="Times New Roman" w:eastAsia="Times New Roman" w:hAnsi="Times New Roman"/>
          <w:sz w:val="20"/>
          <w:szCs w:val="20"/>
          <w:color w:val="auto"/>
        </w:rPr>
        <w:t>Company to any one or more persons or entities, and all covenants and agreements hereunder shall inure to the benefit of, and be enforceable by, the Company’s successors and assigns.</w:t>
      </w:r>
    </w:p>
    <w:p>
      <w:pPr>
        <w:spacing w:after="0" w:line="173" w:lineRule="exact"/>
        <w:rPr>
          <w:sz w:val="20"/>
          <w:szCs w:val="20"/>
          <w:color w:val="auto"/>
        </w:rPr>
      </w:pPr>
    </w:p>
    <w:p>
      <w:pPr>
        <w:ind w:firstLine="1505"/>
        <w:spacing w:after="0" w:line="245" w:lineRule="auto"/>
        <w:tabs>
          <w:tab w:leader="none" w:pos="2036"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You agree upon request to execute any further documents or instruments necessary or desirable in the sole determination of the Company to carry out the purposes or intent of your Award.</w:t>
      </w:r>
    </w:p>
    <w:p>
      <w:pPr>
        <w:spacing w:after="0" w:line="195" w:lineRule="exact"/>
        <w:rPr>
          <w:rFonts w:ascii="Times New Roman" w:cs="Times New Roman" w:eastAsia="Times New Roman" w:hAnsi="Times New Roman"/>
          <w:sz w:val="22"/>
          <w:szCs w:val="22"/>
          <w:b w:val="1"/>
          <w:bCs w:val="1"/>
          <w:color w:val="auto"/>
        </w:rPr>
      </w:pPr>
    </w:p>
    <w:p>
      <w:pPr>
        <w:ind w:firstLine="1505"/>
        <w:spacing w:after="0" w:line="245" w:lineRule="auto"/>
        <w:tabs>
          <w:tab w:leader="none" w:pos="2036"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95" w:lineRule="exact"/>
        <w:rPr>
          <w:rFonts w:ascii="Times New Roman" w:cs="Times New Roman" w:eastAsia="Times New Roman" w:hAnsi="Times New Roman"/>
          <w:sz w:val="22"/>
          <w:szCs w:val="22"/>
          <w:b w:val="1"/>
          <w:bCs w:val="1"/>
          <w:color w:val="auto"/>
        </w:rPr>
      </w:pPr>
    </w:p>
    <w:p>
      <w:pPr>
        <w:ind w:firstLine="1505"/>
        <w:spacing w:after="0" w:line="245" w:lineRule="auto"/>
        <w:tabs>
          <w:tab w:leader="none" w:pos="2036"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This Agreement shall be subject to all applicable laws, rules, and regulations, and to such approvals by any governmental agencies or national securities exchanges as may be required.</w:t>
      </w:r>
    </w:p>
    <w:p>
      <w:pPr>
        <w:spacing w:after="0" w:line="195" w:lineRule="exact"/>
        <w:rPr>
          <w:rFonts w:ascii="Times New Roman" w:cs="Times New Roman" w:eastAsia="Times New Roman" w:hAnsi="Times New Roman"/>
          <w:sz w:val="22"/>
          <w:szCs w:val="22"/>
          <w:b w:val="1"/>
          <w:bCs w:val="1"/>
          <w:color w:val="auto"/>
        </w:rPr>
      </w:pPr>
    </w:p>
    <w:p>
      <w:pPr>
        <w:jc w:val="both"/>
        <w:ind w:right="20" w:firstLine="1505"/>
        <w:spacing w:after="0" w:line="242" w:lineRule="auto"/>
        <w:tabs>
          <w:tab w:leader="none" w:pos="2036"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19"/>
          <w:szCs w:val="19"/>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9"/>
          <w:szCs w:val="19"/>
          <w:color w:val="auto"/>
        </w:rPr>
        <w:t>. Your Award is subject to all the provisions of the Plan, the provisions of which are hereby made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6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3"/>
          <w:szCs w:val="13"/>
          <w:b w:val="1"/>
          <w:bCs w:val="1"/>
          <w:color w:val="auto"/>
        </w:rPr>
        <w:t>ffect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3"/>
          <w:szCs w:val="13"/>
          <w:b w:val="1"/>
          <w:bCs w:val="1"/>
          <w:color w:val="auto"/>
        </w:rPr>
        <w:t>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B</w:t>
      </w:r>
      <w:r>
        <w:rPr>
          <w:rFonts w:ascii="Times New Roman" w:cs="Times New Roman" w:eastAsia="Times New Roman" w:hAnsi="Times New Roman"/>
          <w:sz w:val="13"/>
          <w:szCs w:val="13"/>
          <w:b w:val="1"/>
          <w:bCs w:val="1"/>
          <w:color w:val="auto"/>
        </w:rPr>
        <w:t>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3"/>
          <w:szCs w:val="13"/>
          <w:b w:val="1"/>
          <w:bCs w:val="1"/>
          <w:color w:val="auto"/>
        </w:rPr>
        <w:t>lans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value of the Award subject to this Agreement shall not be included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6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19.</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9"/>
          <w:szCs w:val="19"/>
          <w:color w:val="auto"/>
        </w:rPr>
        <w:t>. If all or any part of this Agreement or the Plan is declared by any court or governmental authority to be unlawful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60"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b w:val="1"/>
          <w:bCs w:val="1"/>
          <w:color w:val="auto"/>
        </w:rPr>
        <w:t>20.</w:t>
      </w:r>
      <w:r>
        <w:rPr>
          <w:rFonts w:ascii="Times New Roman" w:cs="Times New Roman" w:eastAsia="Times New Roman" w:hAnsi="Times New Roman"/>
          <w:sz w:val="19"/>
          <w:szCs w:val="19"/>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9"/>
          <w:szCs w:val="19"/>
          <w:color w:val="auto"/>
        </w:rPr>
        <w:t>. You hereby acknowledge receipt or the right to receive a document providing the information required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Rule 428(b)(1) 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5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2"/>
          <w:szCs w:val="22"/>
          <w:b w:val="1"/>
          <w:bCs w:val="1"/>
          <w:color w:val="auto"/>
        </w:rPr>
        <w:t>21.</w:t>
      </w: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This Agreement may not be modified, amended or terminated except by an instrument in writing, signed by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26" w:name="page127"/>
    <w:bookmarkEnd w:id="126"/>
    <w:p>
      <w:pPr>
        <w:jc w:val="both"/>
        <w:spacing w:after="0" w:line="269" w:lineRule="auto"/>
        <w:rPr>
          <w:sz w:val="20"/>
          <w:szCs w:val="20"/>
          <w:color w:val="auto"/>
        </w:rPr>
      </w:pPr>
      <w:r>
        <w:rPr>
          <w:rFonts w:ascii="Times New Roman" w:cs="Times New Roman" w:eastAsia="Times New Roman" w:hAnsi="Times New Roman"/>
          <w:sz w:val="20"/>
          <w:szCs w:val="20"/>
          <w:color w:val="auto"/>
        </w:rPr>
        <w:t>ruling, or judicial decision, provided that any such change shall be applicable only to rights relating to that portion of the Award which is then subject to restrictions as provided herein.</w:t>
      </w:r>
    </w:p>
    <w:p>
      <w:pPr>
        <w:spacing w:after="0" w:line="15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2"/>
          <w:szCs w:val="22"/>
          <w:b w:val="1"/>
          <w:bCs w:val="1"/>
          <w:color w:val="auto"/>
        </w:rPr>
        <w:t>22.</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3"/>
          <w:szCs w:val="13"/>
          <w:b w:val="1"/>
          <w:bCs w:val="1"/>
          <w:color w:val="auto"/>
        </w:rPr>
        <w:t>ompliance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409A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3"/>
          <w:szCs w:val="13"/>
          <w:b w:val="1"/>
          <w:bCs w:val="1"/>
          <w:color w:val="auto"/>
        </w:rPr>
        <w:t>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3"/>
          <w:szCs w:val="13"/>
          <w:b w:val="1"/>
          <w:bCs w:val="1"/>
          <w:color w:val="auto"/>
        </w:rPr>
        <w:t>ode</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This Award is intended to be exempt from the application of Section 409A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Code, 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 * * * *</w:t>
      </w:r>
    </w:p>
    <w:p>
      <w:pPr>
        <w:spacing w:after="0" w:line="229" w:lineRule="exact"/>
        <w:rPr>
          <w:sz w:val="20"/>
          <w:szCs w:val="20"/>
          <w:color w:val="auto"/>
        </w:rPr>
      </w:pPr>
    </w:p>
    <w:p>
      <w:pPr>
        <w:jc w:val="both"/>
        <w:ind w:right="20" w:firstLine="396"/>
        <w:spacing w:after="0" w:line="250" w:lineRule="auto"/>
        <w:rPr>
          <w:sz w:val="20"/>
          <w:szCs w:val="20"/>
          <w:color w:val="auto"/>
        </w:rPr>
      </w:pPr>
      <w:r>
        <w:rPr>
          <w:rFonts w:ascii="Times New Roman" w:cs="Times New Roman" w:eastAsia="Times New Roman" w:hAnsi="Times New Roman"/>
          <w:sz w:val="20"/>
          <w:szCs w:val="20"/>
          <w:color w:val="auto"/>
        </w:rPr>
        <w:t>This Restricted Stock Unit Award Agreement shall be deemed to be signed by the Company and the Participant upon the signing by the Participant of the Restricted Stock Unit Grant Notice to which it is attached.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27" w:name="page128"/>
    <w:bookmarkEnd w:id="127"/>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22"/>
          <w:szCs w:val="22"/>
          <w:b w:val="1"/>
          <w:bCs w:val="1"/>
          <w:color w:val="auto"/>
        </w:rPr>
        <w:t xml:space="preserve"> 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2020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652780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10.6</w:t>
      </w:r>
    </w:p>
    <w:p>
      <w:pPr>
        <w:spacing w:after="0" w:line="3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ersonalis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Personalis,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2020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Optionholder an option to purchase the number of shares of the Company’s Common Stock set forth below. This option is subject to all of the terms and conditions as set forth in this Stock Option Grant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Stock Option Grant Notice and the Plan, the terms of the Plan will control.</w:t>
      </w:r>
    </w:p>
    <w:p>
      <w:pPr>
        <w:spacing w:after="0" w:line="200" w:lineRule="exact"/>
        <w:rPr>
          <w:sz w:val="20"/>
          <w:szCs w:val="20"/>
          <w:color w:val="auto"/>
        </w:rPr>
      </w:pPr>
    </w:p>
    <w:p>
      <w:pPr>
        <w:spacing w:after="0" w:line="21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193738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193738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6">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193738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7">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193738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8">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193738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9">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193738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193738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Type of Grant:</w:t>
      </w:r>
      <w:r>
        <w:rPr>
          <w:sz w:val="20"/>
          <w:szCs w:val="20"/>
          <w:color w:val="auto"/>
        </w:rPr>
        <w:tab/>
      </w:r>
      <w:r>
        <w:rPr>
          <w:rFonts w:ascii="Times New Roman" w:cs="Times New Roman" w:eastAsia="Times New Roman" w:hAnsi="Times New Roman"/>
          <w:sz w:val="17"/>
          <w:szCs w:val="17"/>
          <w:color w:val="auto"/>
        </w:rPr>
        <w:t>Nonstatutory Stock Option</w:t>
      </w:r>
    </w:p>
    <w:p>
      <w:pPr>
        <w:spacing w:after="0" w:line="185"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Exercise Schedule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Same as Vesting Schedule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 ______________, subject to Optionholder’s Continuous Service as of each such date</w:t>
      </w:r>
    </w:p>
    <w:p>
      <w:pPr>
        <w:spacing w:after="0" w:line="19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Payment:</w:t>
      </w:r>
      <w:r>
        <w:rPr>
          <w:sz w:val="20"/>
          <w:szCs w:val="20"/>
          <w:color w:val="auto"/>
        </w:rPr>
        <w:tab/>
      </w:r>
      <w:r>
        <w:rPr>
          <w:rFonts w:ascii="Times New Roman" w:cs="Times New Roman" w:eastAsia="Times New Roman" w:hAnsi="Times New Roman"/>
          <w:sz w:val="18"/>
          <w:szCs w:val="18"/>
          <w:color w:val="auto"/>
        </w:rPr>
        <w:t>By one or a combination of the following items (described in the Option Agreement):</w:t>
      </w:r>
    </w:p>
    <w:p>
      <w:pPr>
        <w:spacing w:after="0" w:line="121" w:lineRule="exact"/>
        <w:rPr>
          <w:sz w:val="20"/>
          <w:szCs w:val="20"/>
          <w:color w:val="auto"/>
        </w:rPr>
      </w:pPr>
    </w:p>
    <w:p>
      <w:pPr>
        <w:ind w:left="2240" w:hanging="360"/>
        <w:spacing w:after="0"/>
        <w:tabs>
          <w:tab w:leader="none" w:pos="2240" w:val="left"/>
        </w:tabs>
        <w:numPr>
          <w:ilvl w:val="0"/>
          <w:numId w:val="10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By cash, check, bank draft or money order payable to the Company</w:t>
      </w:r>
    </w:p>
    <w:p>
      <w:pPr>
        <w:spacing w:after="0" w:line="27" w:lineRule="exact"/>
        <w:rPr>
          <w:rFonts w:ascii="Wingdings" w:cs="Wingdings" w:eastAsia="Wingdings" w:hAnsi="Wingdings"/>
          <w:sz w:val="18"/>
          <w:szCs w:val="18"/>
          <w:b w:val="1"/>
          <w:bCs w:val="1"/>
          <w:color w:val="auto"/>
        </w:rPr>
      </w:pPr>
    </w:p>
    <w:p>
      <w:pPr>
        <w:ind w:left="2240" w:hanging="360"/>
        <w:spacing w:after="0"/>
        <w:tabs>
          <w:tab w:leader="none" w:pos="2240" w:val="left"/>
        </w:tabs>
        <w:numPr>
          <w:ilvl w:val="0"/>
          <w:numId w:val="10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Pursuant to a Regulation T Program if the shares are publicly traded</w:t>
      </w:r>
    </w:p>
    <w:p>
      <w:pPr>
        <w:spacing w:after="0" w:line="9" w:lineRule="exact"/>
        <w:rPr>
          <w:rFonts w:ascii="Wingdings" w:cs="Wingdings" w:eastAsia="Wingdings" w:hAnsi="Wingdings"/>
          <w:sz w:val="18"/>
          <w:szCs w:val="18"/>
          <w:b w:val="1"/>
          <w:bCs w:val="1"/>
          <w:color w:val="auto"/>
        </w:rPr>
      </w:pPr>
    </w:p>
    <w:p>
      <w:pPr>
        <w:ind w:left="2240" w:hanging="360"/>
        <w:spacing w:after="0"/>
        <w:tabs>
          <w:tab w:leader="none" w:pos="2240" w:val="left"/>
        </w:tabs>
        <w:numPr>
          <w:ilvl w:val="0"/>
          <w:numId w:val="10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By delivery of already-owned shares if the shares are publicly traded</w:t>
      </w:r>
    </w:p>
    <w:p>
      <w:pPr>
        <w:spacing w:after="0" w:line="9" w:lineRule="exact"/>
        <w:rPr>
          <w:rFonts w:ascii="Wingdings" w:cs="Wingdings" w:eastAsia="Wingdings" w:hAnsi="Wingdings"/>
          <w:sz w:val="18"/>
          <w:szCs w:val="18"/>
          <w:b w:val="1"/>
          <w:bCs w:val="1"/>
          <w:color w:val="auto"/>
        </w:rPr>
      </w:pPr>
    </w:p>
    <w:p>
      <w:pPr>
        <w:ind w:left="2240" w:hanging="360"/>
        <w:spacing w:after="0"/>
        <w:tabs>
          <w:tab w:leader="none" w:pos="2240" w:val="left"/>
        </w:tabs>
        <w:numPr>
          <w:ilvl w:val="0"/>
          <w:numId w:val="10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Subject to the Company’s consent at the time of exercise, by a “net exercise” arrangement</w:t>
      </w: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9" w:name="page130"/>
    <w:bookmarkEnd w:id="129"/>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Additional Terms/Acknowledgements: </w:t>
      </w:r>
      <w:r>
        <w:rPr>
          <w:rFonts w:ascii="Times New Roman" w:cs="Times New Roman" w:eastAsia="Times New Roman" w:hAnsi="Times New Roman"/>
          <w:sz w:val="18"/>
          <w:szCs w:val="18"/>
          <w:color w:val="auto"/>
        </w:rPr>
        <w:t>Optionholder acknowledges receipt of, and understands and agrees to, this Stock Option Grant Notice,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if applicable, (i) equity awards previously granted and delivered to Optionholder, (ii) any compensation recovery policy that is adopted by the Company or is otherwise required by applicable law and (iii) any written employment agreement, severance agreement, offer letter or other written agreement entered into between the Company and Participant specifying the terms that should govern this specific option. By accepting this option, Optionholder consents to receive such documents by electronic delivery and to participate in the Plan through an on-line or electronic system established and maintained by the Company or another third party designated by the Company.</w:t>
      </w:r>
    </w:p>
    <w:p>
      <w:pPr>
        <w:sectPr>
          <w:pgSz w:w="11900" w:h="16838" w:orient="portrait"/>
          <w:cols w:equalWidth="0" w:num="1">
            <w:col w:w="11240"/>
          </w:cols>
          <w:pgMar w:left="320" w:top="1130" w:right="339" w:bottom="1440" w:gutter="0" w:footer="0" w:header="0"/>
        </w:sectPr>
      </w:pPr>
    </w:p>
    <w:p>
      <w:pPr>
        <w:spacing w:after="0" w:line="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ersonalis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ptionholder</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4660" w:space="720"/>
            <w:col w:w="5860"/>
          </w:cols>
          <w:pgMar w:left="320" w:top="1130" w:right="339" w:bottom="1440" w:gutter="0" w:footer="0" w:header="0"/>
          <w:type w:val="continuous"/>
        </w:sectPr>
      </w:pP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By:</w:t>
      </w:r>
    </w:p>
    <w:p>
      <w:pPr>
        <w:sectPr>
          <w:pgSz w:w="11900" w:h="16838" w:orient="portrait"/>
          <w:cols w:equalWidth="0" w:num="1">
            <w:col w:w="11240"/>
          </w:cols>
          <w:pgMar w:left="320" w:top="1130" w:right="339" w:bottom="1440" w:gutter="0" w:footer="0" w:header="0"/>
          <w:type w:val="continuous"/>
        </w:sectPr>
      </w:pPr>
    </w:p>
    <w:p>
      <w:pPr>
        <w:spacing w:after="0" w:line="3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99" w:lineRule="exact"/>
        <w:rPr>
          <w:sz w:val="20"/>
          <w:szCs w:val="20"/>
          <w:color w:val="auto"/>
        </w:rPr>
      </w:pPr>
    </w:p>
    <w:p>
      <w:pPr>
        <w:sectPr>
          <w:pgSz w:w="11900" w:h="16838" w:orient="portrait"/>
          <w:cols w:equalWidth="0" w:num="2">
            <w:col w:w="6860" w:space="720"/>
            <w:col w:w="3660"/>
          </w:cols>
          <w:pgMar w:left="320" w:top="113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17" w:lineRule="exact"/>
        <w:rPr>
          <w:sz w:val="20"/>
          <w:szCs w:val="20"/>
          <w:color w:val="auto"/>
        </w:rPr>
      </w:pPr>
    </w:p>
    <w:p>
      <w:pPr>
        <w:sectPr>
          <w:pgSz w:w="11900" w:h="16838" w:orient="portrait"/>
          <w:cols w:equalWidth="0" w:num="2">
            <w:col w:w="4660" w:space="720"/>
            <w:col w:w="5860"/>
          </w:cols>
          <w:pgMar w:left="320" w:top="113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1130" w:right="33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ttachments</w:t>
      </w:r>
      <w:r>
        <w:rPr>
          <w:rFonts w:ascii="Times New Roman" w:cs="Times New Roman" w:eastAsia="Times New Roman" w:hAnsi="Times New Roman"/>
          <w:sz w:val="18"/>
          <w:szCs w:val="18"/>
          <w:color w:val="auto"/>
        </w:rPr>
        <w:t>: Option Agreement, 2020 Inducement Plan and Notice of Exercise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22"/>
          <w:szCs w:val="22"/>
          <w:b w:val="1"/>
          <w:bCs w:val="1"/>
          <w:color w:val="auto"/>
        </w:rPr>
        <w:t xml:space="preserve"> 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ersonalis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onstatutory</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22"/>
          <w:szCs w:val="22"/>
          <w:b w:val="1"/>
          <w:bCs w:val="1"/>
          <w:color w:val="auto"/>
        </w:rPr>
        <w:t>)</w:t>
      </w:r>
    </w:p>
    <w:p>
      <w:pPr>
        <w:spacing w:after="0" w:line="39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Pursuant to your Stock Option Grant Notice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this Option Agreement, Personalis,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an option under its 2020 Inducement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Times New Roman" w:cs="Times New Roman" w:eastAsia="Times New Roman" w:hAnsi="Times New Roman"/>
          <w:sz w:val="20"/>
          <w:szCs w:val="20"/>
          <w:b w:val="1"/>
          <w:bCs w:val="1"/>
          <w:i w:val="1"/>
          <w:iCs w:val="1"/>
          <w:color w:val="auto"/>
        </w:rPr>
        <w:t>Date of Grant</w:t>
      </w:r>
      <w:r>
        <w:rPr>
          <w:rFonts w:ascii="Times New Roman" w:cs="Times New Roman" w:eastAsia="Times New Roman" w:hAnsi="Times New Roman"/>
          <w:sz w:val="20"/>
          <w:szCs w:val="20"/>
          <w:color w:val="auto"/>
        </w:rPr>
        <w:t>”). The option is granted in compliance with Nasdaq Listing Rule 5635(c)(4) as a material inducement to you entering into employment with the Company.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details of your option, in addition to those set forth in the Grant Notice and the Plan, are as follows:</w:t>
      </w:r>
    </w:p>
    <w:p>
      <w:pPr>
        <w:spacing w:after="0" w:line="225" w:lineRule="exact"/>
        <w:rPr>
          <w:sz w:val="20"/>
          <w:szCs w:val="20"/>
          <w:color w:val="auto"/>
        </w:rPr>
      </w:pPr>
    </w:p>
    <w:p>
      <w:pPr>
        <w:ind w:firstLine="757"/>
        <w:spacing w:after="0" w:line="249" w:lineRule="auto"/>
        <w:tabs>
          <w:tab w:leader="none" w:pos="1018"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esting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provisions contained herein, your option will vest as provided in your Grant Notice. Vesting will cease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termination of your Continuous Service.</w:t>
      </w:r>
    </w:p>
    <w:p>
      <w:pPr>
        <w:spacing w:after="0" w:line="187" w:lineRule="exact"/>
        <w:rPr>
          <w:rFonts w:ascii="Times New Roman" w:cs="Times New Roman" w:eastAsia="Times New Roman" w:hAnsi="Times New Roman"/>
          <w:sz w:val="22"/>
          <w:szCs w:val="22"/>
          <w:b w:val="1"/>
          <w:bCs w:val="1"/>
          <w:color w:val="auto"/>
        </w:rPr>
      </w:pPr>
    </w:p>
    <w:p>
      <w:pPr>
        <w:ind w:firstLine="757"/>
        <w:spacing w:after="0" w:line="249" w:lineRule="auto"/>
        <w:tabs>
          <w:tab w:leader="none" w:pos="1018"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umber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hares and</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number of shares of Common Stock subject to your option and your exercise price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 share in your Grant Notice will be adjusted for Capitalization Adjustments.</w:t>
      </w:r>
    </w:p>
    <w:p>
      <w:pPr>
        <w:spacing w:after="0" w:line="187"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estriction for</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xempt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 are an Employee eligible for overtime compensation under the Fair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Labor Standards Act of 1938, as amended (that is, a “</w:t>
      </w:r>
      <w:r>
        <w:rPr>
          <w:rFonts w:ascii="Times New Roman" w:cs="Times New Roman" w:eastAsia="Times New Roman" w:hAnsi="Times New Roman"/>
          <w:sz w:val="20"/>
          <w:szCs w:val="20"/>
          <w:b w:val="1"/>
          <w:bCs w:val="1"/>
          <w:i w:val="1"/>
          <w:iCs w:val="1"/>
          <w:color w:val="auto"/>
        </w:rPr>
        <w:t>Non-Exempt Employee</w:t>
      </w:r>
      <w:r>
        <w:rPr>
          <w:rFonts w:ascii="Times New Roman" w:cs="Times New Roman" w:eastAsia="Times New Roman" w:hAnsi="Times New Roman"/>
          <w:sz w:val="20"/>
          <w:szCs w:val="20"/>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130" w:name="page131"/>
    <w:bookmarkEnd w:id="130"/>
    <w:p>
      <w:pPr>
        <w:spacing w:after="0" w:line="269" w:lineRule="auto"/>
        <w:rPr>
          <w:sz w:val="20"/>
          <w:szCs w:val="20"/>
          <w:color w:val="auto"/>
        </w:rPr>
      </w:pPr>
      <w:r>
        <w:rPr>
          <w:rFonts w:ascii="Times New Roman" w:cs="Times New Roman" w:eastAsia="Times New Roman" w:hAnsi="Times New Roman"/>
          <w:sz w:val="20"/>
          <w:szCs w:val="20"/>
          <w:color w:val="auto"/>
        </w:rPr>
        <w:t>death or disability, (ii) a Corporate Transaction in which your option is not assumed, continued or substituted, (iii) a Change in Control or (iv) your termination of Continuous Service on your “retirement” (as defined in the Company’s benefit plans).</w:t>
      </w:r>
    </w:p>
    <w:p>
      <w:pPr>
        <w:spacing w:after="0" w:line="169" w:lineRule="exact"/>
        <w:rPr>
          <w:sz w:val="20"/>
          <w:szCs w:val="20"/>
          <w:color w:val="auto"/>
        </w:rPr>
      </w:pPr>
    </w:p>
    <w:p>
      <w:pPr>
        <w:jc w:val="both"/>
        <w:ind w:firstLine="757"/>
        <w:spacing w:after="0" w:line="244" w:lineRule="auto"/>
        <w:tabs>
          <w:tab w:leader="none" w:pos="1018"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ethod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must pay the full amount of the exercise price for the shares you wish to exercise. You may pay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exercise price in cash or by check, bank draft or money order payable to the Company or in any other manner </w:t>
      </w:r>
      <w:r>
        <w:rPr>
          <w:rFonts w:ascii="Times New Roman" w:cs="Times New Roman" w:eastAsia="Times New Roman" w:hAnsi="Times New Roman"/>
          <w:sz w:val="20"/>
          <w:szCs w:val="20"/>
          <w:b w:val="1"/>
          <w:bCs w:val="1"/>
          <w:i w:val="1"/>
          <w:iCs w:val="1"/>
          <w:color w:val="auto"/>
        </w:rPr>
        <w:t>permitted by your 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Notice, </w:t>
      </w:r>
      <w:r>
        <w:rPr>
          <w:rFonts w:ascii="Times New Roman" w:cs="Times New Roman" w:eastAsia="Times New Roman" w:hAnsi="Times New Roman"/>
          <w:sz w:val="20"/>
          <w:szCs w:val="20"/>
          <w:color w:val="auto"/>
        </w:rPr>
        <w:t>which may include one or more of the following:</w:t>
      </w:r>
    </w:p>
    <w:p>
      <w:pPr>
        <w:spacing w:after="0" w:line="197"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1"/>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200" w:lineRule="exact"/>
        <w:rPr>
          <w:rFonts w:ascii="Times New Roman" w:cs="Times New Roman" w:eastAsia="Times New Roman" w:hAnsi="Times New Roman"/>
          <w:sz w:val="22"/>
          <w:szCs w:val="22"/>
          <w:b w:val="1"/>
          <w:bCs w:val="1"/>
          <w:color w:val="auto"/>
        </w:rPr>
      </w:pPr>
    </w:p>
    <w:p>
      <w:pPr>
        <w:jc w:val="both"/>
        <w:ind w:firstLine="1505"/>
        <w:spacing w:after="0"/>
        <w:tabs>
          <w:tab w:leader="none" w:pos="2036" w:val="left"/>
        </w:tabs>
        <w:numPr>
          <w:ilvl w:val="1"/>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203" w:lineRule="exact"/>
        <w:rPr>
          <w:rFonts w:ascii="Times New Roman" w:cs="Times New Roman" w:eastAsia="Times New Roman" w:hAnsi="Times New Roman"/>
          <w:sz w:val="22"/>
          <w:szCs w:val="22"/>
          <w:b w:val="1"/>
          <w:bCs w:val="1"/>
          <w:color w:val="auto"/>
        </w:rPr>
      </w:pPr>
    </w:p>
    <w:p>
      <w:pPr>
        <w:jc w:val="both"/>
        <w:ind w:firstLine="1505"/>
        <w:spacing w:after="0"/>
        <w:tabs>
          <w:tab w:leader="none" w:pos="2036" w:val="left"/>
        </w:tabs>
        <w:numPr>
          <w:ilvl w:val="1"/>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199"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hole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may exercise your option only for whole shares of Common Stock.</w:t>
      </w:r>
    </w:p>
    <w:p>
      <w:pPr>
        <w:spacing w:after="0" w:line="206"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ecurities</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ompliance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no event may you exercise your option unless the shares of Common Stock issuable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97" w:lineRule="exact"/>
        <w:rPr>
          <w:rFonts w:ascii="Times New Roman" w:cs="Times New Roman" w:eastAsia="Times New Roman" w:hAnsi="Times New Roman"/>
          <w:sz w:val="22"/>
          <w:szCs w:val="22"/>
          <w:b w:val="1"/>
          <w:bCs w:val="1"/>
          <w:color w:val="auto"/>
        </w:rPr>
      </w:pPr>
    </w:p>
    <w:p>
      <w:pPr>
        <w:ind w:firstLine="757"/>
        <w:spacing w:after="0" w:line="249" w:lineRule="auto"/>
        <w:tabs>
          <w:tab w:leader="none" w:pos="1018"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may not exercise your option before the Date of Grant or after the expiration of the option’s term. The term of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expires, subject to the provisions of Section 5(h) of the Plan, upon the earliest of the following:</w:t>
      </w:r>
    </w:p>
    <w:p>
      <w:pPr>
        <w:spacing w:after="0" w:line="19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immediately upon the termination of your Continuous Service for Cause;</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56" w:lineRule="auto"/>
        <w:tabs>
          <w:tab w:leader="none" w:pos="2036" w:val="left"/>
        </w:tabs>
        <w:numPr>
          <w:ilvl w:val="1"/>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 xml:space="preserve">three (3) months after the termination of your Continuous Service for any reason other than Cause, your Disability or your death (except as otherwise provided in Section 7(d) below);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during any part of such three (3) month period your option is not exercisable solely because of the condition set forth in the section above regarding “Securities Law Compliance,” your option will not expire until the earlier of the Expiration Date or until it has been exercisable for an aggregate period of three (3) months after the termination of your Continuous Service;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if during any part of such three (3) month period, the sale of any Common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31" w:name="page132"/>
    <w:bookmarkEnd w:id="131"/>
    <w:p>
      <w:pPr>
        <w:jc w:val="both"/>
        <w:spacing w:after="0" w:line="244" w:lineRule="auto"/>
        <w:rPr>
          <w:sz w:val="20"/>
          <w:szCs w:val="20"/>
          <w:color w:val="auto"/>
        </w:rPr>
      </w:pPr>
      <w:r>
        <w:rPr>
          <w:rFonts w:ascii="Times New Roman" w:cs="Times New Roman" w:eastAsia="Times New Roman" w:hAnsi="Times New Roman"/>
          <w:sz w:val="20"/>
          <w:szCs w:val="20"/>
          <w:color w:val="auto"/>
        </w:rPr>
        <w:t>Stock received upon exercise of your option would violate the Company’s insider trading policy, then your option will not expire until the earlier of the Expiration Date or until it has been exercisable for an aggregate period of three (3) months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199" w:lineRule="exact"/>
        <w:rPr>
          <w:sz w:val="20"/>
          <w:szCs w:val="20"/>
          <w:color w:val="auto"/>
        </w:rPr>
      </w:pPr>
    </w:p>
    <w:p>
      <w:pPr>
        <w:ind w:firstLine="1505"/>
        <w:spacing w:after="0" w:line="245" w:lineRule="auto"/>
        <w:tabs>
          <w:tab w:leader="none" w:pos="2036" w:val="left"/>
        </w:tabs>
        <w:numPr>
          <w:ilvl w:val="1"/>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twelve (12) months after the termination of your Continuous Service due to your Disability (except as otherwise provided in Section 7(d)) below;</w:t>
      </w:r>
    </w:p>
    <w:p>
      <w:pPr>
        <w:spacing w:after="0" w:line="195" w:lineRule="exact"/>
        <w:rPr>
          <w:rFonts w:ascii="Times New Roman" w:cs="Times New Roman" w:eastAsia="Times New Roman" w:hAnsi="Times New Roman"/>
          <w:sz w:val="22"/>
          <w:szCs w:val="22"/>
          <w:b w:val="1"/>
          <w:bCs w:val="1"/>
          <w:color w:val="auto"/>
        </w:rPr>
      </w:pPr>
    </w:p>
    <w:p>
      <w:pPr>
        <w:ind w:firstLine="1505"/>
        <w:spacing w:after="0" w:line="245" w:lineRule="auto"/>
        <w:tabs>
          <w:tab w:leader="none" w:pos="2036" w:val="left"/>
        </w:tabs>
        <w:numPr>
          <w:ilvl w:val="1"/>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eighteen (18) months after your death if you die either during your Continuous Service or within three (3) months after your Continuous Service terminates for any reason other than Cause;</w:t>
      </w:r>
    </w:p>
    <w:p>
      <w:pPr>
        <w:spacing w:after="0" w:line="195"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Expiration Date indicated in your Grant Notice; or</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day before the tenth (10th) anniversary of the Date of Grant.</w:t>
      </w:r>
    </w:p>
    <w:p>
      <w:pPr>
        <w:spacing w:after="0" w:line="202"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tabs>
          <w:tab w:leader="none" w:pos="2036" w:val="left"/>
        </w:tabs>
        <w:numPr>
          <w:ilvl w:val="1"/>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204"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1"/>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19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otherwise provided in this Section 9, your option is not transferable, except by will or by the laws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descent and distribution, and is exercisable during your life only by you.</w:t>
      </w:r>
    </w:p>
    <w:p>
      <w:pPr>
        <w:spacing w:after="0" w:line="203" w:lineRule="exact"/>
        <w:rPr>
          <w:sz w:val="20"/>
          <w:szCs w:val="20"/>
          <w:color w:val="auto"/>
        </w:rPr>
      </w:pPr>
    </w:p>
    <w:p>
      <w:pPr>
        <w:jc w:val="both"/>
        <w:ind w:firstLine="1505"/>
        <w:spacing w:after="0" w:line="262" w:lineRule="auto"/>
        <w:tabs>
          <w:tab w:leader="none" w:pos="2036" w:val="left"/>
        </w:tabs>
        <w:numPr>
          <w:ilvl w:val="0"/>
          <w:numId w:val="1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Certain Trusts. </w:t>
      </w:r>
      <w:r>
        <w:rPr>
          <w:rFonts w:ascii="Times New Roman" w:cs="Times New Roman" w:eastAsia="Times New Roman" w:hAnsi="Times New Roman"/>
          <w:sz w:val="19"/>
          <w:szCs w:val="19"/>
          <w:color w:val="auto"/>
        </w:rPr>
        <w:t>Upon receiving written permission from the Board or its duly authorized designee, you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77" w:lineRule="exact"/>
        <w:rPr>
          <w:rFonts w:ascii="Times New Roman" w:cs="Times New Roman" w:eastAsia="Times New Roman" w:hAnsi="Times New Roman"/>
          <w:sz w:val="21"/>
          <w:szCs w:val="21"/>
          <w:b w:val="1"/>
          <w:bCs w:val="1"/>
          <w:color w:val="auto"/>
        </w:rPr>
      </w:pPr>
    </w:p>
    <w:p>
      <w:pPr>
        <w:jc w:val="both"/>
        <w:ind w:firstLine="1505"/>
        <w:spacing w:after="0" w:line="241" w:lineRule="auto"/>
        <w:tabs>
          <w:tab w:leader="none" w:pos="2036"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Domestic Relations Orders. </w:t>
      </w:r>
      <w:r>
        <w:rPr>
          <w:rFonts w:ascii="Times New Roman" w:cs="Times New Roman" w:eastAsia="Times New Roman" w:hAnsi="Times New Roman"/>
          <w:sz w:val="20"/>
          <w:szCs w:val="20"/>
          <w:color w:val="auto"/>
        </w:rPr>
        <w:t>Upon receiving written permission from the Board or its duly authorized designee,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w:t>
      </w:r>
    </w:p>
    <w:p>
      <w:pPr>
        <w:spacing w:after="0" w:line="196" w:lineRule="exact"/>
        <w:rPr>
          <w:rFonts w:ascii="Times New Roman" w:cs="Times New Roman" w:eastAsia="Times New Roman" w:hAnsi="Times New Roman"/>
          <w:sz w:val="22"/>
          <w:szCs w:val="22"/>
          <w:b w:val="1"/>
          <w:bCs w:val="1"/>
          <w:color w:val="auto"/>
        </w:rPr>
      </w:pPr>
    </w:p>
    <w:p>
      <w:pPr>
        <w:ind w:right="20" w:firstLine="1505"/>
        <w:spacing w:after="0" w:line="249" w:lineRule="auto"/>
        <w:tabs>
          <w:tab w:leader="none" w:pos="2036"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Beneficiary Designation. </w:t>
      </w:r>
      <w:r>
        <w:rPr>
          <w:rFonts w:ascii="Times New Roman" w:cs="Times New Roman" w:eastAsia="Times New Roman" w:hAnsi="Times New Roman"/>
          <w:sz w:val="20"/>
          <w:szCs w:val="20"/>
          <w:color w:val="auto"/>
        </w:rPr>
        <w:t>Upon receiving written permission from the Board or its duly authorized designee,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by delivering written notice to the Company, in a form approved by the Company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32" w:name="page133"/>
    <w:bookmarkEnd w:id="132"/>
    <w:p>
      <w:pPr>
        <w:jc w:val="both"/>
        <w:spacing w:after="0" w:line="249" w:lineRule="auto"/>
        <w:rPr>
          <w:sz w:val="20"/>
          <w:szCs w:val="20"/>
          <w:color w:val="auto"/>
        </w:rPr>
      </w:pPr>
      <w:r>
        <w:rPr>
          <w:rFonts w:ascii="Times New Roman" w:cs="Times New Roman" w:eastAsia="Times New Roman" w:hAnsi="Times New Roman"/>
          <w:sz w:val="20"/>
          <w:szCs w:val="20"/>
          <w:color w:val="auto"/>
        </w:rPr>
        <w:t>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7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19"/>
          <w:szCs w:val="19"/>
          <w:b w:val="1"/>
          <w:bCs w:val="1"/>
          <w:color w:val="auto"/>
        </w:rPr>
        <w:t>O</w:t>
      </w:r>
      <w:r>
        <w:rPr>
          <w:rFonts w:ascii="Times New Roman" w:cs="Times New Roman" w:eastAsia="Times New Roman" w:hAnsi="Times New Roman"/>
          <w:sz w:val="13"/>
          <w:szCs w:val="13"/>
          <w:b w:val="1"/>
          <w:bCs w:val="1"/>
          <w:color w:val="auto"/>
        </w:rPr>
        <w:t>ption not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3"/>
          <w:szCs w:val="13"/>
          <w:b w:val="1"/>
          <w:bCs w:val="1"/>
          <w:color w:val="auto"/>
        </w:rPr>
        <w:t>ontract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Your option is not an employment or service contract, and nothing in your option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200" w:lineRule="exact"/>
        <w:rPr>
          <w:sz w:val="20"/>
          <w:szCs w:val="20"/>
          <w:color w:val="auto"/>
        </w:rPr>
      </w:pP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19"/>
          <w:szCs w:val="19"/>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9"/>
          <w:szCs w:val="19"/>
          <w:b w:val="1"/>
          <w:bCs w:val="1"/>
          <w:color w:val="auto"/>
        </w:rPr>
        <w:t>.</w:t>
      </w:r>
    </w:p>
    <w:p>
      <w:pPr>
        <w:spacing w:after="0" w:line="228" w:lineRule="exact"/>
        <w:rPr>
          <w:sz w:val="20"/>
          <w:szCs w:val="20"/>
          <w:color w:val="auto"/>
        </w:rPr>
      </w:pPr>
    </w:p>
    <w:p>
      <w:pPr>
        <w:jc w:val="both"/>
        <w:ind w:firstLine="1505"/>
        <w:spacing w:after="0"/>
        <w:tabs>
          <w:tab w:leader="none" w:pos="2036"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204" w:lineRule="exact"/>
        <w:rPr>
          <w:rFonts w:ascii="Times New Roman" w:cs="Times New Roman" w:eastAsia="Times New Roman" w:hAnsi="Times New Roman"/>
          <w:sz w:val="22"/>
          <w:szCs w:val="22"/>
          <w:b w:val="1"/>
          <w:bCs w:val="1"/>
          <w:color w:val="auto"/>
        </w:rPr>
      </w:pPr>
    </w:p>
    <w:p>
      <w:pPr>
        <w:jc w:val="both"/>
        <w:ind w:firstLine="1505"/>
        <w:spacing w:after="0"/>
        <w:tabs>
          <w:tab w:leader="none" w:pos="2036"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maximum amount of tax required to be withheld by law (or such lower amount as may be necessary to avoid classification of your option as a liability for financial accounting purposes).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202"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7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19"/>
          <w:szCs w:val="19"/>
          <w:b w:val="1"/>
          <w:bCs w:val="1"/>
          <w:color w:val="auto"/>
        </w:rPr>
        <w:t>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3"/>
          <w:szCs w:val="13"/>
          <w:b w:val="1"/>
          <w:bCs w:val="1"/>
          <w:color w:val="auto"/>
        </w:rPr>
        <w:t>onsequences</w:t>
      </w:r>
      <w:r>
        <w:rPr>
          <w:rFonts w:ascii="Times New Roman" w:cs="Times New Roman" w:eastAsia="Times New Roman" w:hAnsi="Times New Roman"/>
          <w:sz w:val="19"/>
          <w:szCs w:val="19"/>
          <w:color w:val="auto"/>
        </w:rPr>
        <w:t>. You hereby agree that the Company does not have a duty to design or administer the Plan or its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spacing w:after="0" w:line="16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19"/>
          <w:szCs w:val="19"/>
          <w:b w:val="1"/>
          <w:bCs w:val="1"/>
          <w:color w:val="auto"/>
        </w:rPr>
        <w:t>N</w:t>
      </w:r>
      <w:r>
        <w:rPr>
          <w:rFonts w:ascii="Times New Roman" w:cs="Times New Roman" w:eastAsia="Times New Roman" w:hAnsi="Times New Roman"/>
          <w:sz w:val="13"/>
          <w:szCs w:val="13"/>
          <w:b w:val="1"/>
          <w:bCs w:val="1"/>
          <w:color w:val="auto"/>
        </w:rPr>
        <w:t>otices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Any notices provided for in your option or the Plan will be given in writing (including electronically) and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33" w:name="page134"/>
    <w:bookmarkEnd w:id="133"/>
    <w:p>
      <w:pPr>
        <w:jc w:val="both"/>
        <w:ind w:firstLine="749"/>
        <w:spacing w:after="0" w:line="257" w:lineRule="auto"/>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19"/>
          <w:szCs w:val="19"/>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Your option is subject to all the provisions of the Plan, the provisions of which are hereby made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6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19"/>
          <w:szCs w:val="19"/>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You hereby acknowledge receipt of and the right to receive a document providing the information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16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16.</w:t>
      </w: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3"/>
          <w:szCs w:val="13"/>
          <w:b w:val="1"/>
          <w:bCs w:val="1"/>
          <w:color w:val="auto"/>
        </w:rPr>
        <w:t>ffect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3"/>
          <w:szCs w:val="13"/>
          <w:b w:val="1"/>
          <w:bCs w:val="1"/>
          <w:color w:val="auto"/>
        </w:rPr>
        <w:t>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B</w:t>
      </w:r>
      <w:r>
        <w:rPr>
          <w:rFonts w:ascii="Times New Roman" w:cs="Times New Roman" w:eastAsia="Times New Roman" w:hAnsi="Times New Roman"/>
          <w:sz w:val="13"/>
          <w:szCs w:val="13"/>
          <w:b w:val="1"/>
          <w:bCs w:val="1"/>
          <w:color w:val="auto"/>
        </w:rPr>
        <w:t>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3"/>
          <w:szCs w:val="13"/>
          <w:b w:val="1"/>
          <w:bCs w:val="1"/>
          <w:color w:val="auto"/>
        </w:rPr>
        <w:t>lans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value of this option will not be included as compensation, earnings, salaries,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6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19"/>
          <w:szCs w:val="19"/>
          <w:b w:val="1"/>
          <w:bCs w:val="1"/>
          <w:color w:val="auto"/>
        </w:rPr>
        <w:t>V</w:t>
      </w:r>
      <w:r>
        <w:rPr>
          <w:rFonts w:ascii="Times New Roman" w:cs="Times New Roman" w:eastAsia="Times New Roman" w:hAnsi="Times New Roman"/>
          <w:sz w:val="13"/>
          <w:szCs w:val="13"/>
          <w:b w:val="1"/>
          <w:bCs w:val="1"/>
          <w:color w:val="auto"/>
        </w:rPr>
        <w:t>oting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You will not have voting or any other rights as a stockholder of the Company with respect to the shares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issued pursuant 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6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If all or any part of this Option Agreement or the Plan is declared by any court or governmental authority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unlawful or 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00" w:lineRule="exact"/>
        <w:rPr>
          <w:sz w:val="20"/>
          <w:szCs w:val="20"/>
          <w:color w:val="auto"/>
        </w:rPr>
      </w:pP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19.</w:t>
      </w:r>
      <w:r>
        <w:rPr>
          <w:rFonts w:ascii="Times New Roman" w:cs="Times New Roman" w:eastAsia="Times New Roman" w:hAnsi="Times New Roman"/>
          <w:sz w:val="19"/>
          <w:szCs w:val="19"/>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firstLine="1505"/>
        <w:spacing w:after="0" w:line="242" w:lineRule="auto"/>
        <w:tabs>
          <w:tab w:leader="none" w:pos="2036"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199" w:lineRule="exact"/>
        <w:rPr>
          <w:rFonts w:ascii="Times New Roman" w:cs="Times New Roman" w:eastAsia="Times New Roman" w:hAnsi="Times New Roman"/>
          <w:sz w:val="22"/>
          <w:szCs w:val="22"/>
          <w:b w:val="1"/>
          <w:bCs w:val="1"/>
          <w:color w:val="auto"/>
        </w:rPr>
      </w:pPr>
    </w:p>
    <w:p>
      <w:pPr>
        <w:ind w:firstLine="1505"/>
        <w:spacing w:after="0" w:line="245" w:lineRule="auto"/>
        <w:tabs>
          <w:tab w:leader="none" w:pos="2036"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You agree upon request to execute any further documents or instruments necessary or desirable in the sole determination of the Company to carry out the purposes or intent of your option.</w:t>
      </w:r>
    </w:p>
    <w:p>
      <w:pPr>
        <w:spacing w:after="0" w:line="195" w:lineRule="exact"/>
        <w:rPr>
          <w:rFonts w:ascii="Times New Roman" w:cs="Times New Roman" w:eastAsia="Times New Roman" w:hAnsi="Times New Roman"/>
          <w:sz w:val="22"/>
          <w:szCs w:val="22"/>
          <w:b w:val="1"/>
          <w:bCs w:val="1"/>
          <w:color w:val="auto"/>
        </w:rPr>
      </w:pPr>
    </w:p>
    <w:p>
      <w:pPr>
        <w:ind w:right="20" w:firstLine="1505"/>
        <w:spacing w:after="0" w:line="245" w:lineRule="auto"/>
        <w:tabs>
          <w:tab w:leader="none" w:pos="2036"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95" w:lineRule="exact"/>
        <w:rPr>
          <w:rFonts w:ascii="Times New Roman" w:cs="Times New Roman" w:eastAsia="Times New Roman" w:hAnsi="Times New Roman"/>
          <w:sz w:val="22"/>
          <w:szCs w:val="22"/>
          <w:b w:val="1"/>
          <w:bCs w:val="1"/>
          <w:color w:val="auto"/>
        </w:rPr>
      </w:pPr>
    </w:p>
    <w:p>
      <w:pPr>
        <w:ind w:firstLine="1505"/>
        <w:spacing w:after="0" w:line="245" w:lineRule="auto"/>
        <w:tabs>
          <w:tab w:leader="none" w:pos="2036"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This Option Agreement will be subject to all applicable laws, rules, and regulations, and to such approvals by any governmental agencies or national securities exchanges as may be required.</w:t>
      </w:r>
    </w:p>
    <w:p>
      <w:pPr>
        <w:spacing w:after="0" w:line="195" w:lineRule="exact"/>
        <w:rPr>
          <w:rFonts w:ascii="Times New Roman" w:cs="Times New Roman" w:eastAsia="Times New Roman" w:hAnsi="Times New Roman"/>
          <w:sz w:val="22"/>
          <w:szCs w:val="22"/>
          <w:b w:val="1"/>
          <w:bCs w:val="1"/>
          <w:color w:val="auto"/>
        </w:rPr>
      </w:pPr>
    </w:p>
    <w:p>
      <w:pPr>
        <w:jc w:val="both"/>
        <w:ind w:firstLine="1505"/>
        <w:spacing w:after="0" w:line="242" w:lineRule="auto"/>
        <w:tabs>
          <w:tab w:leader="none" w:pos="2036"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34" w:name="page135"/>
    <w:bookmarkEnd w:id="134"/>
    <w:p>
      <w:pPr>
        <w:jc w:val="center"/>
        <w:spacing w:after="0"/>
        <w:tabs>
          <w:tab w:leader="none" w:pos="280" w:val="left"/>
          <w:tab w:leader="none" w:pos="280" w:val="left"/>
        </w:tabs>
        <w:rPr>
          <w:sz w:val="20"/>
          <w:szCs w:val="20"/>
          <w:color w:val="auto"/>
        </w:rPr>
      </w:pPr>
      <w:r>
        <w:rPr>
          <w:rFonts w:ascii="Times New Roman" w:cs="Times New Roman" w:eastAsia="Times New Roman" w:hAnsi="Times New Roman"/>
          <w:sz w:val="20"/>
          <w:szCs w:val="20"/>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This Option Agreement will be deemed to be signed by you upon the signing by you of the Stock Option Grant Notice to which it 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22"/>
          <w:szCs w:val="22"/>
          <w:b w:val="1"/>
          <w:bCs w:val="1"/>
          <w:color w:val="auto"/>
        </w:rPr>
        <w:t xml:space="preserve"> II</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22"/>
          <w:szCs w:val="22"/>
          <w:b w:val="1"/>
          <w:bCs w:val="1"/>
          <w:color w:val="auto"/>
        </w:rPr>
        <w:t xml:space="preserve">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xercise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ersonalis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Date of Exercise: _______________</w:t>
      </w:r>
    </w:p>
    <w:p>
      <w:pPr>
        <w:spacing w:after="0" w:line="200" w:lineRule="exact"/>
        <w:rPr>
          <w:sz w:val="20"/>
          <w:szCs w:val="20"/>
          <w:color w:val="auto"/>
        </w:rPr>
      </w:pPr>
    </w:p>
    <w:p>
      <w:pPr>
        <w:spacing w:after="0" w:line="219"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This constitutes notice to Personalis,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under my stock option that I elect to purchase the below number of shares of Common Stock of the Company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for the price set forth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5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Type of option:</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Nonstatutory</w:t>
            </w:r>
          </w:p>
        </w:tc>
      </w:tr>
      <w:tr>
        <w:trPr>
          <w:trHeight w:val="473"/>
        </w:trPr>
        <w:tc>
          <w:tcPr>
            <w:tcW w:w="45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Stock option dated:</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_______________</w:t>
            </w:r>
          </w:p>
        </w:tc>
      </w:tr>
      <w:tr>
        <w:trPr>
          <w:trHeight w:val="444"/>
        </w:trPr>
        <w:tc>
          <w:tcPr>
            <w:tcW w:w="45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Number of Shares as</w:t>
            </w:r>
          </w:p>
        </w:tc>
        <w:tc>
          <w:tcPr>
            <w:tcW w:w="6680" w:type="dxa"/>
            <w:vAlign w:val="bottom"/>
          </w:tcPr>
          <w:p>
            <w:pPr>
              <w:spacing w:after="0"/>
              <w:rPr>
                <w:sz w:val="24"/>
                <w:szCs w:val="24"/>
                <w:color w:val="auto"/>
              </w:rPr>
            </w:pPr>
          </w:p>
        </w:tc>
      </w:tr>
      <w:tr>
        <w:trPr>
          <w:trHeight w:val="230"/>
        </w:trPr>
        <w:tc>
          <w:tcPr>
            <w:tcW w:w="45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to which option is</w:t>
            </w:r>
          </w:p>
        </w:tc>
        <w:tc>
          <w:tcPr>
            <w:tcW w:w="6680" w:type="dxa"/>
            <w:vAlign w:val="bottom"/>
          </w:tcPr>
          <w:p>
            <w:pPr>
              <w:spacing w:after="0"/>
              <w:rPr>
                <w:sz w:val="19"/>
                <w:szCs w:val="19"/>
                <w:color w:val="auto"/>
              </w:rPr>
            </w:pPr>
          </w:p>
        </w:tc>
      </w:tr>
      <w:tr>
        <w:trPr>
          <w:trHeight w:val="258"/>
        </w:trPr>
        <w:tc>
          <w:tcPr>
            <w:tcW w:w="45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exercised:</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_______________</w:t>
            </w:r>
          </w:p>
        </w:tc>
      </w:tr>
      <w:tr>
        <w:trPr>
          <w:trHeight w:val="444"/>
        </w:trPr>
        <w:tc>
          <w:tcPr>
            <w:tcW w:w="45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Certificates to be</w:t>
            </w:r>
          </w:p>
        </w:tc>
        <w:tc>
          <w:tcPr>
            <w:tcW w:w="6680" w:type="dxa"/>
            <w:vAlign w:val="bottom"/>
          </w:tcPr>
          <w:p>
            <w:pPr>
              <w:spacing w:after="0"/>
              <w:rPr>
                <w:sz w:val="24"/>
                <w:szCs w:val="24"/>
                <w:color w:val="auto"/>
              </w:rPr>
            </w:pPr>
          </w:p>
        </w:tc>
      </w:tr>
      <w:tr>
        <w:trPr>
          <w:trHeight w:val="258"/>
        </w:trPr>
        <w:tc>
          <w:tcPr>
            <w:tcW w:w="45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issued in name of:</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_______________</w:t>
            </w:r>
          </w:p>
        </w:tc>
      </w:tr>
      <w:tr>
        <w:trPr>
          <w:trHeight w:val="473"/>
        </w:trPr>
        <w:tc>
          <w:tcPr>
            <w:tcW w:w="45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Total exercise price:</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$______________</w:t>
            </w:r>
          </w:p>
        </w:tc>
      </w:tr>
      <w:tr>
        <w:trPr>
          <w:trHeight w:val="444"/>
        </w:trPr>
        <w:tc>
          <w:tcPr>
            <w:tcW w:w="45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Cash payment delivered</w:t>
            </w:r>
          </w:p>
        </w:tc>
        <w:tc>
          <w:tcPr>
            <w:tcW w:w="6680" w:type="dxa"/>
            <w:vAlign w:val="bottom"/>
          </w:tcPr>
          <w:p>
            <w:pPr>
              <w:spacing w:after="0"/>
              <w:rPr>
                <w:sz w:val="24"/>
                <w:szCs w:val="24"/>
                <w:color w:val="auto"/>
              </w:rPr>
            </w:pPr>
          </w:p>
        </w:tc>
      </w:tr>
      <w:tr>
        <w:trPr>
          <w:trHeight w:val="258"/>
        </w:trPr>
        <w:tc>
          <w:tcPr>
            <w:tcW w:w="45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herewith:</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$______________</w:t>
            </w:r>
          </w:p>
        </w:tc>
      </w:tr>
      <w:tr>
        <w:trPr>
          <w:trHeight w:val="904"/>
        </w:trPr>
        <w:tc>
          <w:tcPr>
            <w:tcW w:w="45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Value of ________ Shares delivered herewith:</w:t>
            </w:r>
          </w:p>
        </w:tc>
        <w:tc>
          <w:tcPr>
            <w:tcW w:w="66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$______________</w:t>
            </w:r>
          </w:p>
        </w:tc>
      </w:tr>
      <w:tr>
        <w:trPr>
          <w:trHeight w:val="444"/>
        </w:trPr>
        <w:tc>
          <w:tcPr>
            <w:tcW w:w="45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Value of ________ Shares pursuant to net</w:t>
            </w:r>
          </w:p>
        </w:tc>
        <w:tc>
          <w:tcPr>
            <w:tcW w:w="6680" w:type="dxa"/>
            <w:vAlign w:val="bottom"/>
          </w:tcPr>
          <w:p>
            <w:pPr>
              <w:spacing w:after="0"/>
              <w:rPr>
                <w:sz w:val="24"/>
                <w:szCs w:val="24"/>
                <w:color w:val="auto"/>
              </w:rPr>
            </w:pPr>
          </w:p>
        </w:tc>
      </w:tr>
      <w:tr>
        <w:trPr>
          <w:trHeight w:val="258"/>
        </w:trPr>
        <w:tc>
          <w:tcPr>
            <w:tcW w:w="45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exercise:</w:t>
            </w:r>
          </w:p>
        </w:tc>
        <w:tc>
          <w:tcPr>
            <w:tcW w:w="66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$______________</w:t>
            </w:r>
          </w:p>
        </w:tc>
      </w:tr>
      <w:tr>
        <w:trPr>
          <w:trHeight w:val="473"/>
        </w:trPr>
        <w:tc>
          <w:tcPr>
            <w:tcW w:w="45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Regulation T Program (cashless exercise):</w:t>
            </w:r>
          </w:p>
        </w:tc>
        <w:tc>
          <w:tcPr>
            <w:tcW w:w="66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$______________</w:t>
            </w:r>
          </w:p>
        </w:tc>
      </w:tr>
      <w:tr>
        <w:trPr>
          <w:trHeight w:val="924"/>
        </w:trPr>
        <w:tc>
          <w:tcPr>
            <w:tcW w:w="4560" w:type="dxa"/>
            <w:vAlign w:val="bottom"/>
          </w:tcPr>
          <w:p>
            <w:pPr>
              <w:spacing w:after="0"/>
              <w:rPr>
                <w:sz w:val="24"/>
                <w:szCs w:val="24"/>
                <w:color w:val="auto"/>
              </w:rPr>
            </w:pPr>
          </w:p>
        </w:tc>
        <w:tc>
          <w:tcPr>
            <w:tcW w:w="668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7</w:t>
            </w:r>
          </w:p>
        </w:tc>
      </w:tr>
      <w:tr>
        <w:trPr>
          <w:trHeight w:val="751"/>
        </w:trPr>
        <w:tc>
          <w:tcPr>
            <w:tcW w:w="456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-1550670</wp:posOffset>
            </wp:positionV>
            <wp:extent cx="3111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0">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35" w:name="page136"/>
    <w:bookmarkEnd w:id="135"/>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By this exercise, I agree (i) to provide such additional documents as you may require pursuant to the terms of the Personalis, Inc. 2020 Inducement Plan, and (ii) to provide for the payment by me to you (in the manner designated by you) of your withholding obligation, if any, relating to the exercise of this option.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476885</wp:posOffset>
            </wp:positionV>
            <wp:extent cx="2514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6"/>
          <w:szCs w:val="16"/>
          <w:b w:val="1"/>
          <w:bCs w:val="1"/>
          <w:color w:val="auto"/>
        </w:rPr>
        <w:t>Exhibit 10.12</w:t>
      </w:r>
    </w:p>
    <w:p>
      <w:pPr>
        <w:spacing w:after="0" w:line="200" w:lineRule="exact"/>
        <w:rPr>
          <w:sz w:val="20"/>
          <w:szCs w:val="20"/>
          <w:color w:val="auto"/>
        </w:rPr>
      </w:pPr>
    </w:p>
    <w:p>
      <w:pPr>
        <w:spacing w:after="0" w:line="2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PERSONALIS, INC.</w:t>
      </w:r>
    </w:p>
    <w:p>
      <w:pPr>
        <w:spacing w:after="0" w:line="24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SECOND AMENDED AND RESTATED EXECUTIVE SEVERANCE AGREEMENT</w:t>
      </w:r>
    </w:p>
    <w:p>
      <w:pPr>
        <w:spacing w:after="0" w:line="229" w:lineRule="exact"/>
        <w:rPr>
          <w:sz w:val="20"/>
          <w:szCs w:val="20"/>
          <w:color w:val="auto"/>
        </w:rPr>
      </w:pPr>
    </w:p>
    <w:p>
      <w:pPr>
        <w:jc w:val="both"/>
        <w:ind w:right="120" w:firstLine="747"/>
        <w:spacing w:after="0" w:line="250" w:lineRule="auto"/>
        <w:rPr>
          <w:sz w:val="20"/>
          <w:szCs w:val="20"/>
          <w:color w:val="auto"/>
        </w:rPr>
      </w:pPr>
      <w:r>
        <w:rPr>
          <w:rFonts w:ascii="Times New Roman" w:cs="Times New Roman" w:eastAsia="Times New Roman" w:hAnsi="Times New Roman"/>
          <w:sz w:val="20"/>
          <w:szCs w:val="20"/>
          <w:color w:val="auto"/>
        </w:rPr>
        <w:t>This Second Amended and Restated Executive Severance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effective as of September 25, 2023, amends, supersedes and restates in its entirety that certain First Amended and Restated Executive Severance Agreement by and between Christopher Hall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Personalis,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dated March 7, 2023. This Agreement is intended to provide Executive with certain benefits described herein upon the occurrence of specific events.</w:t>
      </w:r>
    </w:p>
    <w:p>
      <w:pPr>
        <w:spacing w:after="0" w:line="27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RECITALS</w:t>
      </w:r>
    </w:p>
    <w:p>
      <w:pPr>
        <w:spacing w:after="0" w:line="238" w:lineRule="exact"/>
        <w:rPr>
          <w:sz w:val="20"/>
          <w:szCs w:val="20"/>
          <w:color w:val="auto"/>
        </w:rPr>
      </w:pPr>
    </w:p>
    <w:p>
      <w:pPr>
        <w:jc w:val="both"/>
        <w:ind w:right="120" w:firstLine="749"/>
        <w:spacing w:after="0" w:line="277"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9"/>
          <w:szCs w:val="19"/>
          <w:color w:val="auto"/>
        </w:rPr>
        <w:t>The Company’s Board of Directors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believes it is in the best interests of the Company and its shareholders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retain Executive and provide incentives to Executive to continue in the service of the Company.</w:t>
      </w:r>
    </w:p>
    <w:p>
      <w:pPr>
        <w:spacing w:after="0" w:line="158" w:lineRule="exact"/>
        <w:rPr>
          <w:sz w:val="20"/>
          <w:szCs w:val="20"/>
          <w:color w:val="auto"/>
        </w:rPr>
      </w:pPr>
    </w:p>
    <w:p>
      <w:pPr>
        <w:jc w:val="both"/>
        <w:ind w:right="120" w:firstLine="749"/>
        <w:spacing w:after="0" w:line="24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9"/>
          <w:szCs w:val="19"/>
          <w:color w:val="auto"/>
        </w:rPr>
        <w:t>The Board further believes that it is imperative to provide Executive with certain benefits upon termination of Executive’s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employment, which benefits are intended to provide Executive with financial security and sufficient income and encouragement to Executive to remain with the Company.</w:t>
      </w:r>
    </w:p>
    <w:p>
      <w:pPr>
        <w:spacing w:after="0" w:line="192" w:lineRule="exact"/>
        <w:rPr>
          <w:sz w:val="20"/>
          <w:szCs w:val="20"/>
          <w:color w:val="auto"/>
        </w:rPr>
      </w:pPr>
    </w:p>
    <w:p>
      <w:pPr>
        <w:jc w:val="both"/>
        <w:ind w:right="140" w:firstLine="749"/>
        <w:spacing w:after="0" w:line="277"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9"/>
          <w:szCs w:val="19"/>
          <w:color w:val="auto"/>
        </w:rPr>
        <w:t>To accomplish the foregoing objectives, the Board has directed the Company, upon execution of this Agreement by Executive,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agree to the terms provided in this Agreement.</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Now therefore, in consideration of the mutual promises, covenants and agreements contained herein, the parties hereto agree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212" w:lineRule="exact"/>
        <w:rPr>
          <w:sz w:val="20"/>
          <w:szCs w:val="20"/>
          <w:color w:val="auto"/>
        </w:rPr>
      </w:pPr>
    </w:p>
    <w:p>
      <w:pPr>
        <w:jc w:val="both"/>
        <w:ind w:right="120" w:firstLine="749"/>
        <w:spacing w:after="0" w:line="258" w:lineRule="auto"/>
        <w:rPr>
          <w:sz w:val="20"/>
          <w:szCs w:val="20"/>
          <w:color w:val="auto"/>
        </w:rPr>
      </w:pP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19"/>
          <w:szCs w:val="19"/>
          <w:b w:val="1"/>
          <w:bCs w:val="1"/>
          <w:color w:val="auto"/>
        </w:rPr>
        <w:t>At-Will Employment</w:t>
      </w:r>
      <w:r>
        <w:rPr>
          <w:rFonts w:ascii="Times New Roman" w:cs="Times New Roman" w:eastAsia="Times New Roman" w:hAnsi="Times New Roman"/>
          <w:sz w:val="19"/>
          <w:szCs w:val="19"/>
          <w:color w:val="auto"/>
        </w:rPr>
        <w:t>. Executive’s employment is at-will, which means that the Company may terminate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employment at any time, with or without Cause or advance notice. Similarly, Executive may resign Executive’s employment at any time, with or without advance notice, and with or without Good Reason. Executive shall not receive any compensation of any kind, including, without limitation, equity award vesting acceleration and severance benefits, following Executive’s last day of employment with the Company, except as expressly provided herein.</w:t>
      </w:r>
    </w:p>
    <w:p>
      <w:pPr>
        <w:spacing w:after="0" w:line="197" w:lineRule="exact"/>
        <w:rPr>
          <w:sz w:val="20"/>
          <w:szCs w:val="20"/>
          <w:color w:val="auto"/>
        </w:rPr>
      </w:pPr>
    </w:p>
    <w:p>
      <w:pPr>
        <w:ind w:left="1500" w:hanging="758"/>
        <w:spacing w:after="0"/>
        <w:tabs>
          <w:tab w:leader="none" w:pos="150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Benefits Upon Termination of Employment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right="120" w:firstLine="1490"/>
        <w:spacing w:after="0" w:line="243" w:lineRule="auto"/>
        <w:tabs>
          <w:tab w:leader="none" w:pos="1927" w:val="left"/>
        </w:tabs>
        <w:numPr>
          <w:ilvl w:val="1"/>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in Connection with or Following a Change in Control</w:t>
      </w:r>
      <w:r>
        <w:rPr>
          <w:rFonts w:ascii="Times New Roman" w:cs="Times New Roman" w:eastAsia="Times New Roman" w:hAnsi="Times New Roman"/>
          <w:sz w:val="20"/>
          <w:szCs w:val="20"/>
          <w:color w:val="auto"/>
        </w:rPr>
        <w:t>. If Executive’s employment is terminated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Cause (as defined below) (and other than as a result of Executive’s death or disability), or Executive resigns for Good Reason (as defined below), in either case within twelve (12) months after the effective date of a Change in Control (as defined below), and provided such termination constitutes a “separation from service” (within the meaning of Treasury Regulation Section 1.409A-1(h), such termination a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and provided further that Executive signs and allows to become effective a general release of all claims in favor of the Company in a form provided by the Company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xml:space="preserve">”), within sixty (60) days after Executive’s Separation from Service (the date that the Release becomes effective and may no longer be revoked by Executive is referred to as the </w:t>
      </w:r>
      <w:r>
        <w:rPr>
          <w:rFonts w:ascii="Times New Roman" w:cs="Times New Roman" w:eastAsia="Times New Roman" w:hAnsi="Times New Roman"/>
          <w:sz w:val="20"/>
          <w:szCs w:val="20"/>
          <w:b w:val="1"/>
          <w:bCs w:val="1"/>
          <w:i w:val="1"/>
          <w:iCs w:val="1"/>
          <w:color w:val="auto"/>
        </w:rPr>
        <w:t>“Release Date”</w:t>
      </w:r>
      <w:r>
        <w:rPr>
          <w:rFonts w:ascii="Times New Roman" w:cs="Times New Roman" w:eastAsia="Times New Roman" w:hAnsi="Times New Roman"/>
          <w:sz w:val="20"/>
          <w:szCs w:val="20"/>
          <w:color w:val="auto"/>
        </w:rPr>
        <w:t>), then the Company shall provide Executive with the following severance benefits (the “</w:t>
      </w:r>
      <w:r>
        <w:rPr>
          <w:rFonts w:ascii="Times New Roman" w:cs="Times New Roman" w:eastAsia="Times New Roman" w:hAnsi="Times New Roman"/>
          <w:sz w:val="20"/>
          <w:szCs w:val="20"/>
          <w:b w:val="1"/>
          <w:bCs w:val="1"/>
          <w:i w:val="1"/>
          <w:iCs w:val="1"/>
          <w:color w:val="auto"/>
        </w:rPr>
        <w:t>Change in Control Separation Benefits</w:t>
      </w:r>
      <w:r>
        <w:rPr>
          <w:rFonts w:ascii="Times New Roman" w:cs="Times New Roman" w:eastAsia="Times New Roman" w:hAnsi="Times New Roman"/>
          <w:sz w:val="20"/>
          <w:szCs w:val="20"/>
          <w:color w:val="auto"/>
        </w:rPr>
        <w:t>”):</w:t>
      </w:r>
    </w:p>
    <w:p>
      <w:pPr>
        <w:spacing w:after="0" w:line="276" w:lineRule="exact"/>
        <w:rPr>
          <w:sz w:val="20"/>
          <w:szCs w:val="20"/>
          <w:color w:val="auto"/>
        </w:rPr>
      </w:pPr>
    </w:p>
    <w:p>
      <w:pPr>
        <w:jc w:val="both"/>
        <w:ind w:right="120" w:firstLine="2246"/>
        <w:spacing w:after="0" w:line="247"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9"/>
          <w:szCs w:val="19"/>
          <w:color w:val="auto"/>
        </w:rPr>
        <w:t>The Company shall pay Executive cash severance in an amount equal to twelve (12) months of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then-current base salary, ignoring any decrease in base salary that forms the basis for Good Reason, less all applicable withholdings and deductions, paid on the Company’s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759460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73" w:right="339" w:bottom="1440" w:gutter="0" w:footer="0" w:header="0"/>
        </w:sectPr>
      </w:pPr>
    </w:p>
    <w:bookmarkStart w:id="137" w:name="page138"/>
    <w:bookmarkEnd w:id="137"/>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regular payroll date following the Release Date.</w:t>
      </w:r>
    </w:p>
    <w:p>
      <w:pPr>
        <w:spacing w:after="0" w:line="234" w:lineRule="exact"/>
        <w:rPr>
          <w:sz w:val="20"/>
          <w:szCs w:val="20"/>
          <w:color w:val="auto"/>
        </w:rPr>
      </w:pPr>
    </w:p>
    <w:p>
      <w:pPr>
        <w:jc w:val="both"/>
        <w:ind w:right="20" w:firstLine="2246"/>
        <w:spacing w:after="0" w:line="265"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19"/>
          <w:szCs w:val="19"/>
          <w:color w:val="auto"/>
        </w:rPr>
        <w:t>The Company shall pay Executive further cash severance in an amount equal to one hundred percent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(100%) of Executive’s target annual bonus for the year in which the Change in Control is consummated, less all applicable withholdings and deductions, paid on the Company’s first regular payroll date following the Release Date.</w:t>
      </w:r>
    </w:p>
    <w:p>
      <w:pPr>
        <w:spacing w:after="0" w:line="170" w:lineRule="exact"/>
        <w:rPr>
          <w:sz w:val="20"/>
          <w:szCs w:val="20"/>
          <w:color w:val="auto"/>
        </w:rPr>
      </w:pPr>
    </w:p>
    <w:p>
      <w:pPr>
        <w:jc w:val="both"/>
        <w:ind w:firstLine="2246"/>
        <w:spacing w:after="0" w:line="251"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19"/>
          <w:szCs w:val="19"/>
          <w:color w:val="auto"/>
        </w:rPr>
        <w:t>Should Executive timely elect to continue Executive’s medical, dental and/or vision insurance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pursuant to the Consolidated Omnibus Budget Reconciliation Act of 1985 (“</w:t>
      </w:r>
      <w:r>
        <w:rPr>
          <w:rFonts w:ascii="Times New Roman" w:cs="Times New Roman" w:eastAsia="Times New Roman" w:hAnsi="Times New Roman"/>
          <w:sz w:val="19"/>
          <w:szCs w:val="19"/>
          <w:b w:val="1"/>
          <w:bCs w:val="1"/>
          <w:i w:val="1"/>
          <w:iCs w:val="1"/>
          <w:color w:val="auto"/>
        </w:rPr>
        <w:t>COBRA</w:t>
      </w:r>
      <w:r>
        <w:rPr>
          <w:rFonts w:ascii="Times New Roman" w:cs="Times New Roman" w:eastAsia="Times New Roman" w:hAnsi="Times New Roman"/>
          <w:sz w:val="19"/>
          <w:szCs w:val="19"/>
          <w:color w:val="auto"/>
        </w:rPr>
        <w:t>”) or any analogous provisions of applicable state law, the Company shall pay Executive’s COBRA premiums for Executive and Executive’s eligible dependents (“</w:t>
      </w:r>
      <w:r>
        <w:rPr>
          <w:rFonts w:ascii="Times New Roman" w:cs="Times New Roman" w:eastAsia="Times New Roman" w:hAnsi="Times New Roman"/>
          <w:sz w:val="19"/>
          <w:szCs w:val="19"/>
          <w:b w:val="1"/>
          <w:bCs w:val="1"/>
          <w:i w:val="1"/>
          <w:iCs w:val="1"/>
          <w:color w:val="auto"/>
        </w:rPr>
        <w:t>COBRA Premiums</w:t>
      </w:r>
      <w:r>
        <w:rPr>
          <w:rFonts w:ascii="Times New Roman" w:cs="Times New Roman" w:eastAsia="Times New Roman" w:hAnsi="Times New Roman"/>
          <w:sz w:val="19"/>
          <w:szCs w:val="19"/>
          <w:color w:val="auto"/>
        </w:rPr>
        <w:t>”) for a period of twelve (12) months following Executive’s Separation from Service (the “</w:t>
      </w:r>
      <w:r>
        <w:rPr>
          <w:rFonts w:ascii="Times New Roman" w:cs="Times New Roman" w:eastAsia="Times New Roman" w:hAnsi="Times New Roman"/>
          <w:sz w:val="19"/>
          <w:szCs w:val="19"/>
          <w:b w:val="1"/>
          <w:bCs w:val="1"/>
          <w:i w:val="1"/>
          <w:iCs w:val="1"/>
          <w:color w:val="auto"/>
        </w:rPr>
        <w:t>Change in Control Benefits Payment Period</w:t>
      </w:r>
      <w:r>
        <w:rPr>
          <w:rFonts w:ascii="Times New Roman" w:cs="Times New Roman" w:eastAsia="Times New Roman" w:hAnsi="Times New Roman"/>
          <w:sz w:val="19"/>
          <w:szCs w:val="19"/>
          <w:color w:val="auto"/>
        </w:rPr>
        <w:t>”) or, if earlier, the date upon which Executive obtains coverage under a medical plan by a subsequent employer. The Company’s obligation to pay any COBRA Premiums will be subject to the then-current requirements of COBRA and any other laws affecting the payment of COBRA premiums by the Company. Notwithstanding the foregoing, if the Company determines, in its sole discretion, that the Company cannot provide the COBRA Premiums without potentially incurring financial costs or penalties under applicable law, the Company shall in lieu thereof pay Executive a taxable cash amount, which payment shall be made regardless of whether Executive elects health care continuation coverage (the “</w:t>
      </w:r>
      <w:r>
        <w:rPr>
          <w:rFonts w:ascii="Times New Roman" w:cs="Times New Roman" w:eastAsia="Times New Roman" w:hAnsi="Times New Roman"/>
          <w:sz w:val="19"/>
          <w:szCs w:val="19"/>
          <w:b w:val="1"/>
          <w:bCs w:val="1"/>
          <w:i w:val="1"/>
          <w:iCs w:val="1"/>
          <w:color w:val="auto"/>
        </w:rPr>
        <w:t>Health Care Benefit Payment</w:t>
      </w:r>
      <w:r>
        <w:rPr>
          <w:rFonts w:ascii="Times New Roman" w:cs="Times New Roman" w:eastAsia="Times New Roman" w:hAnsi="Times New Roman"/>
          <w:sz w:val="19"/>
          <w:szCs w:val="19"/>
          <w:color w:val="auto"/>
        </w:rPr>
        <w:t>”). The Health Care Benefit Payment shall be paid in monthly installments on the same schedule that the COBRA Premiums would otherwise have been paid to the insurer. The Health Care Benefit Payment shall be equal to the amount that the Company would have otherwise paid for COBRA Premiums (which amount shall be calculated based on the premium for the first month of COBRA coverage), and shall be paid until the earlier of: (i) the date the Change in Control Benefits Payment Period expires or (ii) the date upon which Executive obtains coverage under a medical plan by a subsequent employer.</w:t>
      </w:r>
    </w:p>
    <w:p>
      <w:pPr>
        <w:spacing w:after="0" w:line="198" w:lineRule="exact"/>
        <w:rPr>
          <w:sz w:val="20"/>
          <w:szCs w:val="20"/>
          <w:color w:val="auto"/>
        </w:rPr>
      </w:pPr>
    </w:p>
    <w:p>
      <w:pPr>
        <w:jc w:val="both"/>
        <w:ind w:firstLine="2246"/>
        <w:spacing w:after="0" w:line="247"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19"/>
          <w:szCs w:val="19"/>
          <w:color w:val="auto"/>
        </w:rPr>
        <w:t>The Company shall accelerate the vesting of each of Executive’s then-outstanding unvested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compensation awards, effective immediately prior to such Separation from Service. In the event any such awards are based upon performance of the Company and/or of Executive, such awards shall be vested at their respective target levels.</w:t>
      </w:r>
    </w:p>
    <w:p>
      <w:pPr>
        <w:spacing w:after="0" w:line="191" w:lineRule="exact"/>
        <w:rPr>
          <w:sz w:val="20"/>
          <w:szCs w:val="20"/>
          <w:color w:val="auto"/>
        </w:rPr>
      </w:pPr>
    </w:p>
    <w:p>
      <w:pPr>
        <w:jc w:val="both"/>
        <w:ind w:firstLine="1490"/>
        <w:spacing w:after="0" w:line="246" w:lineRule="auto"/>
        <w:tabs>
          <w:tab w:leader="none" w:pos="1927"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Not in Connection with or Following a Change in Control</w:t>
      </w:r>
      <w:r>
        <w:rPr>
          <w:rFonts w:ascii="Times New Roman" w:cs="Times New Roman" w:eastAsia="Times New Roman" w:hAnsi="Times New Roman"/>
          <w:sz w:val="20"/>
          <w:szCs w:val="20"/>
          <w:color w:val="auto"/>
        </w:rPr>
        <w:t>. If Executive’s employment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terminated without Cause (and other than as a result of Executive’s death or disability), or Executive resigns for Good Reason, in either case at any time that is not within twelve (12) months after a Change in Control, and provided such termination constitutes a Separation from Service, and provided Executive signs and allows to become effective the Release within sixty (60) days after Executive’s Separation from Service, then the Company shall provide Executive with the following severance benefits (collectively with the Change in Control Separation Benefits, the “</w:t>
      </w:r>
      <w:r>
        <w:rPr>
          <w:rFonts w:ascii="Times New Roman" w:cs="Times New Roman" w:eastAsia="Times New Roman" w:hAnsi="Times New Roman"/>
          <w:sz w:val="20"/>
          <w:szCs w:val="20"/>
          <w:b w:val="1"/>
          <w:bCs w:val="1"/>
          <w:i w:val="1"/>
          <w:iCs w:val="1"/>
          <w:color w:val="auto"/>
        </w:rPr>
        <w:t>Separation Benefits</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firstLine="2246"/>
        <w:spacing w:after="0" w:line="247"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9"/>
          <w:szCs w:val="19"/>
          <w:color w:val="auto"/>
        </w:rPr>
        <w:t>The Company shall pay Executive cash severance in an amount equal to twelve (12) months of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then current base salary, less all applicable withholdings and deductions, paid in a lump sum on the Company’s first regular payroll date after the Release Date.</w:t>
      </w:r>
    </w:p>
    <w:p>
      <w:pPr>
        <w:spacing w:after="0" w:line="24" w:lineRule="exact"/>
        <w:rPr>
          <w:sz w:val="20"/>
          <w:szCs w:val="20"/>
          <w:color w:val="auto"/>
        </w:rPr>
      </w:pPr>
    </w:p>
    <w:p>
      <w:pPr>
        <w:jc w:val="both"/>
        <w:ind w:firstLine="2246"/>
        <w:spacing w:after="0" w:line="249"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19"/>
          <w:szCs w:val="19"/>
          <w:color w:val="auto"/>
        </w:rPr>
        <w:t>Should Executive timely elect to continue Executive’s medical, dental and/or vision insurance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pursuant to COBRA, the Company shall pay the COBRA Premiums for a period of twelve (12) months following the effective date of Executive’s Separation from Service (the “</w:t>
      </w:r>
      <w:r>
        <w:rPr>
          <w:rFonts w:ascii="Times New Roman" w:cs="Times New Roman" w:eastAsia="Times New Roman" w:hAnsi="Times New Roman"/>
          <w:sz w:val="19"/>
          <w:szCs w:val="19"/>
          <w:b w:val="1"/>
          <w:bCs w:val="1"/>
          <w:i w:val="1"/>
          <w:iCs w:val="1"/>
          <w:color w:val="auto"/>
        </w:rPr>
        <w:t>Benefits Payment Period</w:t>
      </w:r>
      <w:r>
        <w:rPr>
          <w:rFonts w:ascii="Times New Roman" w:cs="Times New Roman" w:eastAsia="Times New Roman" w:hAnsi="Times New Roman"/>
          <w:sz w:val="19"/>
          <w:szCs w:val="19"/>
          <w:color w:val="auto"/>
        </w:rPr>
        <w:t>”) or, if earlier, the date upon which Executive obtains coverage under a medical plan by a subsequent employer. The Company’s obligation to pay any COBRA Premiums will be subject to the then-current requirements of COBRA and any other laws affecting the payment of COBRA premiums</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641350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38" w:name="page139"/>
    <w:bookmarkEnd w:id="138"/>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by the Company. Notwithstanding the foregoing, if the Company determines, in its sole discretion, that it cannot provide the COBRA Premiums without potentially incurring financial costs or penalties under applicable law, the Company shall in lieu thereof pay Executive the Health Care Benefit Payment in monthly installments on the same schedule that the COBRA Premiums would otherwise have been paid to the insurer, which shall be paid until the earlier of: (i) the date the Benefits Payment Period expires or (ii) the date upon which Executive obtains coverage under a medical plan by a subsequent employer.</w:t>
      </w:r>
    </w:p>
    <w:p>
      <w:pPr>
        <w:spacing w:after="0" w:line="221" w:lineRule="exact"/>
        <w:rPr>
          <w:sz w:val="20"/>
          <w:szCs w:val="20"/>
          <w:color w:val="auto"/>
        </w:rPr>
      </w:pPr>
    </w:p>
    <w:p>
      <w:pPr>
        <w:ind w:left="1500" w:hanging="758"/>
        <w:spacing w:after="0"/>
        <w:tabs>
          <w:tab w:leader="none" w:pos="150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Limitations and Conditions on Separation Benefits</w:t>
      </w:r>
    </w:p>
    <w:p>
      <w:pPr>
        <w:spacing w:after="0" w:line="206" w:lineRule="exact"/>
        <w:rPr>
          <w:rFonts w:ascii="Times New Roman" w:cs="Times New Roman" w:eastAsia="Times New Roman" w:hAnsi="Times New Roman"/>
          <w:sz w:val="22"/>
          <w:szCs w:val="22"/>
          <w:b w:val="1"/>
          <w:bCs w:val="1"/>
          <w:color w:val="auto"/>
        </w:rPr>
      </w:pPr>
    </w:p>
    <w:p>
      <w:pPr>
        <w:jc w:val="both"/>
        <w:ind w:firstLine="1490"/>
        <w:spacing w:after="0" w:line="247" w:lineRule="auto"/>
        <w:tabs>
          <w:tab w:leader="none" w:pos="1927" w:val="left"/>
        </w:tabs>
        <w:numPr>
          <w:ilvl w:val="1"/>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Release Prior to Payment of Benefits</w:t>
      </w:r>
      <w:r>
        <w:rPr>
          <w:rFonts w:ascii="Times New Roman" w:cs="Times New Roman" w:eastAsia="Times New Roman" w:hAnsi="Times New Roman"/>
          <w:sz w:val="20"/>
          <w:szCs w:val="20"/>
          <w:color w:val="auto"/>
        </w:rPr>
        <w:t>. Prior to the payment or provision of any of the Separation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shall execute, and allow to become effective, the Release not later than sixty (60) days following Executive’s Separation from Service. Such Release shall specifically relate to all of Executive’s rights and claims in existence at the time of such execution and shall confirm Executive’s continuing obligations to the Company (including but not limited to obligations under any confidentiality and/or non-solicitation agreement with the Company). No Separation Benefits will be paid prior to the Release Date.</w:t>
      </w:r>
    </w:p>
    <w:p>
      <w:pPr>
        <w:spacing w:after="0" w:line="207" w:lineRule="exact"/>
        <w:rPr>
          <w:rFonts w:ascii="Times New Roman" w:cs="Times New Roman" w:eastAsia="Times New Roman" w:hAnsi="Times New Roman"/>
          <w:sz w:val="20"/>
          <w:szCs w:val="20"/>
          <w:b w:val="1"/>
          <w:bCs w:val="1"/>
          <w:color w:val="auto"/>
        </w:rPr>
      </w:pPr>
    </w:p>
    <w:p>
      <w:pPr>
        <w:jc w:val="both"/>
        <w:ind w:firstLine="1490"/>
        <w:spacing w:after="0" w:line="247" w:lineRule="auto"/>
        <w:tabs>
          <w:tab w:leader="none" w:pos="1927" w:val="left"/>
        </w:tabs>
        <w:numPr>
          <w:ilvl w:val="1"/>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and Employment Taxes</w:t>
      </w:r>
      <w:r>
        <w:rPr>
          <w:rFonts w:ascii="Times New Roman" w:cs="Times New Roman" w:eastAsia="Times New Roman" w:hAnsi="Times New Roman"/>
          <w:sz w:val="20"/>
          <w:szCs w:val="20"/>
          <w:color w:val="auto"/>
        </w:rPr>
        <w:t>. Executive agrees that Executive shall be responsible for any applicable taxes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nature (including any penalties or interest that may apply to such taxes) that the Company reasonably determines apply to any payment made hereunder, that Executive’s receipt of any benefit hereunder is conditioned on Executive’s satisfaction of any applicable withholding or similar obligations that apply to such benefit, and that any cash payment owed hereunder will be reduced to satisfy any such withholding or similar obligations that may apply.</w:t>
      </w:r>
    </w:p>
    <w:p>
      <w:pPr>
        <w:spacing w:after="0" w:line="193" w:lineRule="exact"/>
        <w:rPr>
          <w:rFonts w:ascii="Times New Roman" w:cs="Times New Roman" w:eastAsia="Times New Roman" w:hAnsi="Times New Roman"/>
          <w:sz w:val="20"/>
          <w:szCs w:val="20"/>
          <w:b w:val="1"/>
          <w:bCs w:val="1"/>
          <w:color w:val="auto"/>
        </w:rPr>
      </w:pPr>
    </w:p>
    <w:p>
      <w:pPr>
        <w:jc w:val="both"/>
        <w:ind w:firstLine="1490"/>
        <w:spacing w:after="0" w:line="259" w:lineRule="auto"/>
        <w:tabs>
          <w:tab w:leader="none" w:pos="1927" w:val="left"/>
        </w:tabs>
        <w:numPr>
          <w:ilvl w:val="1"/>
          <w:numId w:val="1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Compliance with Section 409A</w:t>
      </w:r>
      <w:r>
        <w:rPr>
          <w:rFonts w:ascii="Times New Roman" w:cs="Times New Roman" w:eastAsia="Times New Roman" w:hAnsi="Times New Roman"/>
          <w:sz w:val="19"/>
          <w:szCs w:val="19"/>
          <w:color w:val="auto"/>
        </w:rPr>
        <w:t>. It is intended that each installment of the payments and benefits provided for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is a separate “payment” for purposes of Treasury Regulation Section 1.409A-2(b)(2)(i). For the avoidance of doubt, it is intended that Separation Benefits set forth in this Agreement satisfy, to the greatest extent possible, the exemptions from, or comply with, the application of Section 409A of the Internal Revenue Code of 1986, as amended (the “</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and Treasury Regulations 1.409A-1(b)</w:t>
      </w:r>
    </w:p>
    <w:p>
      <w:pPr>
        <w:jc w:val="both"/>
        <w:spacing w:after="0" w:line="239"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(4), 1.409A-1(b)(5) and 1.409A-1(b)(9) (together, with any state law of similar effect,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However, if the Company (or, if applicable, the successor entity thereto) determines that the Separation Benefits provided under this Agreement constitute “deferred compensation” under Section 409A and Executive is, on the date of his or her Separation from Service, a “specified employee” of the Company or any successor entity thereto, as such term is defined in Section 409A(a)(2)(B)(i) of the Code (a “</w:t>
      </w:r>
      <w:r>
        <w:rPr>
          <w:rFonts w:ascii="Times New Roman" w:cs="Times New Roman" w:eastAsia="Times New Roman" w:hAnsi="Times New Roman"/>
          <w:sz w:val="20"/>
          <w:szCs w:val="20"/>
          <w:b w:val="1"/>
          <w:bCs w:val="1"/>
          <w:i w:val="1"/>
          <w:iCs w:val="1"/>
          <w:color w:val="auto"/>
        </w:rPr>
        <w:t>Specified Employee</w:t>
      </w:r>
      <w:r>
        <w:rPr>
          <w:rFonts w:ascii="Times New Roman" w:cs="Times New Roman" w:eastAsia="Times New Roman" w:hAnsi="Times New Roman"/>
          <w:sz w:val="20"/>
          <w:szCs w:val="20"/>
          <w:color w:val="auto"/>
        </w:rPr>
        <w:t>”), then, solely to the extent necessary to avoid the incurrence of the adverse personal tax consequences under Section 409A, the timing of the Separation Benefits described herein, as applicable, shall be delayed as follows: on the earlier to occur of (i) the date that is six (6) months and one (1) business day after Executive’s Separation from Service, (ii) the date of Executive’s death, or (iii) such earlier date as permitted under Section 409A without the imposition of adverse taxation (such earlier date, the “</w:t>
      </w:r>
      <w:r>
        <w:rPr>
          <w:rFonts w:ascii="Times New Roman" w:cs="Times New Roman" w:eastAsia="Times New Roman" w:hAnsi="Times New Roman"/>
          <w:sz w:val="20"/>
          <w:szCs w:val="20"/>
          <w:b w:val="1"/>
          <w:bCs w:val="1"/>
          <w:i w:val="1"/>
          <w:iCs w:val="1"/>
          <w:color w:val="auto"/>
        </w:rPr>
        <w:t>Delayed Initial Payment Date</w:t>
      </w:r>
      <w:r>
        <w:rPr>
          <w:rFonts w:ascii="Times New Roman" w:cs="Times New Roman" w:eastAsia="Times New Roman" w:hAnsi="Times New Roman"/>
          <w:sz w:val="20"/>
          <w:szCs w:val="20"/>
          <w:color w:val="auto"/>
        </w:rPr>
        <w:t>”). Upon the Delayed Initial Payment Date, the Company (or the successor entity thereto, as applicable) shall pay to Executive a lump sum amount equal to the applicable benefit that Executive would otherwise have received through the Delayed Initial Payment Date if the commencement of the payment of the benefit had not been so delayed pursuant to this Section 3(c), and any remaining payments due shall be paid as otherwise provided herein. No interest shall be due on any amounts so deferred. If the Separation Benefits are not covered by one or more exemptions from the application of Section 409A and the Release could become effective in the calendar year following the calendar year in which Executive has a Separation from Service, the Release will not be deemed effective any earlier than the Release Date. To the extent that any provision of this Agreement is ambiguous as to its exemption or compliance with Section 409A, the provision will be read in such a manner so that all payments hereunder are exempt from Section 409A to the maximum permissible extent. To the extent any payment under this Agreement may be classified as a “short-term deferral” within the meaning of</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641350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39" w:name="page140"/>
    <w:bookmarkEnd w:id="139"/>
    <w:p>
      <w:pPr>
        <w:jc w:val="both"/>
        <w:spacing w:after="0" w:line="244" w:lineRule="auto"/>
        <w:rPr>
          <w:sz w:val="20"/>
          <w:szCs w:val="20"/>
          <w:color w:val="auto"/>
        </w:rPr>
      </w:pPr>
      <w:r>
        <w:rPr>
          <w:rFonts w:ascii="Times New Roman" w:cs="Times New Roman" w:eastAsia="Times New Roman" w:hAnsi="Times New Roman"/>
          <w:sz w:val="20"/>
          <w:szCs w:val="20"/>
          <w:color w:val="auto"/>
        </w:rPr>
        <w:t>Section 409A, such payment shall be deemed a short-term deferral, even if it may also qualify for an exemption from Section 409A under another provision of Section 409A. With respect to reimbursements or in-kind benefits provided to Executive hereunder (or otherwise) that are not exempt from Section 409A, the following rules shall apply: (i) the amount of expenses eligible for reimbursement, or in-kind benefits provided, during any one of Executive’s taxable years shall not affect the expenses eligible for reimbursement, or in-kind benefit to be provided in any other taxable year, (ii) in the case of any reimbursements of eligible expenses, reimbursement shall be made on or before the last day of Executive’s taxable year following the taxable year in which the expense was incurred, and (iii) the right to reimbursement or in-kind benefits shall not be subject to liquidation or exchange for another benefit.</w:t>
      </w:r>
    </w:p>
    <w:p>
      <w:pPr>
        <w:spacing w:after="0" w:line="195" w:lineRule="exact"/>
        <w:rPr>
          <w:sz w:val="20"/>
          <w:szCs w:val="20"/>
          <w:color w:val="auto"/>
        </w:rPr>
      </w:pPr>
    </w:p>
    <w:p>
      <w:pPr>
        <w:jc w:val="both"/>
        <w:ind w:firstLine="1490"/>
        <w:spacing w:after="0" w:line="250" w:lineRule="auto"/>
        <w:tabs>
          <w:tab w:leader="none" w:pos="1927" w:val="left"/>
        </w:tabs>
        <w:numPr>
          <w:ilvl w:val="1"/>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Related Matters. </w:t>
      </w:r>
      <w:r>
        <w:rPr>
          <w:rFonts w:ascii="Times New Roman" w:cs="Times New Roman" w:eastAsia="Times New Roman" w:hAnsi="Times New Roman"/>
          <w:sz w:val="20"/>
          <w:szCs w:val="20"/>
          <w:color w:val="auto"/>
        </w:rPr>
        <w:t>Executive further acknowledges and agrees that as a condition to receipt of any Separation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(i) Executive must comply with Executive’s obligations under Executive’s Employee Confidential Information and Invention Assignment Agreement; and (ii) resign from all Company and or affiliate positions, including membership on any Board (unless otherwise requested by the Company).</w:t>
      </w:r>
    </w:p>
    <w:p>
      <w:pPr>
        <w:spacing w:after="0" w:line="202" w:lineRule="exact"/>
        <w:rPr>
          <w:rFonts w:ascii="Times New Roman" w:cs="Times New Roman" w:eastAsia="Times New Roman" w:hAnsi="Times New Roman"/>
          <w:sz w:val="20"/>
          <w:szCs w:val="20"/>
          <w:b w:val="1"/>
          <w:bCs w:val="1"/>
          <w:color w:val="auto"/>
        </w:rPr>
      </w:pPr>
    </w:p>
    <w:p>
      <w:pPr>
        <w:jc w:val="both"/>
        <w:ind w:firstLine="1490"/>
        <w:spacing w:after="0" w:line="246" w:lineRule="auto"/>
        <w:tabs>
          <w:tab w:leader="none" w:pos="1927" w:val="left"/>
        </w:tabs>
        <w:numPr>
          <w:ilvl w:val="1"/>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w:t>
      </w:r>
      <w:r>
        <w:rPr>
          <w:rFonts w:ascii="Times New Roman" w:cs="Times New Roman" w:eastAsia="Times New Roman" w:hAnsi="Times New Roman"/>
          <w:sz w:val="20"/>
          <w:szCs w:val="20"/>
          <w:color w:val="auto"/>
        </w:rPr>
        <w:t>. Any successor to the Company (whether direct or indirect and whether by purchase, lease, merger,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The terms of this Agreement and all of Executive’s rights hereunder and thereunder shall inure to the benefit of, and be enforceable by, Executive’s personal or legal representatives, executors, administrators, successors, heirs, distributees, devisees and legatees.</w:t>
      </w:r>
    </w:p>
    <w:p>
      <w:pPr>
        <w:spacing w:after="0" w:line="192" w:lineRule="exact"/>
        <w:rPr>
          <w:rFonts w:ascii="Times New Roman" w:cs="Times New Roman" w:eastAsia="Times New Roman" w:hAnsi="Times New Roman"/>
          <w:sz w:val="20"/>
          <w:szCs w:val="20"/>
          <w:b w:val="1"/>
          <w:bCs w:val="1"/>
          <w:color w:val="auto"/>
        </w:rPr>
      </w:pPr>
    </w:p>
    <w:p>
      <w:pPr>
        <w:jc w:val="both"/>
        <w:ind w:firstLine="1490"/>
        <w:spacing w:after="0" w:line="246" w:lineRule="auto"/>
        <w:tabs>
          <w:tab w:leader="none" w:pos="1927" w:val="left"/>
        </w:tabs>
        <w:numPr>
          <w:ilvl w:val="1"/>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Notices and all other communications contemplated by this Agreement shall be in writing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have been duly given when personally delivered or when mailed by U.S. registered or certified mail, return receipt requested and postage prepaid. Mailed notices to Executive shall be addressed to Executive at the home address which Executive most recently communicated to the Company in writing. In the case of the Company, mailed notices shall be addressed to its corporate headquarters, and all notices shall be directed to the attention of its Chief Executive Officer.</w:t>
      </w:r>
    </w:p>
    <w:p>
      <w:pPr>
        <w:spacing w:after="0" w:line="1" w:lineRule="exact"/>
        <w:rPr>
          <w:rFonts w:ascii="Times New Roman" w:cs="Times New Roman" w:eastAsia="Times New Roman" w:hAnsi="Times New Roman"/>
          <w:sz w:val="20"/>
          <w:szCs w:val="20"/>
          <w:b w:val="1"/>
          <w:bCs w:val="1"/>
          <w:color w:val="auto"/>
        </w:rPr>
      </w:pPr>
    </w:p>
    <w:p>
      <w:pPr>
        <w:ind w:left="1500" w:hanging="758"/>
        <w:spacing w:after="0" w:line="230" w:lineRule="auto"/>
        <w:tabs>
          <w:tab w:leader="none" w:pos="150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490"/>
        <w:spacing w:after="0" w:line="243" w:lineRule="auto"/>
        <w:tabs>
          <w:tab w:leader="none" w:pos="1927" w:val="left"/>
        </w:tabs>
        <w:numPr>
          <w:ilvl w:val="1"/>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For purposes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as determined by the Board acting in good faith and based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then known to it, shall mean the occurrence of one or more of the following: (i) Executive’s gross negligence or knowing and willful action which is or is likely to be materially injurious to the Company; (ii) any intentional act by Executive in connection with his responsibilities as an employee constituting fraud or a felony crime; (iii) Executive’s consistent failure to report for work or perform his duties as directed by the Company’s Board of Directors; (iv) persistent or repeated material breach of this Agreement or any agreement between Executive and the Company; (v) Executive becoming disqualified from holding office through his own act or omission; (vi) an unauthorized use or disclosure by the Executive of the Company’s confidential information or trade secrets, which use or disclosure causes material harm to the Company; or (vii) a material failure by the Executive to comply with the Company’s written policies or rules which is or is likely to be materially injurious to the Company.</w:t>
      </w:r>
    </w:p>
    <w:p>
      <w:pPr>
        <w:spacing w:after="0" w:line="280" w:lineRule="exact"/>
        <w:rPr>
          <w:rFonts w:ascii="Times New Roman" w:cs="Times New Roman" w:eastAsia="Times New Roman" w:hAnsi="Times New Roman"/>
          <w:sz w:val="20"/>
          <w:szCs w:val="20"/>
          <w:b w:val="1"/>
          <w:bCs w:val="1"/>
          <w:color w:val="auto"/>
        </w:rPr>
      </w:pPr>
    </w:p>
    <w:p>
      <w:pPr>
        <w:ind w:firstLine="1490"/>
        <w:spacing w:after="0" w:line="273" w:lineRule="auto"/>
        <w:tabs>
          <w:tab w:leader="none" w:pos="1927" w:val="left"/>
        </w:tabs>
        <w:numPr>
          <w:ilvl w:val="1"/>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For purposes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consummation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or series of transactions that results in any of the following:</w:t>
      </w:r>
    </w:p>
    <w:p>
      <w:pPr>
        <w:spacing w:after="0" w:line="242" w:lineRule="exact"/>
        <w:rPr>
          <w:sz w:val="20"/>
          <w:szCs w:val="20"/>
          <w:color w:val="auto"/>
        </w:rPr>
      </w:pPr>
    </w:p>
    <w:p>
      <w:pPr>
        <w:ind w:firstLine="2246"/>
        <w:spacing w:after="0" w:line="243"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9"/>
          <w:szCs w:val="19"/>
          <w:color w:val="auto"/>
        </w:rPr>
        <w:t>a merger, consolidation or similar corporate transaction involving (directly or indirectly) the Company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immediately following which the stockholders of the Company</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641350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40" w:name="page141"/>
    <w:bookmarkEnd w:id="140"/>
    <w:p>
      <w:pPr>
        <w:spacing w:after="0" w:line="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immediately prior thereto do not own, directly or indirectly, outstanding voting securities representing more than fifty percent (50%) of the combined outstanding voting power of the surviving entity in such merger, consolidation or similar corporate transaction or more than fifty percent (50%) of the combined outstanding voting power of the parent of the surviving entity in such merger, consolidation or similar corporate transaction; or</w:t>
      </w:r>
    </w:p>
    <w:p>
      <w:pPr>
        <w:spacing w:after="0" w:line="198" w:lineRule="exact"/>
        <w:rPr>
          <w:sz w:val="20"/>
          <w:szCs w:val="20"/>
          <w:color w:val="auto"/>
        </w:rPr>
      </w:pPr>
    </w:p>
    <w:p>
      <w:pPr>
        <w:jc w:val="both"/>
        <w:ind w:firstLine="2246"/>
        <w:spacing w:after="0" w:line="282"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19"/>
          <w:szCs w:val="19"/>
          <w:color w:val="auto"/>
        </w:rPr>
        <w:t>a sale or other disposition of all or substantially all of the consolidated assets of the Company that occurs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over a period of not more than twelve (12) months.</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However, a Change in Control will not include (1) any consolidation or merger effected exclusively to change the domicile of the Company, or (2) any transaction or series of transactions principally for bona fide equity financing purposes in which cash is received by the Company or any successor or indebtedness of the Company is cancelled or converted or a combination thereof. In addition, no transaction will be a Change in Control unless it is also “change in ownership of a corporation” or “change in ownership of a substantial portion of a corporation’s assets” as defined under in Treasury Regulations Sections 1.409A-3(i)(5)(v) and (vii) without regard to any alternative definitions thereunder.</w:t>
      </w:r>
    </w:p>
    <w:p>
      <w:pPr>
        <w:spacing w:after="0" w:line="207" w:lineRule="exact"/>
        <w:rPr>
          <w:sz w:val="20"/>
          <w:szCs w:val="20"/>
          <w:color w:val="auto"/>
        </w:rPr>
      </w:pPr>
    </w:p>
    <w:p>
      <w:pPr>
        <w:jc w:val="both"/>
        <w:ind w:firstLine="1490"/>
        <w:spacing w:after="0" w:line="241" w:lineRule="auto"/>
        <w:tabs>
          <w:tab w:leader="none" w:pos="1927" w:val="left"/>
        </w:tabs>
        <w:numPr>
          <w:ilvl w:val="1"/>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Good Reason. </w:t>
      </w: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for Executive’s resignation of his or 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employment will exist following the occurrence of any of the following without Executive’s written consent: (i) a material reduction in Executive’s base salary, which the parties agree is a reduction of at least ten percent (10%) of Executive’s base salary (provided, however, that such reduction will not be considered Good Reason if made in connection with an across-the-board salary reduction affecting all members of management); (ii) a material reduction in Executive’s duties, responsibilities and/or authority,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 change in job position (including a change in title) after or in connection with a Change in Control shall not be deemed a “material reduction” in and of itself unless Executive’s new duties are materially reduced from Executive’s prior duties; (iii) a relocation of Executive’s principal place of employment to a place that increases Executive’s one-way commute by more than fifty (50) miles as compared to Executive’s then-current principal place of employment immediately prior to such relocation; or (iv) a material breach by the Company of this Agreement. In order to resign for Good Reason, Executive must provide written notice to the Board within thirty (30) days after the first occurrence of the event giving rise to Good Reason setting forth the basis for Executive’s resignation, allow the Company at least thirty (30) days from receipt of such written notice to cure such event, and if such event is not reasonably cured within such period, Executive must resign from all positions Executive then holds with the Company not later than thirty (30) days after the expiration of the cure period or the date of notification to Executive that the Company will not so cure. Executive understands and agrees that the requirement for Executive’s performance of services within twenty (20) miles of Palo Alto, California does not give rise to Good Reason.</w:t>
      </w:r>
    </w:p>
    <w:p>
      <w:pPr>
        <w:spacing w:after="0" w:line="233" w:lineRule="exact"/>
        <w:rPr>
          <w:rFonts w:ascii="Times New Roman" w:cs="Times New Roman" w:eastAsia="Times New Roman" w:hAnsi="Times New Roman"/>
          <w:sz w:val="20"/>
          <w:szCs w:val="20"/>
          <w:b w:val="1"/>
          <w:bCs w:val="1"/>
          <w:color w:val="auto"/>
        </w:rPr>
      </w:pPr>
    </w:p>
    <w:p>
      <w:pPr>
        <w:ind w:left="1500" w:hanging="758"/>
        <w:spacing w:after="0"/>
        <w:tabs>
          <w:tab w:leader="none" w:pos="150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Parachute Payments</w:t>
      </w:r>
      <w:r>
        <w:rPr>
          <w:rFonts w:ascii="Times New Roman" w:cs="Times New Roman" w:eastAsia="Times New Roman" w:hAnsi="Times New Roman"/>
          <w:sz w:val="20"/>
          <w:szCs w:val="20"/>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490"/>
        <w:spacing w:after="0" w:line="243" w:lineRule="auto"/>
        <w:tabs>
          <w:tab w:leader="none" w:pos="1927" w:val="left"/>
        </w:tabs>
        <w:numPr>
          <w:ilvl w:val="1"/>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any payment or benefit (including payments and benefits pursuant to this Agreement) that Executive would receive in connection with a Change in Control from the Company or otherwise (“</w:t>
      </w:r>
      <w:r>
        <w:rPr>
          <w:rFonts w:ascii="Times New Roman" w:cs="Times New Roman" w:eastAsia="Times New Roman" w:hAnsi="Times New Roman"/>
          <w:sz w:val="20"/>
          <w:szCs w:val="20"/>
          <w:b w:val="1"/>
          <w:bCs w:val="1"/>
          <w:i w:val="1"/>
          <w:iCs w:val="1"/>
          <w:color w:val="auto"/>
        </w:rPr>
        <w:t>Transaction Payment</w:t>
      </w:r>
      <w:r>
        <w:rPr>
          <w:rFonts w:ascii="Times New Roman" w:cs="Times New Roman" w:eastAsia="Times New Roman" w:hAnsi="Times New Roman"/>
          <w:sz w:val="20"/>
          <w:szCs w:val="20"/>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Times New Roman" w:cs="Times New Roman" w:eastAsia="Times New Roman" w:hAnsi="Times New Roman"/>
          <w:sz w:val="20"/>
          <w:szCs w:val="20"/>
          <w:b w:val="1"/>
          <w:bCs w:val="1"/>
          <w:i w:val="1"/>
          <w:iCs w:val="1"/>
          <w:color w:val="auto"/>
        </w:rPr>
        <w:t>Full Payment</w:t>
      </w:r>
      <w:r>
        <w:rPr>
          <w:rFonts w:ascii="Times New Roman" w:cs="Times New Roman" w:eastAsia="Times New Roman" w:hAnsi="Times New Roman"/>
          <w:sz w:val="20"/>
          <w:szCs w:val="20"/>
          <w:color w:val="auto"/>
        </w:rPr>
        <w:t>”), or (2) payment of only a part of the Transaction Payment so that Executive receives the largest payment possible without the imposition of the Excise Tax (a “</w:t>
      </w:r>
      <w:r>
        <w:rPr>
          <w:rFonts w:ascii="Times New Roman" w:cs="Times New Roman" w:eastAsia="Times New Roman" w:hAnsi="Times New Roman"/>
          <w:sz w:val="20"/>
          <w:szCs w:val="20"/>
          <w:b w:val="1"/>
          <w:bCs w:val="1"/>
          <w:i w:val="1"/>
          <w:iCs w:val="1"/>
          <w:color w:val="auto"/>
        </w:rPr>
        <w:t>Reduced Payment</w:t>
      </w:r>
      <w:r>
        <w:rPr>
          <w:rFonts w:ascii="Times New Roman" w:cs="Times New Roman" w:eastAsia="Times New Roman" w:hAnsi="Times New Roman"/>
          <w:sz w:val="20"/>
          <w:szCs w:val="20"/>
          <w:color w:val="auto"/>
        </w:rPr>
        <w:t>”). For purposes of determining whether to make a Full</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641350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41" w:name="page142"/>
    <w:bookmarkEnd w:id="141"/>
    <w:p>
      <w:pPr>
        <w:jc w:val="both"/>
        <w:spacing w:after="0" w:line="244" w:lineRule="auto"/>
        <w:rPr>
          <w:sz w:val="20"/>
          <w:szCs w:val="20"/>
          <w:color w:val="auto"/>
        </w:rPr>
      </w:pPr>
      <w:r>
        <w:rPr>
          <w:rFonts w:ascii="Times New Roman" w:cs="Times New Roman" w:eastAsia="Times New Roman" w:hAnsi="Times New Roman"/>
          <w:sz w:val="20"/>
          <w:szCs w:val="20"/>
          <w:color w:val="auto"/>
        </w:rPr>
        <w:t>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shall occur in the manner that results in the greatest economic benefit to Executive as determined in this paragraph (the “</w:t>
      </w:r>
      <w:r>
        <w:rPr>
          <w:rFonts w:ascii="Times New Roman" w:cs="Times New Roman" w:eastAsia="Times New Roman" w:hAnsi="Times New Roman"/>
          <w:sz w:val="20"/>
          <w:szCs w:val="20"/>
          <w:b w:val="1"/>
          <w:bCs w:val="1"/>
          <w:i w:val="1"/>
          <w:iCs w:val="1"/>
          <w:color w:val="auto"/>
        </w:rPr>
        <w:t>Reduction Method</w:t>
      </w:r>
      <w:r>
        <w:rPr>
          <w:rFonts w:ascii="Times New Roman" w:cs="Times New Roman" w:eastAsia="Times New Roman" w:hAnsi="Times New Roman"/>
          <w:sz w:val="20"/>
          <w:szCs w:val="20"/>
          <w:color w:val="auto"/>
        </w:rPr>
        <w:t>”). If more than one method of reduction will result in the same economic benefit, the portions of the Transaction Payment shall be reduced pro rata (the “</w:t>
      </w:r>
      <w:r>
        <w:rPr>
          <w:rFonts w:ascii="Times New Roman" w:cs="Times New Roman" w:eastAsia="Times New Roman" w:hAnsi="Times New Roman"/>
          <w:sz w:val="20"/>
          <w:szCs w:val="20"/>
          <w:b w:val="1"/>
          <w:bCs w:val="1"/>
          <w:i w:val="1"/>
          <w:iCs w:val="1"/>
          <w:color w:val="auto"/>
        </w:rPr>
        <w:t>Pro Rata Reduction Method</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ind w:firstLine="1490"/>
        <w:spacing w:after="0" w:line="243" w:lineRule="auto"/>
        <w:tabs>
          <w:tab w:leader="none" w:pos="1927"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any provision of subsection (a) above to the contrary, if the Reduction Method or the Pro Rata Reduction Method would result in any portion of the Transaction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Executive as determined on an after-tax basis; (ii) as a second priority, Transaction Payments that are contingent on future events (e.g., being terminated without Cause), shall be reduced (or eliminated) before Transaction Payments that are not contingent on future events; and (iii) as a third priority, Transaction Payments that are "deferred compensation" within the meaning of Section 409A shall be reduced (or eliminated) before Transaction Payments that are not deferred compensation within the meaning of Section 409A.</w:t>
      </w:r>
    </w:p>
    <w:p>
      <w:pPr>
        <w:spacing w:after="0" w:line="280" w:lineRule="exact"/>
        <w:rPr>
          <w:rFonts w:ascii="Times New Roman" w:cs="Times New Roman" w:eastAsia="Times New Roman" w:hAnsi="Times New Roman"/>
          <w:sz w:val="20"/>
          <w:szCs w:val="20"/>
          <w:b w:val="1"/>
          <w:bCs w:val="1"/>
          <w:color w:val="auto"/>
        </w:rPr>
      </w:pPr>
    </w:p>
    <w:p>
      <w:pPr>
        <w:jc w:val="both"/>
        <w:ind w:firstLine="1490"/>
        <w:spacing w:after="0" w:line="245" w:lineRule="auto"/>
        <w:tabs>
          <w:tab w:leader="none" w:pos="1927"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professional firm engaged by the Company for general tax purposes or the Company’s corporate law firm as of the day prior to the effective date of the Change in Control shall make all determinations required to be made under this Section 5. If the professional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211" w:lineRule="exact"/>
        <w:rPr>
          <w:rFonts w:ascii="Times New Roman" w:cs="Times New Roman" w:eastAsia="Times New Roman" w:hAnsi="Times New Roman"/>
          <w:sz w:val="20"/>
          <w:szCs w:val="20"/>
          <w:b w:val="1"/>
          <w:bCs w:val="1"/>
          <w:color w:val="auto"/>
        </w:rPr>
      </w:pPr>
    </w:p>
    <w:p>
      <w:pPr>
        <w:jc w:val="both"/>
        <w:ind w:firstLine="1490"/>
        <w:spacing w:after="0" w:line="244" w:lineRule="auto"/>
        <w:tabs>
          <w:tab w:leader="none" w:pos="1927"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professional firm engaged to make the determinations hereunder shall provide its calculations, together with detailed supporting documentation, to the Company and Executive within fifteen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9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6.</w:t>
      </w:r>
      <w:r>
        <w:rPr>
          <w:rFonts w:ascii="Times New Roman" w:cs="Times New Roman" w:eastAsia="Times New Roman" w:hAnsi="Times New Roman"/>
          <w:sz w:val="19"/>
          <w:szCs w:val="19"/>
          <w:b w:val="1"/>
          <w:bCs w:val="1"/>
          <w:color w:val="auto"/>
        </w:rPr>
        <w:t>Other Employment Terms and Conditions</w:t>
      </w:r>
      <w:r>
        <w:rPr>
          <w:rFonts w:ascii="Times New Roman" w:cs="Times New Roman" w:eastAsia="Times New Roman" w:hAnsi="Times New Roman"/>
          <w:sz w:val="19"/>
          <w:szCs w:val="19"/>
          <w:color w:val="auto"/>
        </w:rPr>
        <w:t>. The employment relationship between the parties shall be governed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general employment policies and procedures of the Company, including those relating to the protection of confidential information and assignment of inventions; provided, however, that when the terms of this Agreement differ from or are in conflict with the Company’s general employment policies or procedures, this Agreement shall control.</w:t>
      </w:r>
    </w:p>
    <w:p>
      <w:pPr>
        <w:spacing w:after="0" w:line="205" w:lineRule="exact"/>
        <w:rPr>
          <w:sz w:val="20"/>
          <w:szCs w:val="20"/>
          <w:color w:val="auto"/>
        </w:rPr>
      </w:pPr>
    </w:p>
    <w:p>
      <w:pPr>
        <w:ind w:left="1500" w:hanging="758"/>
        <w:spacing w:after="0"/>
        <w:tabs>
          <w:tab w:leader="none" w:pos="150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Dispute Resolution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Executive and the Company agree that any and all disputes, claims, or causes of action, in</w:t>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649605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42" w:name="page143"/>
    <w:bookmarkEnd w:id="142"/>
    <w:p>
      <w:pPr>
        <w:jc w:val="both"/>
        <w:ind w:left="7"/>
        <w:spacing w:after="0" w:line="244" w:lineRule="auto"/>
        <w:rPr>
          <w:sz w:val="20"/>
          <w:szCs w:val="20"/>
          <w:color w:val="auto"/>
        </w:rPr>
      </w:pPr>
      <w:r>
        <w:rPr>
          <w:rFonts w:ascii="Times New Roman" w:cs="Times New Roman" w:eastAsia="Times New Roman" w:hAnsi="Times New Roman"/>
          <w:sz w:val="20"/>
          <w:szCs w:val="20"/>
          <w:color w:val="auto"/>
        </w:rPr>
        <w:t>law or equity, including but not limited to statutory claims, arising from or relating to the enforcement, breach, performance, or interpretation of this Agreement, Executive’s employment with the Company, or the termination of Executive’s employment, shall be resolved pursuant to the Federal Arbitration Act, 9 U.S.C. § 1-16 (“</w:t>
      </w:r>
      <w:r>
        <w:rPr>
          <w:rFonts w:ascii="Times New Roman" w:cs="Times New Roman" w:eastAsia="Times New Roman" w:hAnsi="Times New Roman"/>
          <w:sz w:val="20"/>
          <w:szCs w:val="20"/>
          <w:b w:val="1"/>
          <w:bCs w:val="1"/>
          <w:i w:val="1"/>
          <w:iCs w:val="1"/>
          <w:color w:val="auto"/>
        </w:rPr>
        <w:t>FAA</w:t>
      </w:r>
      <w:r>
        <w:rPr>
          <w:rFonts w:ascii="Times New Roman" w:cs="Times New Roman" w:eastAsia="Times New Roman" w:hAnsi="Times New Roman"/>
          <w:sz w:val="20"/>
          <w:szCs w:val="20"/>
          <w:color w:val="auto"/>
        </w:rPr>
        <w:t xml:space="preserve">”), to the fullest extent permitted by law, by final, binding and confidential arbitration conducted by JAMS or its successor, under JAMS’ then applicable rules and procedures for employment disputes before a single arbitrator (available upon request and also currently available at http://www.jamsadr.com/rules- employment-arbitration/), in San Jose, California. </w:t>
      </w:r>
      <w:r>
        <w:rPr>
          <w:rFonts w:ascii="Times New Roman" w:cs="Times New Roman" w:eastAsia="Times New Roman" w:hAnsi="Times New Roman"/>
          <w:sz w:val="20"/>
          <w:szCs w:val="20"/>
          <w:b w:val="1"/>
          <w:bCs w:val="1"/>
          <w:color w:val="auto"/>
        </w:rPr>
        <w:t>Executive acknowledges that by agreeing to this arbitration procedure, both Executive and the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waive the right to resolve any such dispute through a trial by jury or judge or administrative proceeding.</w:t>
      </w:r>
    </w:p>
    <w:p>
      <w:pPr>
        <w:spacing w:after="0" w:line="195" w:lineRule="exact"/>
        <w:rPr>
          <w:sz w:val="20"/>
          <w:szCs w:val="20"/>
          <w:color w:val="auto"/>
        </w:rPr>
      </w:pPr>
    </w:p>
    <w:p>
      <w:pPr>
        <w:jc w:val="both"/>
        <w:ind w:left="7"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All claims, disputes, or causes of action under this arbitration agreement, whether by Executive or the Company, must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w:t>
      </w:r>
    </w:p>
    <w:p>
      <w:pPr>
        <w:spacing w:after="0" w:line="206" w:lineRule="exact"/>
        <w:rPr>
          <w:sz w:val="20"/>
          <w:szCs w:val="20"/>
          <w:color w:val="auto"/>
        </w:rPr>
      </w:pPr>
    </w:p>
    <w:p>
      <w:pPr>
        <w:jc w:val="both"/>
        <w:ind w:left="7"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This arbitration agreement shall not apply to any action or claim that cannot be subject to mandatory arbitration as a matter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 to the extent such claims are not permitted by applicable law(s) to be submitted to mandatory arbitration and the applicable law(s) are not preempted by the Federal Arbitration Act or otherwise invalid (collectively, the “</w:t>
      </w:r>
      <w:r>
        <w:rPr>
          <w:rFonts w:ascii="Times New Roman" w:cs="Times New Roman" w:eastAsia="Times New Roman" w:hAnsi="Times New Roman"/>
          <w:sz w:val="20"/>
          <w:szCs w:val="20"/>
          <w:b w:val="1"/>
          <w:bCs w:val="1"/>
          <w:i w:val="1"/>
          <w:iCs w:val="1"/>
          <w:color w:val="auto"/>
        </w:rPr>
        <w:t>Excluded Claims</w:t>
      </w:r>
      <w:r>
        <w:rPr>
          <w:rFonts w:ascii="Times New Roman" w:cs="Times New Roman" w:eastAsia="Times New Roman" w:hAnsi="Times New Roman"/>
          <w:sz w:val="20"/>
          <w:szCs w:val="20"/>
          <w:color w:val="auto"/>
        </w:rPr>
        <w:t>”). In the event Executive intends to bring multiple claims, including one of the Excluded Claims listed above, the Excluded Claims may be filed with a court, while any other claims will remain subject to mandatory arbitration. Executive will have the right to be represented by legal counsel at any arbitration proceeding.</w:t>
      </w:r>
    </w:p>
    <w:p>
      <w:pPr>
        <w:spacing w:after="0" w:line="206" w:lineRule="exact"/>
        <w:rPr>
          <w:sz w:val="20"/>
          <w:szCs w:val="20"/>
          <w:color w:val="auto"/>
        </w:rPr>
      </w:pPr>
    </w:p>
    <w:p>
      <w:pPr>
        <w:jc w:val="both"/>
        <w:ind w:left="7" w:firstLine="749"/>
        <w:spacing w:after="0" w:line="266" w:lineRule="auto"/>
        <w:rPr>
          <w:sz w:val="20"/>
          <w:szCs w:val="20"/>
          <w:color w:val="auto"/>
        </w:rPr>
      </w:pP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9"/>
          <w:szCs w:val="19"/>
          <w:color w:val="auto"/>
        </w:rPr>
        <w:t>Questions of whether a claim is subject to arbitration under this agreement shall be decided by the arbitrator. Likewise,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procedural questions which grow out of the dispute and bear on the final disposition are also matters for the arbitrator. The arbitrator shall:</w:t>
      </w:r>
    </w:p>
    <w:p>
      <w:pPr>
        <w:spacing w:after="0" w:line="1" w:lineRule="exact"/>
        <w:rPr>
          <w:sz w:val="20"/>
          <w:szCs w:val="20"/>
          <w:color w:val="auto"/>
        </w:rPr>
      </w:pPr>
    </w:p>
    <w:p>
      <w:pPr>
        <w:jc w:val="both"/>
        <w:ind w:left="7" w:hanging="7"/>
        <w:spacing w:after="0"/>
        <w:tabs>
          <w:tab w:leader="none" w:pos="27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 authority to compel adequate discovery for the resolution of the dispute and to award such relief as would otherwise be permitted by law; and (ii)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Executive or the Company would be entitled to seek in a court of law. The Company shall pay all JAMS arbitration fees in excess of the administrative fees that Executive would be required to pay if the dispute were decided in a court of law. Nothing in this arbitration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213" w:lineRule="exact"/>
        <w:rPr>
          <w:rFonts w:ascii="Times New Roman" w:cs="Times New Roman" w:eastAsia="Times New Roman" w:hAnsi="Times New Roman"/>
          <w:sz w:val="20"/>
          <w:szCs w:val="20"/>
          <w:color w:val="auto"/>
        </w:rPr>
      </w:pPr>
    </w:p>
    <w:p>
      <w:pPr>
        <w:ind w:left="1507" w:hanging="758"/>
        <w:spacing w:after="0"/>
        <w:tabs>
          <w:tab w:leader="none" w:pos="1507" w:val="left"/>
        </w:tabs>
        <w:numPr>
          <w:ilvl w:val="1"/>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Miscellaneous Provisions.</w:t>
      </w:r>
    </w:p>
    <w:p>
      <w:pPr>
        <w:spacing w:after="0" w:line="206" w:lineRule="exact"/>
        <w:rPr>
          <w:rFonts w:ascii="Times New Roman" w:cs="Times New Roman" w:eastAsia="Times New Roman" w:hAnsi="Times New Roman"/>
          <w:sz w:val="22"/>
          <w:szCs w:val="22"/>
          <w:b w:val="1"/>
          <w:bCs w:val="1"/>
          <w:color w:val="auto"/>
        </w:rPr>
      </w:pPr>
    </w:p>
    <w:p>
      <w:pPr>
        <w:jc w:val="both"/>
        <w:ind w:left="7" w:firstLine="1490"/>
        <w:spacing w:after="0" w:line="256" w:lineRule="auto"/>
        <w:tabs>
          <w:tab w:leader="none" w:pos="1934" w:val="left"/>
        </w:tabs>
        <w:numPr>
          <w:ilvl w:val="2"/>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Duty to Mitigate</w:t>
      </w:r>
      <w:r>
        <w:rPr>
          <w:rFonts w:ascii="Times New Roman" w:cs="Times New Roman" w:eastAsia="Times New Roman" w:hAnsi="Times New Roman"/>
          <w:sz w:val="20"/>
          <w:szCs w:val="20"/>
          <w:color w:val="auto"/>
        </w:rPr>
        <w:t>. Executive shall not be required to mitigate the amount of any payment contemplated by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(whether by seeking new employment or in any other manner), nor shall any such payment be reduced by any earnings that Executive may receive from any other source.</w:t>
      </w:r>
    </w:p>
    <w:p>
      <w:pPr>
        <w:spacing w:after="0" w:line="33" w:lineRule="exact"/>
        <w:rPr>
          <w:rFonts w:ascii="Times New Roman" w:cs="Times New Roman" w:eastAsia="Times New Roman" w:hAnsi="Times New Roman"/>
          <w:sz w:val="20"/>
          <w:szCs w:val="20"/>
          <w:b w:val="1"/>
          <w:bCs w:val="1"/>
          <w:color w:val="auto"/>
        </w:rPr>
      </w:pPr>
    </w:p>
    <w:p>
      <w:pPr>
        <w:jc w:val="both"/>
        <w:ind w:left="7" w:firstLine="1490"/>
        <w:spacing w:after="0" w:line="250" w:lineRule="auto"/>
        <w:tabs>
          <w:tab w:leader="none" w:pos="1934" w:val="left"/>
        </w:tabs>
        <w:numPr>
          <w:ilvl w:val="2"/>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r>
        <w:rPr>
          <w:rFonts w:ascii="Times New Roman" w:cs="Times New Roman" w:eastAsia="Times New Roman" w:hAnsi="Times New Roman"/>
          <w:sz w:val="20"/>
          <w:szCs w:val="20"/>
          <w:color w:val="auto"/>
        </w:rPr>
        <w:t>. No provision of this Agreement shall be modified, waived or discharged unless the modification, waiver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discharge is agreed to in writing and signed by Executive and by an authorized officer of the Company (other than Executive). No waiver by either party of any breach of, or of compliance with, any condition or provision of this Agreement by the other party shall be considered a</w:t>
      </w:r>
    </w:p>
    <w:p>
      <w:pPr>
        <w:spacing w:after="0" w:line="202"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649605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440" w:right="459" w:bottom="1440" w:gutter="0" w:footer="0" w:header="0"/>
        </w:sectPr>
      </w:pPr>
    </w:p>
    <w:bookmarkStart w:id="143" w:name="page144"/>
    <w:bookmarkEnd w:id="143"/>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waiver of any other condition or provision or of the same condition or provision at another time.</w:t>
      </w:r>
    </w:p>
    <w:p>
      <w:pPr>
        <w:spacing w:after="0" w:line="239" w:lineRule="exact"/>
        <w:rPr>
          <w:sz w:val="20"/>
          <w:szCs w:val="20"/>
          <w:color w:val="auto"/>
        </w:rPr>
      </w:pPr>
    </w:p>
    <w:p>
      <w:pPr>
        <w:jc w:val="both"/>
        <w:ind w:firstLine="1490"/>
        <w:spacing w:after="0" w:line="245" w:lineRule="auto"/>
        <w:tabs>
          <w:tab w:leader="none" w:pos="1927"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Whole Agreement</w:t>
      </w:r>
      <w:r>
        <w:rPr>
          <w:rFonts w:ascii="Times New Roman" w:cs="Times New Roman" w:eastAsia="Times New Roman" w:hAnsi="Times New Roman"/>
          <w:sz w:val="20"/>
          <w:szCs w:val="20"/>
          <w:color w:val="auto"/>
        </w:rPr>
        <w:t>. No agreements, representations or understandings (whether oral or written and whether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express or implied) which are not expressly set forth in this Agreement have been made or entered into by either party with respect to the subject matter hereof. This Agreement supersedes any agreement (or portion thereof) concerning similar subject matter dated prior to the date of this Agreement, and by execution of this Agreement both parties agree that any such predecessor agreement (or portion thereof) shall be deemed null and void. For the avoidance of doubt, the parties agree that this Agreement does not supersede the provisions of Executive’s Offer Letter that do not address termination or severance benefits or Executive’s Employee Confidential Information and Invention Assignment Agreement with the Company.</w:t>
      </w:r>
    </w:p>
    <w:p>
      <w:pPr>
        <w:spacing w:after="0" w:line="206" w:lineRule="exact"/>
        <w:rPr>
          <w:rFonts w:ascii="Times New Roman" w:cs="Times New Roman" w:eastAsia="Times New Roman" w:hAnsi="Times New Roman"/>
          <w:sz w:val="20"/>
          <w:szCs w:val="20"/>
          <w:b w:val="1"/>
          <w:bCs w:val="1"/>
          <w:color w:val="auto"/>
        </w:rPr>
      </w:pPr>
    </w:p>
    <w:p>
      <w:pPr>
        <w:jc w:val="both"/>
        <w:ind w:firstLine="1490"/>
        <w:spacing w:after="0" w:line="256" w:lineRule="auto"/>
        <w:tabs>
          <w:tab w:leader="none" w:pos="1927"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Choice of Law</w:t>
      </w:r>
      <w:r>
        <w:rPr>
          <w:rFonts w:ascii="Times New Roman" w:cs="Times New Roman" w:eastAsia="Times New Roman" w:hAnsi="Times New Roman"/>
          <w:sz w:val="20"/>
          <w:szCs w:val="20"/>
          <w:color w:val="auto"/>
        </w:rPr>
        <w:t>. The validity, interpretation, construction and performance of this Agreement shall be governed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laws of the State of California without reference to conflict of laws provisions, and the parties hereto submit to the exclusive jurisdiction of the state and federal courts of the State of California.</w:t>
      </w:r>
    </w:p>
    <w:p>
      <w:pPr>
        <w:spacing w:after="0" w:line="182" w:lineRule="exact"/>
        <w:rPr>
          <w:rFonts w:ascii="Times New Roman" w:cs="Times New Roman" w:eastAsia="Times New Roman" w:hAnsi="Times New Roman"/>
          <w:sz w:val="20"/>
          <w:szCs w:val="20"/>
          <w:b w:val="1"/>
          <w:bCs w:val="1"/>
          <w:color w:val="auto"/>
        </w:rPr>
      </w:pPr>
    </w:p>
    <w:p>
      <w:pPr>
        <w:jc w:val="both"/>
        <w:ind w:firstLine="1490"/>
        <w:spacing w:after="0" w:line="246" w:lineRule="auto"/>
        <w:tabs>
          <w:tab w:leader="none" w:pos="1927"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term or provision of this Agreement or the application thereof to any circumstance shall,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jurisdiction and to any extent, be invalid or unenforceable, such term or provision shall be ineffective as to such jurisdiction to the extent of such invalidity or unenforceability without invalidating or rendering unenforceable the remaining terms and provisions of this Agreement or the application of such terms and provisions to circumstances other than those as to which it is held invalid or unenforceable, and a suitable and equitable term or provision shall be substituted therefor to carry out, insofar as may be valid and enforceable, the intent and purpose of the invalid or unenforceable term or provision.</w:t>
      </w:r>
    </w:p>
    <w:p>
      <w:pPr>
        <w:spacing w:after="0" w:line="205" w:lineRule="exact"/>
        <w:rPr>
          <w:rFonts w:ascii="Times New Roman" w:cs="Times New Roman" w:eastAsia="Times New Roman" w:hAnsi="Times New Roman"/>
          <w:sz w:val="20"/>
          <w:szCs w:val="20"/>
          <w:b w:val="1"/>
          <w:bCs w:val="1"/>
          <w:color w:val="auto"/>
        </w:rPr>
      </w:pPr>
    </w:p>
    <w:p>
      <w:pPr>
        <w:ind w:firstLine="1490"/>
        <w:spacing w:after="0" w:line="273" w:lineRule="auto"/>
        <w:tabs>
          <w:tab w:leader="none" w:pos="1927"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Legal Fees and Expenses</w:t>
      </w:r>
      <w:r>
        <w:rPr>
          <w:rFonts w:ascii="Times New Roman" w:cs="Times New Roman" w:eastAsia="Times New Roman" w:hAnsi="Times New Roman"/>
          <w:sz w:val="20"/>
          <w:szCs w:val="20"/>
          <w:color w:val="auto"/>
        </w:rPr>
        <w:t>. The parties shall each bear their own expenses, legal fees and other fees incurred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 execution of this Agreement.</w:t>
      </w:r>
    </w:p>
    <w:p>
      <w:pPr>
        <w:spacing w:after="0" w:line="178" w:lineRule="exact"/>
        <w:rPr>
          <w:rFonts w:ascii="Times New Roman" w:cs="Times New Roman" w:eastAsia="Times New Roman" w:hAnsi="Times New Roman"/>
          <w:sz w:val="20"/>
          <w:szCs w:val="20"/>
          <w:b w:val="1"/>
          <w:bCs w:val="1"/>
          <w:color w:val="auto"/>
        </w:rPr>
      </w:pPr>
    </w:p>
    <w:p>
      <w:pPr>
        <w:jc w:val="both"/>
        <w:ind w:firstLine="1490"/>
        <w:spacing w:after="0" w:line="256" w:lineRule="auto"/>
        <w:tabs>
          <w:tab w:leader="none" w:pos="1927"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Assignment of Benefits</w:t>
      </w:r>
      <w:r>
        <w:rPr>
          <w:rFonts w:ascii="Times New Roman" w:cs="Times New Roman" w:eastAsia="Times New Roman" w:hAnsi="Times New Roman"/>
          <w:sz w:val="20"/>
          <w:szCs w:val="20"/>
          <w:color w:val="auto"/>
        </w:rPr>
        <w:t>. The rights of any person to payments or benefits under this Agreement shall not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subject to option or assignment, either by voluntary or involuntary assignment or by operation of law, including (without limitation) bankruptcy, garnishment, attachment or other creditor’s process, and any action in violation of this Section 8(g) shall be void.</w:t>
      </w:r>
    </w:p>
    <w:p>
      <w:pPr>
        <w:spacing w:after="0" w:line="182" w:lineRule="exact"/>
        <w:rPr>
          <w:rFonts w:ascii="Times New Roman" w:cs="Times New Roman" w:eastAsia="Times New Roman" w:hAnsi="Times New Roman"/>
          <w:sz w:val="20"/>
          <w:szCs w:val="20"/>
          <w:b w:val="1"/>
          <w:bCs w:val="1"/>
          <w:color w:val="auto"/>
        </w:rPr>
      </w:pPr>
    </w:p>
    <w:p>
      <w:pPr>
        <w:ind w:firstLine="1490"/>
        <w:spacing w:after="0" w:line="273" w:lineRule="auto"/>
        <w:tabs>
          <w:tab w:leader="none" w:pos="1927"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in counterparts, each of which shall be deemed an original, but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of which together will constitute one and the same instrument.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[REMAINDER OF THIS PAGE LEFT BLANK – SIGNATURE PAGE TO FOLLOW]</w:t>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649605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44" w:name="page145"/>
    <w:bookmarkEnd w:id="144"/>
    <w:p>
      <w:pPr>
        <w:spacing w:after="0" w:line="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have executed this Agreement as of the date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/s/ Chris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-13970</wp:posOffset>
            </wp:positionV>
            <wp:extent cx="8229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22"/>
          <w:szCs w:val="22"/>
          <w:b w:val="1"/>
          <w:bCs w:val="1"/>
          <w:color w:val="auto"/>
        </w:rPr>
        <w:t>Chris Hall</w:t>
      </w:r>
    </w:p>
    <w:p>
      <w:pPr>
        <w:spacing w:after="0" w:line="19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Address: 6600 Dumbarton Circle</w:t>
      </w:r>
    </w:p>
    <w:p>
      <w:pPr>
        <w:spacing w:after="0" w:line="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u w:val="single" w:color="auto"/>
          <w:color w:val="auto"/>
        </w:rPr>
        <w:t>Fremont, CA 94555</w:t>
      </w:r>
    </w:p>
    <w:p>
      <w:pPr>
        <w:ind w:left="4380"/>
        <w:spacing w:after="0"/>
        <w:rPr>
          <w:sz w:val="20"/>
          <w:szCs w:val="20"/>
          <w:color w:val="auto"/>
        </w:rPr>
      </w:pPr>
      <w:r>
        <w:rPr>
          <w:rFonts w:ascii="Times New Roman" w:cs="Times New Roman" w:eastAsia="Times New Roman" w:hAnsi="Times New Roman"/>
          <w:sz w:val="22"/>
          <w:szCs w:val="22"/>
          <w:color w:val="auto"/>
        </w:rPr>
        <w:t>Date: 9/27/2023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-29210</wp:posOffset>
            </wp:positionV>
            <wp:extent cx="8001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2">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PERSONALIS, INC.</w:t>
      </w:r>
    </w:p>
    <w:p>
      <w:pPr>
        <w:spacing w:after="0" w:line="2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/s/ Stephen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-13970</wp:posOffset>
            </wp:positionV>
            <wp:extent cx="10972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8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By: Stephen Moore</w:t>
      </w:r>
    </w:p>
    <w:p>
      <w:pPr>
        <w:spacing w:after="0" w:line="2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641350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16"/>
          <w:szCs w:val="16"/>
          <w:b w:val="1"/>
          <w:bCs w:val="1"/>
          <w:color w:val="auto"/>
        </w:rPr>
        <w:t>Exhibit 10.13</w:t>
      </w:r>
    </w:p>
    <w:p>
      <w:pPr>
        <w:spacing w:after="0" w:line="200" w:lineRule="exact"/>
        <w:rPr>
          <w:sz w:val="20"/>
          <w:szCs w:val="20"/>
          <w:color w:val="auto"/>
        </w:rPr>
      </w:pPr>
    </w:p>
    <w:p>
      <w:pPr>
        <w:spacing w:after="0" w:line="24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PERSONALIS,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AMENDED AND RESTATED EXECUTIVE SEVERANCE AGREEMENT</w:t>
      </w:r>
    </w:p>
    <w:p>
      <w:pPr>
        <w:spacing w:after="0" w:line="20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This Third Amended and Restated Executive Severance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effective as of September 25, 2023, amends, supersedes and restates in its entirety that certain Second Amended and Restated Executive Severance Agreement by and between Aaron Tachibana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Personalis,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dated March 7, 2023. This Agreement is intended to provide Executive with certain benefits described herein upon the occurrence of specific events.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00" w:lineRule="exact"/>
        <w:rPr>
          <w:sz w:val="20"/>
          <w:szCs w:val="20"/>
          <w:color w:val="auto"/>
        </w:rPr>
      </w:pPr>
    </w:p>
    <w:p>
      <w:pPr>
        <w:ind w:firstLine="440"/>
        <w:spacing w:after="0" w:line="264" w:lineRule="auto"/>
        <w:tabs>
          <w:tab w:leader="none" w:pos="86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Company’s Board of Directors (the “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believes it is in the best interests of the Company and its shareholders to retain Executive and provide incentives to Executive to continue in the service of the Company.</w:t>
      </w:r>
    </w:p>
    <w:p>
      <w:pPr>
        <w:spacing w:after="0" w:line="178" w:lineRule="exact"/>
        <w:rPr>
          <w:rFonts w:ascii="Times New Roman" w:cs="Times New Roman" w:eastAsia="Times New Roman" w:hAnsi="Times New Roman"/>
          <w:sz w:val="22"/>
          <w:szCs w:val="22"/>
          <w:color w:val="auto"/>
        </w:rPr>
      </w:pPr>
    </w:p>
    <w:p>
      <w:pPr>
        <w:ind w:firstLine="440"/>
        <w:spacing w:after="0" w:line="244" w:lineRule="auto"/>
        <w:tabs>
          <w:tab w:leader="none" w:pos="86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further believes that it is imperative to provide Executive with certain benefits upon termination of Executive’s employment, which benefits are intended to provide Executive with financial security and sufficient income and encouragement to Executive to remain with the Company.</w:t>
      </w:r>
    </w:p>
    <w:p>
      <w:pPr>
        <w:spacing w:after="0" w:line="200" w:lineRule="exact"/>
        <w:rPr>
          <w:rFonts w:ascii="Times New Roman" w:cs="Times New Roman" w:eastAsia="Times New Roman" w:hAnsi="Times New Roman"/>
          <w:sz w:val="22"/>
          <w:szCs w:val="22"/>
          <w:color w:val="auto"/>
        </w:rPr>
      </w:pPr>
    </w:p>
    <w:p>
      <w:pPr>
        <w:ind w:right="60" w:firstLine="440"/>
        <w:spacing w:after="0" w:line="258" w:lineRule="auto"/>
        <w:tabs>
          <w:tab w:leader="none" w:pos="86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accomplish the foregoing objectives, the Board has directed the Company, upon execution of this Agreement by Executive, to agree to the terms provided in this Agreement.</w:t>
      </w:r>
    </w:p>
    <w:p>
      <w:pPr>
        <w:spacing w:after="0" w:line="18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covenants and agreements contained herein, the parties hereto agree as follows:</w:t>
      </w:r>
    </w:p>
    <w:p>
      <w:pPr>
        <w:spacing w:after="0" w:line="154" w:lineRule="exact"/>
        <w:rPr>
          <w:sz w:val="20"/>
          <w:szCs w:val="20"/>
          <w:color w:val="auto"/>
        </w:rPr>
      </w:pPr>
    </w:p>
    <w:p>
      <w:pPr>
        <w:jc w:val="both"/>
        <w:ind w:firstLine="757"/>
        <w:spacing w:after="0" w:line="238" w:lineRule="auto"/>
        <w:tabs>
          <w:tab w:leader="none" w:pos="1018"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At-Will Employment</w:t>
      </w:r>
      <w:r>
        <w:rPr>
          <w:rFonts w:ascii="Times New Roman" w:cs="Times New Roman" w:eastAsia="Times New Roman" w:hAnsi="Times New Roman"/>
          <w:sz w:val="22"/>
          <w:szCs w:val="22"/>
          <w:color w:val="auto"/>
        </w:rPr>
        <w:t>. Executive’s employment is at-will, which means that the Company may terminate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at any time, with or without Cause or advance notice. Similarly, Executive may resign Executive’s employment at any time, with or without advance notice, and with or without Good Reason. Executive shall not receive any compensation of any kind, including, without limitation, equity award vesting acceleration and severance benefits, following Executive’s last day of employment with the Company, except as expressly provided herein.</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Benefits Upon Termination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1"/>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in Connection with or Following a Change in Control</w:t>
      </w:r>
      <w:r>
        <w:rPr>
          <w:rFonts w:ascii="Times New Roman" w:cs="Times New Roman" w:eastAsia="Times New Roman" w:hAnsi="Times New Roman"/>
          <w:sz w:val="22"/>
          <w:szCs w:val="22"/>
          <w:color w:val="auto"/>
        </w:rPr>
        <w:t>. If Executive’s employment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without Cause (as defined below) (and other than as a result of Executive’s death or disability), or Executive resigns for Good Reason (as defined below), in either case within twelve (12) months after the effective date of a Change in Control (as defined below), and provided such termination constitutes a “separation from service” (within the meaning of Treasury Regulation Section 1.409A-1(h), such termination a “</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and provided further that Executive signs and allows to become effective a general release of all claims in favor of the Company in a form provided by the Company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within sixty (60) days after Executive’s Separation from Service (the date that the Release becomes effective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6" w:name="page147"/>
    <w:bookmarkEnd w:id="146"/>
    <w:p>
      <w:pPr>
        <w:ind w:right="20"/>
        <w:spacing w:after="0" w:line="264" w:lineRule="auto"/>
        <w:rPr>
          <w:sz w:val="20"/>
          <w:szCs w:val="20"/>
          <w:color w:val="auto"/>
        </w:rPr>
      </w:pPr>
      <w:r>
        <w:rPr>
          <w:rFonts w:ascii="Times New Roman" w:cs="Times New Roman" w:eastAsia="Times New Roman" w:hAnsi="Times New Roman"/>
          <w:sz w:val="22"/>
          <w:szCs w:val="22"/>
          <w:color w:val="auto"/>
        </w:rPr>
        <w:t xml:space="preserve">may no longer be revoked by Executive is referred to as the </w:t>
      </w:r>
      <w:r>
        <w:rPr>
          <w:rFonts w:ascii="Times New Roman" w:cs="Times New Roman" w:eastAsia="Times New Roman" w:hAnsi="Times New Roman"/>
          <w:sz w:val="22"/>
          <w:szCs w:val="22"/>
          <w:b w:val="1"/>
          <w:bCs w:val="1"/>
          <w:i w:val="1"/>
          <w:iCs w:val="1"/>
          <w:color w:val="auto"/>
        </w:rPr>
        <w:t>“Release Date”</w:t>
      </w:r>
      <w:r>
        <w:rPr>
          <w:rFonts w:ascii="Times New Roman" w:cs="Times New Roman" w:eastAsia="Times New Roman" w:hAnsi="Times New Roman"/>
          <w:sz w:val="22"/>
          <w:szCs w:val="22"/>
          <w:color w:val="auto"/>
        </w:rPr>
        <w:t>), then the Company shall provide Executive with the following severance benefits (the “</w:t>
      </w:r>
      <w:r>
        <w:rPr>
          <w:rFonts w:ascii="Times New Roman" w:cs="Times New Roman" w:eastAsia="Times New Roman" w:hAnsi="Times New Roman"/>
          <w:sz w:val="22"/>
          <w:szCs w:val="22"/>
          <w:b w:val="1"/>
          <w:bCs w:val="1"/>
          <w:i w:val="1"/>
          <w:iCs w:val="1"/>
          <w:color w:val="auto"/>
        </w:rPr>
        <w:t>Change in Control Separation Benefits</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2254"/>
        <w:spacing w:after="0" w:line="244" w:lineRule="auto"/>
        <w:tabs>
          <w:tab w:leader="none" w:pos="2546"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Executive cash severance in an amount equal to twelve (12) months of Executive’s then-current base salary, ignoring any decrease in base salary that forms the basis for Good Reason, less all applicable withholdings and deductions, paid on the Company’s first regular payroll date following the Release Date.</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Executive further cash severance in an amount equal to one hundred percent (100%) of Executive’s target annual bonus for the year in which the Change in Control is consummated, less all applicable withholdings and deduction, paid on the Company’s first regular payroll date following the Release Date.</w:t>
      </w:r>
    </w:p>
    <w:p>
      <w:pPr>
        <w:spacing w:after="0" w:line="169"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Should Executive timely elect to continue Executive’s medical, dental and/or vision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pursuant to the Consolidated Omnibus Budget Reconciliation Act of 1985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or any analogous provisions of applicable state law, the Company shall pay Executive’s COBRA premiums for Executive and Executive’s eligible dependents (“</w:t>
      </w:r>
      <w:r>
        <w:rPr>
          <w:rFonts w:ascii="Times New Roman" w:cs="Times New Roman" w:eastAsia="Times New Roman" w:hAnsi="Times New Roman"/>
          <w:sz w:val="22"/>
          <w:szCs w:val="22"/>
          <w:b w:val="1"/>
          <w:bCs w:val="1"/>
          <w:i w:val="1"/>
          <w:iCs w:val="1"/>
          <w:color w:val="auto"/>
        </w:rPr>
        <w:t>COBRA Premiums</w:t>
      </w:r>
      <w:r>
        <w:rPr>
          <w:rFonts w:ascii="Times New Roman" w:cs="Times New Roman" w:eastAsia="Times New Roman" w:hAnsi="Times New Roman"/>
          <w:sz w:val="22"/>
          <w:szCs w:val="22"/>
          <w:color w:val="auto"/>
        </w:rPr>
        <w:t>”) for a period of twelve (12) months following Executive’s Separation from Service (the “</w:t>
      </w:r>
      <w:r>
        <w:rPr>
          <w:rFonts w:ascii="Times New Roman" w:cs="Times New Roman" w:eastAsia="Times New Roman" w:hAnsi="Times New Roman"/>
          <w:sz w:val="22"/>
          <w:szCs w:val="22"/>
          <w:b w:val="1"/>
          <w:bCs w:val="1"/>
          <w:i w:val="1"/>
          <w:iCs w:val="1"/>
          <w:color w:val="auto"/>
        </w:rPr>
        <w:t>Change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Control Benefits Payment Period</w:t>
      </w:r>
      <w:r>
        <w:rPr>
          <w:rFonts w:ascii="Times New Roman" w:cs="Times New Roman" w:eastAsia="Times New Roman" w:hAnsi="Times New Roman"/>
          <w:sz w:val="22"/>
          <w:szCs w:val="22"/>
          <w:color w:val="auto"/>
        </w:rPr>
        <w:t>”) or, if earlier, the date upon which Executive obtains coverage under a medical plan by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subsequent employer. The Company’s obligation to pay any COBRA Premiums will be subject to the then-current requirements of COBRA and any other laws affecting the payment of COBRA premiums by the Company. Notwithstanding the foregoing, if the Company determines, in its sole discretion, that the Company cannot provide the COBRA Premiums without potentially incurring financial costs or penalties under applicable law, the Company shall in lieu thereof pay Executive a taxable cash amount, which payment shall be made regardless of whether Executive elects health care continuation coverage (the “</w:t>
      </w:r>
      <w:r>
        <w:rPr>
          <w:rFonts w:ascii="Times New Roman" w:cs="Times New Roman" w:eastAsia="Times New Roman" w:hAnsi="Times New Roman"/>
          <w:sz w:val="22"/>
          <w:szCs w:val="22"/>
          <w:b w:val="1"/>
          <w:bCs w:val="1"/>
          <w:i w:val="1"/>
          <w:iCs w:val="1"/>
          <w:color w:val="auto"/>
        </w:rPr>
        <w:t>Health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Care Benefit Payment</w:t>
      </w:r>
      <w:r>
        <w:rPr>
          <w:rFonts w:ascii="Times New Roman" w:cs="Times New Roman" w:eastAsia="Times New Roman" w:hAnsi="Times New Roman"/>
          <w:sz w:val="22"/>
          <w:szCs w:val="22"/>
          <w:color w:val="auto"/>
        </w:rPr>
        <w:t>”). The Health Care Benefit Payment shall be paid in monthly installments on the same schedule that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COBRA Premiums would otherwise have been paid to the insurer. The Health Care Benefit Payment shall be equal to the amount that the Company would have otherwise paid for COBRA Premiums (which amount shall be calculated based on the premium for the first month of COBRA coverage), and shall be paid until the earlier of: (i) the date the Change in Control Benefits Payment Period expires or (ii) the date upon which Executive obtains coverage under a medical plan by a subsequent employer.</w:t>
      </w:r>
    </w:p>
    <w:p>
      <w:pPr>
        <w:spacing w:after="0" w:line="174"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The Company shall accelerate the vesting of each of Executive’s then-outstanding unvested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awards, effective immediately prior to such Separation from Service. In the event any such awards are based upon performance of the Company and/or of Executive, such awards shall be vested at their respective target levels.</w:t>
      </w:r>
    </w:p>
    <w:p>
      <w:pPr>
        <w:spacing w:after="0" w:line="167" w:lineRule="exact"/>
        <w:rPr>
          <w:sz w:val="20"/>
          <w:szCs w:val="20"/>
          <w:color w:val="auto"/>
        </w:rPr>
      </w:pPr>
    </w:p>
    <w:p>
      <w:pPr>
        <w:jc w:val="both"/>
        <w:ind w:firstLine="1505"/>
        <w:spacing w:after="0" w:line="238" w:lineRule="auto"/>
        <w:tabs>
          <w:tab w:leader="none" w:pos="2036"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Not in Connection with or Following a Change in Control</w:t>
      </w:r>
      <w:r>
        <w:rPr>
          <w:rFonts w:ascii="Times New Roman" w:cs="Times New Roman" w:eastAsia="Times New Roman" w:hAnsi="Times New Roman"/>
          <w:sz w:val="22"/>
          <w:szCs w:val="22"/>
          <w:color w:val="auto"/>
        </w:rPr>
        <w:t>. If Executive’s employment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without Cause (and other than as a result of Executive’s death or disability), or Executive resigns for Good Reason, in either case at any time that is not within twelve (12) months after a Change in Control, and provided such termination constitutes a Separation from Service, and provided Executive signs and allows to become effective the Release within sixty (60) days after Executive’s Separation from Service, then the Company shall provide</w:t>
      </w:r>
    </w:p>
    <w:p>
      <w:pPr>
        <w:spacing w:after="0" w:line="200" w:lineRule="exact"/>
        <w:rPr>
          <w:sz w:val="20"/>
          <w:szCs w:val="20"/>
          <w:color w:val="auto"/>
        </w:rPr>
      </w:pPr>
    </w:p>
    <w:p>
      <w:pPr>
        <w:spacing w:after="0" w:line="38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47" w:name="page148"/>
    <w:bookmarkEnd w:id="147"/>
    <w:p>
      <w:pPr>
        <w:spacing w:after="0" w:line="264" w:lineRule="auto"/>
        <w:rPr>
          <w:sz w:val="20"/>
          <w:szCs w:val="20"/>
          <w:color w:val="auto"/>
        </w:rPr>
      </w:pPr>
      <w:r>
        <w:rPr>
          <w:rFonts w:ascii="Times New Roman" w:cs="Times New Roman" w:eastAsia="Times New Roman" w:hAnsi="Times New Roman"/>
          <w:sz w:val="22"/>
          <w:szCs w:val="22"/>
          <w:color w:val="auto"/>
        </w:rPr>
        <w:t>Executive with the following severance benefits (collectively with the Change in Control Separation Benefits, the “</w:t>
      </w:r>
      <w:r>
        <w:rPr>
          <w:rFonts w:ascii="Times New Roman" w:cs="Times New Roman" w:eastAsia="Times New Roman" w:hAnsi="Times New Roman"/>
          <w:sz w:val="22"/>
          <w:szCs w:val="22"/>
          <w:b w:val="1"/>
          <w:bCs w:val="1"/>
          <w:i w:val="1"/>
          <w:iCs w:val="1"/>
          <w:color w:val="auto"/>
        </w:rPr>
        <w:t>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Benefits</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2254"/>
        <w:spacing w:after="0" w:line="244" w:lineRule="auto"/>
        <w:tabs>
          <w:tab w:leader="none" w:pos="2546" w:val="left"/>
        </w:tabs>
        <w:numPr>
          <w:ilvl w:val="2"/>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Executive cash severance in an amount equal to nine (9) months of Executive’s then current base salary, less all applicable withholdings and deductions, paid in a lump sum on the Company’s first regular payroll date after the Release Date.</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46" w:lineRule="auto"/>
        <w:tabs>
          <w:tab w:leader="none" w:pos="2546" w:val="left"/>
        </w:tabs>
        <w:numPr>
          <w:ilvl w:val="2"/>
          <w:numId w:val="1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Should Executive timely elect to continue Executive’s medical, dental and/or vision insurance benefits pursuant to COBRA, the Company shall pay the COBRA Premiums for a period of nine (9) months following the effective date of Executive’s Separation from Service (the “</w:t>
      </w:r>
      <w:r>
        <w:rPr>
          <w:rFonts w:ascii="Times New Roman" w:cs="Times New Roman" w:eastAsia="Times New Roman" w:hAnsi="Times New Roman"/>
          <w:sz w:val="21"/>
          <w:szCs w:val="21"/>
          <w:b w:val="1"/>
          <w:bCs w:val="1"/>
          <w:i w:val="1"/>
          <w:iCs w:val="1"/>
          <w:color w:val="auto"/>
        </w:rPr>
        <w:t>Benefits Payment Period</w:t>
      </w:r>
      <w:r>
        <w:rPr>
          <w:rFonts w:ascii="Times New Roman" w:cs="Times New Roman" w:eastAsia="Times New Roman" w:hAnsi="Times New Roman"/>
          <w:sz w:val="21"/>
          <w:szCs w:val="21"/>
          <w:color w:val="auto"/>
        </w:rPr>
        <w:t>”) or, if earlier, the date upon which Executive obtains coverage under a medical plan by a subsequent employer. The Company’s obligation to pay any COBRA Premiums will be subject to the then-current requirements of COBRA and any other laws affecting the payment of COBRA premiums by the Company. Notwithstanding the foregoing, if the Company determines, in its sole discretion, that it cannot provide the COBRA Premiums without potentially incurring financial costs or penalties under applicable law, the Company shall in lieu thereof pay Executive the Health Care Benefit Payment in monthly installments on the same schedule that the COBRA Premiums would otherwise have been paid to the insurer, which shall be paid until the earlier of: (i) the date the Benefits Payment Period expires or (ii) the date upon which Executive obtains coverage under a medical plan by a subsequent employer.</w:t>
      </w:r>
    </w:p>
    <w:p>
      <w:pPr>
        <w:spacing w:after="0" w:line="166" w:lineRule="exact"/>
        <w:rPr>
          <w:rFonts w:ascii="Times New Roman" w:cs="Times New Roman" w:eastAsia="Times New Roman" w:hAnsi="Times New Roman"/>
          <w:sz w:val="21"/>
          <w:szCs w:val="21"/>
          <w:b w:val="1"/>
          <w:bCs w:val="1"/>
          <w:color w:val="auto"/>
        </w:rPr>
      </w:pPr>
    </w:p>
    <w:p>
      <w:pPr>
        <w:ind w:left="1020" w:hanging="263"/>
        <w:spacing w:after="0"/>
        <w:tabs>
          <w:tab w:leader="none" w:pos="102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Limitations and Conditions on Separation Benefits</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2036" w:val="left"/>
        </w:tabs>
        <w:numPr>
          <w:ilvl w:val="1"/>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 Prior to Payment of Benefits</w:t>
      </w:r>
      <w:r>
        <w:rPr>
          <w:rFonts w:ascii="Times New Roman" w:cs="Times New Roman" w:eastAsia="Times New Roman" w:hAnsi="Times New Roman"/>
          <w:sz w:val="22"/>
          <w:szCs w:val="22"/>
          <w:color w:val="auto"/>
        </w:rPr>
        <w:t>. Prior to the payment or provision of any of the Separation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Executive shall execute, and allow to become effective, the Release not later than sixty (60) days following Executive’s Separation from Service. Such Release shall specifically relate to all of Executive’s rights and claims in existence at the time of such execution and shall confirm Executive’s continuing obligations to the Company (including but not limited to obligations under any confidentiality and/or non-solicitation agreement with the Company). No Separation Benefits will be paid prior to the Release Date.</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and Employment Taxes</w:t>
      </w:r>
      <w:r>
        <w:rPr>
          <w:rFonts w:ascii="Times New Roman" w:cs="Times New Roman" w:eastAsia="Times New Roman" w:hAnsi="Times New Roman"/>
          <w:sz w:val="22"/>
          <w:szCs w:val="22"/>
          <w:color w:val="auto"/>
        </w:rPr>
        <w:t>. Executive agrees that Executive shall be responsible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taxes of any nature (including any penalties or interest that may apply to such taxes) that the Company reasonably determines apply to any payment made hereunder, that Executive’s receipt of any benefit hereunder is conditioned on Executive’s satisfaction of any applicable withholding or similar obligations that apply to such benefit, and that any cash payment owed hereunder will be reduced to satisfy any such withholding or similar obligations that may apply.</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2036" w:val="left"/>
        </w:tabs>
        <w:numPr>
          <w:ilvl w:val="1"/>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Section 409A</w:t>
      </w:r>
      <w:r>
        <w:rPr>
          <w:rFonts w:ascii="Times New Roman" w:cs="Times New Roman" w:eastAsia="Times New Roman" w:hAnsi="Times New Roman"/>
          <w:sz w:val="22"/>
          <w:szCs w:val="22"/>
          <w:color w:val="auto"/>
        </w:rPr>
        <w:t>. It is intended that each installment of the payments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for in this Agreement is a separate “payment” for purposes of Treasury Regulation Section 1.409A-2(b)(2)(i). For the avoidance of doubt, it is intended that Separation Benefits set forth in this Agreement satisfy, to the greatest extent possible, the exemptions from, or comply with, the application of Section 409A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and Treasury Regulations 1.409A-1(b)(4), 1.409A-1(b)(5) and 1.409A-1(b)(9) (together, with any state law of similar effect,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However, if the</w:t>
      </w:r>
    </w:p>
    <w:p>
      <w:pPr>
        <w:spacing w:after="0" w:line="200" w:lineRule="exact"/>
        <w:rPr>
          <w:sz w:val="20"/>
          <w:szCs w:val="20"/>
          <w:color w:val="auto"/>
        </w:rPr>
      </w:pPr>
    </w:p>
    <w:p>
      <w:pPr>
        <w:spacing w:after="0" w:line="38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48" w:name="page149"/>
    <w:bookmarkEnd w:id="148"/>
    <w:p>
      <w:pPr>
        <w:jc w:val="both"/>
        <w:spacing w:after="0" w:line="232" w:lineRule="auto"/>
        <w:rPr>
          <w:sz w:val="20"/>
          <w:szCs w:val="20"/>
          <w:color w:val="auto"/>
        </w:rPr>
      </w:pPr>
      <w:r>
        <w:rPr>
          <w:rFonts w:ascii="Times New Roman" w:cs="Times New Roman" w:eastAsia="Times New Roman" w:hAnsi="Times New Roman"/>
          <w:sz w:val="22"/>
          <w:szCs w:val="22"/>
          <w:color w:val="auto"/>
        </w:rPr>
        <w:t>Company (or, if applicable, the successor entity thereto) determines that the Separation Benefits provided under this Agreement constitute “deferred compensation” under Section 409A and Executive is, on the date of his or her Separation from Service, a “specified employee” of the Company or any successor entity thereto, as such term is defined in Section 409A(a)(2)(B)(i) of the Code (a “</w:t>
      </w:r>
      <w:r>
        <w:rPr>
          <w:rFonts w:ascii="Times New Roman" w:cs="Times New Roman" w:eastAsia="Times New Roman" w:hAnsi="Times New Roman"/>
          <w:sz w:val="22"/>
          <w:szCs w:val="22"/>
          <w:b w:val="1"/>
          <w:bCs w:val="1"/>
          <w:i w:val="1"/>
          <w:iCs w:val="1"/>
          <w:color w:val="auto"/>
        </w:rPr>
        <w:t>Specified Employee</w:t>
      </w:r>
      <w:r>
        <w:rPr>
          <w:rFonts w:ascii="Times New Roman" w:cs="Times New Roman" w:eastAsia="Times New Roman" w:hAnsi="Times New Roman"/>
          <w:sz w:val="22"/>
          <w:szCs w:val="22"/>
          <w:color w:val="auto"/>
        </w:rPr>
        <w:t>”), then, solely to the extent necessary to avoid the incurrence of the adverse personal tax consequences under Section 409A, the timing of the Separation Benefits described herein, as applicable, shall be delayed as follows: on the earlier to occur of (i) the date that is six (6) months and one (1) business day after Executive’s Separation from Service, (ii) the date of Executive’s death, or (iii) such earlier date as permitted under Section 409A without the imposition of adverse taxation (such earlier date, the “</w:t>
      </w:r>
      <w:r>
        <w:rPr>
          <w:rFonts w:ascii="Times New Roman" w:cs="Times New Roman" w:eastAsia="Times New Roman" w:hAnsi="Times New Roman"/>
          <w:sz w:val="22"/>
          <w:szCs w:val="22"/>
          <w:b w:val="1"/>
          <w:bCs w:val="1"/>
          <w:i w:val="1"/>
          <w:iCs w:val="1"/>
          <w:color w:val="auto"/>
        </w:rPr>
        <w:t>Delayed Initial Payment Date</w:t>
      </w:r>
      <w:r>
        <w:rPr>
          <w:rFonts w:ascii="Times New Roman" w:cs="Times New Roman" w:eastAsia="Times New Roman" w:hAnsi="Times New Roman"/>
          <w:sz w:val="22"/>
          <w:szCs w:val="22"/>
          <w:color w:val="auto"/>
        </w:rPr>
        <w:t>”). Upon the Delayed Initial Payment Date, the Company (or the successor entity thereto, as applicable) shall pay to Executive a lump sum amount equal to the applicable benefit that Executive would otherwise have received through the Delayed Initial Payment Date if the commencement of the payment of the benefit had not been so delayed pursuant to this Section 3(c), and any remaining payments due shall be paid as otherwise provided herein. No interest shall be due on any amounts so deferred. If the Separation Benefits are not covered by one or more exemptions from the application of Section 409A and the Release could become effective in the calendar year following the calendar year in which Executive has a Separation from Service, the Release will not be deemed effective any earlier than the Release Date. To the extent that any provision of this Agreement is ambiguous as to its exemption or compliance with Section 409A, the provision will be read in such a manner so that all payments hereunder are exempt from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With respect to reimbursements or in-kind benefits provided to Executive hereunder (or otherwise) that are not exempt from Section 409A, the following rules shall apply: (i) the amount of expenses eligible for reimbursement, or in-kind benefits provided, during any one of Executive’s taxable years shall not affect the expenses eligible for reimbursement, or in-kind benefit to be provided in any other taxable year, (ii) in the case of any reimbursements of eligible expenses, reimbursement shall be made on or before the last day of Executive’s taxable year following the taxable year in which the expense was incurred, and (iii) the right to reimbursement or in-kind benefits shall not be subject to liquidation or exchange for another benefit.</w:t>
      </w:r>
    </w:p>
    <w:p>
      <w:pPr>
        <w:spacing w:after="0" w:line="173" w:lineRule="exact"/>
        <w:rPr>
          <w:sz w:val="20"/>
          <w:szCs w:val="20"/>
          <w:color w:val="auto"/>
        </w:rPr>
      </w:pPr>
    </w:p>
    <w:p>
      <w:pPr>
        <w:jc w:val="both"/>
        <w:ind w:firstLine="1505"/>
        <w:spacing w:after="0" w:line="241" w:lineRule="auto"/>
        <w:tabs>
          <w:tab w:leader="none" w:pos="2036"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Related Matters. </w:t>
      </w:r>
      <w:r>
        <w:rPr>
          <w:rFonts w:ascii="Times New Roman" w:cs="Times New Roman" w:eastAsia="Times New Roman" w:hAnsi="Times New Roman"/>
          <w:sz w:val="22"/>
          <w:szCs w:val="22"/>
          <w:color w:val="auto"/>
        </w:rPr>
        <w:t>Executive further acknowledges and agrees that as a condition to receipt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Benefits (i) Executive must comply with Executive’s obligations under Executive’s Employee Confidential Information and Invention Assignment Agreement; and (ii) resign from all Company and or affiliate positions, including membership on any Board (unless otherwise requested by the Company).</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Any successor to the Company (whether direct or indirect and whether by purchase,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The terms of this Agreement and all of Executive’s rights hereunder and thereunder</w:t>
      </w:r>
    </w:p>
    <w:p>
      <w:pPr>
        <w:spacing w:after="0" w:line="200" w:lineRule="exact"/>
        <w:rPr>
          <w:sz w:val="20"/>
          <w:szCs w:val="20"/>
          <w:color w:val="auto"/>
        </w:rPr>
      </w:pPr>
    </w:p>
    <w:p>
      <w:pPr>
        <w:spacing w:after="0" w:line="38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spacing w:after="0" w:line="258" w:lineRule="auto"/>
        <w:rPr>
          <w:sz w:val="20"/>
          <w:szCs w:val="20"/>
          <w:color w:val="auto"/>
        </w:rPr>
      </w:pPr>
      <w:r>
        <w:rPr>
          <w:rFonts w:ascii="Times New Roman" w:cs="Times New Roman" w:eastAsia="Times New Roman" w:hAnsi="Times New Roman"/>
          <w:sz w:val="22"/>
          <w:szCs w:val="22"/>
          <w:color w:val="auto"/>
        </w:rPr>
        <w:t>shall inure to the benefit of, and be enforceable by, Executive’s personal or legal representatives, executors, administrators, successors, heirs, distributees, devisees and legatees.</w:t>
      </w:r>
    </w:p>
    <w:p>
      <w:pPr>
        <w:spacing w:after="0" w:line="154" w:lineRule="exact"/>
        <w:rPr>
          <w:sz w:val="20"/>
          <w:szCs w:val="20"/>
          <w:color w:val="auto"/>
        </w:rPr>
      </w:pPr>
    </w:p>
    <w:p>
      <w:pPr>
        <w:jc w:val="both"/>
        <w:ind w:firstLine="1505"/>
        <w:spacing w:after="0" w:line="238" w:lineRule="auto"/>
        <w:tabs>
          <w:tab w:leader="none" w:pos="2036" w:val="left"/>
        </w:tabs>
        <w:numPr>
          <w:ilvl w:val="1"/>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Notices and all other communications contemplated by this Agreement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been duly given when personally delivered or when mailed by U.S. registered or certified mail, return receipt requested and postage prepaid. Mailed notices to Executive shall be addressed to Executive at the home address which Executive most recently communicated to the Company in writing. In the case of the Company, mailed notices shall be addressed to its corporate headquarters, and all notices shall be directed to the attention of its Chief Executive Officer.</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For purposes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as determined by the Board acting in good faith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on information then known to it, shall mean the occurrence of one or more of the following: (i) Executive’s gross negligence or knowing and willful action which is or is likely to be materially injurious to the Company; (ii) any intentional act by Executive in connection with his responsibilities as an employee constituting fraud or a felony crime; (iii) Executive’s consistent failure to report for work or perform his duties as directed by the Company’s Board of Directors; (iv) persistent or repeated material breach of this Agreement or any agreement between Executive and the Company; (v) Executive becoming disqualified from holding office through his own act or omission; (vi) an unauthorized use or disclosure by the Executive of the Company’s confidential information or trade secrets, which use or disclosure causes material harm to the Company; or (vii) a material failure by the Executive to comply with the Company’s written policies or rules which is or is likely to be materially injurious to the Company.</w:t>
      </w:r>
    </w:p>
    <w:p>
      <w:pPr>
        <w:spacing w:after="0" w:line="179" w:lineRule="exact"/>
        <w:rPr>
          <w:rFonts w:ascii="Times New Roman" w:cs="Times New Roman" w:eastAsia="Times New Roman" w:hAnsi="Times New Roman"/>
          <w:sz w:val="22"/>
          <w:szCs w:val="22"/>
          <w:b w:val="1"/>
          <w:bCs w:val="1"/>
          <w:color w:val="auto"/>
        </w:rPr>
      </w:pPr>
    </w:p>
    <w:p>
      <w:pPr>
        <w:ind w:firstLine="1505"/>
        <w:spacing w:after="0" w:line="264" w:lineRule="auto"/>
        <w:tabs>
          <w:tab w:leader="none" w:pos="2036"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For purposes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consummation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transaction or series of transactions that results in any of the following:</w:t>
      </w:r>
    </w:p>
    <w:p>
      <w:pPr>
        <w:spacing w:after="0" w:line="151" w:lineRule="exact"/>
        <w:rPr>
          <w:rFonts w:ascii="Times New Roman" w:cs="Times New Roman" w:eastAsia="Times New Roman" w:hAnsi="Times New Roman"/>
          <w:sz w:val="22"/>
          <w:szCs w:val="22"/>
          <w:b w:val="1"/>
          <w:bCs w:val="1"/>
          <w:color w:val="auto"/>
        </w:rPr>
      </w:pPr>
    </w:p>
    <w:p>
      <w:pPr>
        <w:jc w:val="both"/>
        <w:ind w:firstLine="2254"/>
        <w:spacing w:after="0" w:line="236" w:lineRule="auto"/>
        <w:tabs>
          <w:tab w:leader="none" w:pos="2546" w:val="left"/>
        </w:tabs>
        <w:numPr>
          <w:ilvl w:val="2"/>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corporate transaction involving (directly or indirectly) the Company and, immediately following which the stockholders of the Company immediately prior thereto do not own, directly or indirectly, outstanding voting securities representing more than fifty percent (50%) of the combined outstanding voting power of the surviving entity in such merger, consolidation or similar corporate transaction or more than fifty percent (50%) of the combined outstanding voting power of the parent of the surviving entity in such merger, consolidation or similar corporate transaction; or</w:t>
      </w:r>
    </w:p>
    <w:p>
      <w:pPr>
        <w:spacing w:after="0" w:line="181"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546" w:val="left"/>
        </w:tabs>
        <w:numPr>
          <w:ilvl w:val="2"/>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or other disposition of all or substantially all of the consolidated assets of the Company that occurs over a period of not more than twelve (12) months.</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However, a Change in Control will not include (1) any consolidation or merger effected exclusively to change the domicile of the Company, or (2) any transaction or series of transactions principally for bona fide equity financing purposes in which cash is received by the Company or any successor or indebtedness of the Company is cancelled or converted or a combination thereof. In addition, no transaction will be a Change in Control unless it is also “change in ownership of a</w:t>
      </w:r>
    </w:p>
    <w:p>
      <w:pPr>
        <w:spacing w:after="0" w:line="200" w:lineRule="exact"/>
        <w:rPr>
          <w:sz w:val="20"/>
          <w:szCs w:val="20"/>
          <w:color w:val="auto"/>
        </w:rPr>
      </w:pPr>
    </w:p>
    <w:p>
      <w:pPr>
        <w:spacing w:after="0" w:line="38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spacing w:after="0" w:line="258" w:lineRule="auto"/>
        <w:rPr>
          <w:sz w:val="20"/>
          <w:szCs w:val="20"/>
          <w:color w:val="auto"/>
        </w:rPr>
      </w:pPr>
      <w:r>
        <w:rPr>
          <w:rFonts w:ascii="Times New Roman" w:cs="Times New Roman" w:eastAsia="Times New Roman" w:hAnsi="Times New Roman"/>
          <w:sz w:val="22"/>
          <w:szCs w:val="22"/>
          <w:color w:val="auto"/>
        </w:rPr>
        <w:t>corporation” or “change in ownership of a substantial portion of a corporation’s assets” as defined under in Treasury Regulations Sections 1.409A-3(i)(5)(v) and (vii) without regard to any alternative definitions thereunder.</w:t>
      </w:r>
    </w:p>
    <w:p>
      <w:pPr>
        <w:spacing w:after="0" w:line="152" w:lineRule="exact"/>
        <w:rPr>
          <w:sz w:val="20"/>
          <w:szCs w:val="20"/>
          <w:color w:val="auto"/>
        </w:rPr>
      </w:pPr>
    </w:p>
    <w:p>
      <w:pPr>
        <w:jc w:val="both"/>
        <w:ind w:firstLine="1505"/>
        <w:spacing w:after="0" w:line="244" w:lineRule="auto"/>
        <w:tabs>
          <w:tab w:leader="none" w:pos="2036" w:val="left"/>
        </w:tabs>
        <w:numPr>
          <w:ilvl w:val="1"/>
          <w:numId w:val="1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Good Reason. </w:t>
      </w: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for Executive’s resignation of his or 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employment will exist following the occurrence of any of the following without Executive’s written consent: (i) a material reduction in Executive’s base salary, which the parties agree is a reduction of at least ten percent (10%) of Executive’s base salary (provided, however, that such reduction will not be considered Good Reason if made in connection with an across-the-board salary reduction affecting all members of management); (ii) a material reduction in Executive’s duties, responsibilities and/or authority,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change in job position (including a change in title) after or in connection with a Change in Control shall not be deemed a “material reduction” in and of itself unless Executive’s new duties are materially reduced from Executive’s prior duties; (iii) a relocation of Executive’s principal place of employment to a place that increases Executive’s one-way commute by more than fifty (50) miles as compared to Executive’s then-current principal place of employment immediately prior to such relocation; or (iv) a material breach by the Company of this Agreement. In order to resign for Good Reason, Executive must provide written notice to the Board within thirty (30) days after the first occurrence of the event giving rise to Good Reason setting forth the basis for Executive’s resignation, allow the Company at least thirty (30) days from receipt of such written notice to cure such event, and if such event is not reasonably cured within such period, Executive must resign from all positions Executive then holds with the Company not later than thirty (30) days after the expiration of the cure period or the date of notification to Executive that the Company will not so cure. Executive understands and agrees that the requirement for Executive’s performance of services within twenty (20) miles of Palo Alto, California does not give rise to Good Reason.</w:t>
      </w:r>
    </w:p>
    <w:p>
      <w:pPr>
        <w:spacing w:after="0" w:line="177" w:lineRule="exact"/>
        <w:rPr>
          <w:rFonts w:ascii="Times New Roman" w:cs="Times New Roman" w:eastAsia="Times New Roman" w:hAnsi="Times New Roman"/>
          <w:sz w:val="21"/>
          <w:szCs w:val="21"/>
          <w:b w:val="1"/>
          <w:bCs w:val="1"/>
          <w:color w:val="auto"/>
        </w:rPr>
      </w:pPr>
    </w:p>
    <w:p>
      <w:pPr>
        <w:ind w:left="1020" w:hanging="263"/>
        <w:spacing w:after="0"/>
        <w:tabs>
          <w:tab w:leader="none" w:pos="102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Parachute Payments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1"/>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any payment or benefit (including payments and benefits pursuant to this Agreement) that Executive would receive in connection with a Change in Control from the Company or otherwise (“</w:t>
      </w:r>
      <w:r>
        <w:rPr>
          <w:rFonts w:ascii="Times New Roman" w:cs="Times New Roman" w:eastAsia="Times New Roman" w:hAnsi="Times New Roman"/>
          <w:sz w:val="22"/>
          <w:szCs w:val="22"/>
          <w:b w:val="1"/>
          <w:bCs w:val="1"/>
          <w:i w:val="1"/>
          <w:iCs w:val="1"/>
          <w:color w:val="auto"/>
        </w:rPr>
        <w:t>Transaction Payment</w:t>
      </w:r>
      <w:r>
        <w:rPr>
          <w:rFonts w:ascii="Times New Roman" w:cs="Times New Roman" w:eastAsia="Times New Roman" w:hAnsi="Times New Roman"/>
          <w:sz w:val="22"/>
          <w:szCs w:val="22"/>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Times New Roman" w:cs="Times New Roman" w:eastAsia="Times New Roman" w:hAnsi="Times New Roman"/>
          <w:sz w:val="22"/>
          <w:szCs w:val="22"/>
          <w:b w:val="1"/>
          <w:bCs w:val="1"/>
          <w:i w:val="1"/>
          <w:iCs w:val="1"/>
          <w:color w:val="auto"/>
        </w:rPr>
        <w:t>Full Payment</w:t>
      </w:r>
      <w:r>
        <w:rPr>
          <w:rFonts w:ascii="Times New Roman" w:cs="Times New Roman" w:eastAsia="Times New Roman" w:hAnsi="Times New Roman"/>
          <w:sz w:val="22"/>
          <w:szCs w:val="22"/>
          <w:color w:val="auto"/>
        </w:rPr>
        <w:t>”), or (2) payment of only a part of the Transaction Payment so that Executive receives the largest payment possible without the imposition of the Excise Tax (a “</w:t>
      </w:r>
      <w:r>
        <w:rPr>
          <w:rFonts w:ascii="Times New Roman" w:cs="Times New Roman" w:eastAsia="Times New Roman" w:hAnsi="Times New Roman"/>
          <w:sz w:val="22"/>
          <w:szCs w:val="22"/>
          <w:b w:val="1"/>
          <w:bCs w:val="1"/>
          <w:i w:val="1"/>
          <w:iCs w:val="1"/>
          <w:color w:val="auto"/>
        </w:rPr>
        <w:t>Reduced Payment</w:t>
      </w:r>
      <w:r>
        <w:rPr>
          <w:rFonts w:ascii="Times New Roman" w:cs="Times New Roman" w:eastAsia="Times New Roman" w:hAnsi="Times New Roman"/>
          <w:sz w:val="22"/>
          <w:szCs w:val="22"/>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shall occur in the manner that results in the greatest economic benefit to Executive as determined in this paragraph (the</w:t>
      </w:r>
    </w:p>
    <w:p>
      <w:pPr>
        <w:spacing w:after="0" w:line="200" w:lineRule="exact"/>
        <w:rPr>
          <w:sz w:val="20"/>
          <w:szCs w:val="20"/>
          <w:color w:val="auto"/>
        </w:rPr>
      </w:pPr>
    </w:p>
    <w:p>
      <w:pPr>
        <w:spacing w:after="0" w:line="38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Reduction Method</w:t>
      </w:r>
      <w:r>
        <w:rPr>
          <w:rFonts w:ascii="Times New Roman" w:cs="Times New Roman" w:eastAsia="Times New Roman" w:hAnsi="Times New Roman"/>
          <w:sz w:val="22"/>
          <w:szCs w:val="22"/>
          <w:color w:val="auto"/>
        </w:rPr>
        <w:t>”). If more than one method of reduction will result in the same economic benefit, the portions of the Transaction Payment shall be reduced pro rata (the “</w:t>
      </w:r>
      <w:r>
        <w:rPr>
          <w:rFonts w:ascii="Times New Roman" w:cs="Times New Roman" w:eastAsia="Times New Roman" w:hAnsi="Times New Roman"/>
          <w:sz w:val="22"/>
          <w:szCs w:val="22"/>
          <w:b w:val="1"/>
          <w:bCs w:val="1"/>
          <w:i w:val="1"/>
          <w:iCs w:val="1"/>
          <w:color w:val="auto"/>
        </w:rPr>
        <w:t>Pro Rata Reduction Method</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1505"/>
        <w:spacing w:after="0" w:line="246" w:lineRule="auto"/>
        <w:tabs>
          <w:tab w:leader="none" w:pos="2036" w:val="left"/>
        </w:tabs>
        <w:numPr>
          <w:ilvl w:val="1"/>
          <w:numId w:val="1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any provision of subsection (a) above to the contrary, if the Reduction Method or the Pro Rata Reduction Method would result in any portion of the Transaction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Executive as determined on an after-tax basis; (ii) as a second priority, Transaction Payments that are contingent on future events (e.g., being terminated without Cause), shall be reduced (or eliminated) before Transaction Payments that are not contingent on future events; and (iii) as a third priority, Transaction Payments that are "deferred compensation" within the meaning of Section 409A shall be reduced (or eliminated) before Transaction Payments that are not deferred compensation within the meaning of Section 409A.</w:t>
      </w:r>
    </w:p>
    <w:p>
      <w:pPr>
        <w:spacing w:after="0" w:line="175" w:lineRule="exact"/>
        <w:rPr>
          <w:rFonts w:ascii="Times New Roman" w:cs="Times New Roman" w:eastAsia="Times New Roman" w:hAnsi="Times New Roman"/>
          <w:sz w:val="21"/>
          <w:szCs w:val="21"/>
          <w:b w:val="1"/>
          <w:bCs w:val="1"/>
          <w:color w:val="auto"/>
        </w:rPr>
      </w:pPr>
    </w:p>
    <w:p>
      <w:pPr>
        <w:jc w:val="both"/>
        <w:ind w:firstLine="1505"/>
        <w:spacing w:after="0" w:line="236" w:lineRule="auto"/>
        <w:tabs>
          <w:tab w:leader="none" w:pos="2036" w:val="left"/>
        </w:tabs>
        <w:numPr>
          <w:ilvl w:val="1"/>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professional firm engaged by the Company for general tax purposes or the Company’s corporate law firm as of the day prior to the effective date of the Change in Control shall make all determinations required to be made under this Section 5. If the professional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48" w:lineRule="auto"/>
        <w:tabs>
          <w:tab w:leader="none" w:pos="2036" w:val="left"/>
        </w:tabs>
        <w:numPr>
          <w:ilvl w:val="1"/>
          <w:numId w:val="1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professional firm engaged to make the determinations hereunder shall provide its calculations, together with detailed supporting documentation, to the Company and Executive within fifteen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66" w:lineRule="exact"/>
        <w:rPr>
          <w:rFonts w:ascii="Times New Roman" w:cs="Times New Roman" w:eastAsia="Times New Roman" w:hAnsi="Times New Roman"/>
          <w:sz w:val="21"/>
          <w:szCs w:val="21"/>
          <w:b w:val="1"/>
          <w:bCs w:val="1"/>
          <w:color w:val="auto"/>
        </w:rPr>
      </w:pPr>
    </w:p>
    <w:p>
      <w:pPr>
        <w:jc w:val="both"/>
        <w:ind w:firstLine="757"/>
        <w:spacing w:after="0" w:line="241" w:lineRule="auto"/>
        <w:tabs>
          <w:tab w:leader="none" w:pos="1018"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Employment Terms and Conditions</w:t>
      </w:r>
      <w:r>
        <w:rPr>
          <w:rFonts w:ascii="Times New Roman" w:cs="Times New Roman" w:eastAsia="Times New Roman" w:hAnsi="Times New Roman"/>
          <w:sz w:val="22"/>
          <w:szCs w:val="22"/>
          <w:color w:val="auto"/>
        </w:rPr>
        <w:t>. The employment relationship between the parties shall be governed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general employment policies and procedures of the Company, including those relating to the protection of confidential information and assignment of inventions; provided, however, that when the terms of this Agreement differ from or are in conflict with the Company’s general employment policies or procedures, this Agreement shall control.</w:t>
      </w:r>
    </w:p>
    <w:p>
      <w:pPr>
        <w:spacing w:after="0" w:line="200" w:lineRule="exact"/>
        <w:rPr>
          <w:sz w:val="20"/>
          <w:szCs w:val="20"/>
          <w:color w:val="auto"/>
        </w:rPr>
      </w:pPr>
    </w:p>
    <w:p>
      <w:pPr>
        <w:spacing w:after="0" w:line="38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52" w:name="page153"/>
    <w:bookmarkEnd w:id="152"/>
    <w:p>
      <w:pPr>
        <w:ind w:left="320"/>
        <w:spacing w:after="0"/>
        <w:rPr>
          <w:sz w:val="20"/>
          <w:szCs w:val="20"/>
          <w:color w:val="auto"/>
        </w:rPr>
      </w:pPr>
      <w:r>
        <w:rPr>
          <w:rFonts w:ascii="Times New Roman" w:cs="Times New Roman" w:eastAsia="Times New Roman" w:hAnsi="Times New Roman"/>
          <w:sz w:val="22"/>
          <w:szCs w:val="22"/>
          <w:b w:val="1"/>
          <w:bCs w:val="1"/>
          <w:color w:val="auto"/>
        </w:rPr>
        <w:t>7. Dispute Resolution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40" w:firstLine="757"/>
        <w:spacing w:after="0" w:line="234" w:lineRule="auto"/>
        <w:tabs>
          <w:tab w:leader="none" w:pos="578"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Executive and the Company agree that any and all disputes, claims, or causes of action, in law or equity, including but not limited to statutory claims, arising from or relating to the enforcement, breach, performance, or interpretation of this Agreement, Executive’s employment with the Company, or the termination of Executive’s employment, shall be resolved pursuant to the Federal Arbitration Act, 9 U.S.C. § 1-16 (“</w:t>
      </w:r>
      <w:r>
        <w:rPr>
          <w:rFonts w:ascii="Times New Roman" w:cs="Times New Roman" w:eastAsia="Times New Roman" w:hAnsi="Times New Roman"/>
          <w:sz w:val="22"/>
          <w:szCs w:val="22"/>
          <w:b w:val="1"/>
          <w:bCs w:val="1"/>
          <w:i w:val="1"/>
          <w:iCs w:val="1"/>
          <w:color w:val="auto"/>
        </w:rPr>
        <w:t>FAA</w:t>
      </w:r>
      <w:r>
        <w:rPr>
          <w:rFonts w:ascii="Times New Roman" w:cs="Times New Roman" w:eastAsia="Times New Roman" w:hAnsi="Times New Roman"/>
          <w:sz w:val="22"/>
          <w:szCs w:val="22"/>
          <w:color w:val="auto"/>
        </w:rPr>
        <w:t xml:space="preserve">”), to the fullest extent permitted by law, by final, binding and confidential arbitration conducted by JAMS or its successor, under JAMS’ then applicable rules and procedures for employment disputes before a single arbitrator (available upon request and also currently available at http://www.jamsadr.com/rules-employment-arbitration/), in San Jose, California. </w:t>
      </w:r>
      <w:r>
        <w:rPr>
          <w:rFonts w:ascii="Times New Roman" w:cs="Times New Roman" w:eastAsia="Times New Roman" w:hAnsi="Times New Roman"/>
          <w:sz w:val="22"/>
          <w:szCs w:val="22"/>
          <w:b w:val="1"/>
          <w:bCs w:val="1"/>
          <w:color w:val="auto"/>
        </w:rPr>
        <w:t>Executive acknowledges that by agreeing to this arbitration procedure,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both Executive and the Company waive the right to resolve any such dispute through a trial by jury or judge or administrative proceeding.</w:t>
      </w:r>
    </w:p>
    <w:p>
      <w:pPr>
        <w:spacing w:after="0" w:line="183" w:lineRule="exact"/>
        <w:rPr>
          <w:rFonts w:ascii="Times New Roman" w:cs="Times New Roman" w:eastAsia="Times New Roman" w:hAnsi="Times New Roman"/>
          <w:sz w:val="20"/>
          <w:szCs w:val="20"/>
          <w:b w:val="1"/>
          <w:bCs w:val="1"/>
          <w:color w:val="auto"/>
        </w:rPr>
      </w:pPr>
    </w:p>
    <w:p>
      <w:pPr>
        <w:jc w:val="both"/>
        <w:ind w:left="-440" w:firstLine="757"/>
        <w:spacing w:after="0" w:line="235" w:lineRule="auto"/>
        <w:tabs>
          <w:tab w:leader="none" w:pos="578"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All claims, disputes, or causes of action under this arbitration agreement,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w:t>
      </w:r>
    </w:p>
    <w:p>
      <w:pPr>
        <w:spacing w:after="0" w:line="183" w:lineRule="exact"/>
        <w:rPr>
          <w:rFonts w:ascii="Times New Roman" w:cs="Times New Roman" w:eastAsia="Times New Roman" w:hAnsi="Times New Roman"/>
          <w:sz w:val="20"/>
          <w:szCs w:val="20"/>
          <w:b w:val="1"/>
          <w:bCs w:val="1"/>
          <w:color w:val="auto"/>
        </w:rPr>
      </w:pPr>
    </w:p>
    <w:p>
      <w:pPr>
        <w:jc w:val="both"/>
        <w:ind w:left="-440" w:firstLine="757"/>
        <w:spacing w:after="0" w:line="236" w:lineRule="auto"/>
        <w:tabs>
          <w:tab w:leader="none" w:pos="578"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This arbitration agreement shall not apply to any action or claim that cannot be subject to mandatory arbitration as a matter of law, to the extent such claims are not permitted by applicable law(s) to be submitted to mandatory arbitration and the applicable law(s) are not preempted by the Federal Arbitration Act or otherwise invalid (collectively, the “</w:t>
      </w:r>
      <w:r>
        <w:rPr>
          <w:rFonts w:ascii="Times New Roman" w:cs="Times New Roman" w:eastAsia="Times New Roman" w:hAnsi="Times New Roman"/>
          <w:sz w:val="22"/>
          <w:szCs w:val="22"/>
          <w:b w:val="1"/>
          <w:bCs w:val="1"/>
          <w:i w:val="1"/>
          <w:iCs w:val="1"/>
          <w:color w:val="auto"/>
        </w:rPr>
        <w:t>Excluded Claims</w:t>
      </w:r>
      <w:r>
        <w:rPr>
          <w:rFonts w:ascii="Times New Roman" w:cs="Times New Roman" w:eastAsia="Times New Roman" w:hAnsi="Times New Roman"/>
          <w:sz w:val="22"/>
          <w:szCs w:val="22"/>
          <w:color w:val="auto"/>
        </w:rPr>
        <w:t>”). In the event Executive intends to bring multiple claims, including one of the Excluded Claims listed above, the Excluded Claims may be filed with a court, while any other claims will remain subject to mandatory arbitration. Executive will have the right to be represented by legal counsel at any arbitration proceeding.</w:t>
      </w:r>
    </w:p>
    <w:p>
      <w:pPr>
        <w:spacing w:after="0" w:line="181" w:lineRule="exact"/>
        <w:rPr>
          <w:rFonts w:ascii="Times New Roman" w:cs="Times New Roman" w:eastAsia="Times New Roman" w:hAnsi="Times New Roman"/>
          <w:sz w:val="20"/>
          <w:szCs w:val="20"/>
          <w:b w:val="1"/>
          <w:bCs w:val="1"/>
          <w:color w:val="auto"/>
        </w:rPr>
      </w:pPr>
    </w:p>
    <w:p>
      <w:pPr>
        <w:jc w:val="both"/>
        <w:ind w:left="-440" w:firstLine="757"/>
        <w:spacing w:after="0" w:line="233" w:lineRule="auto"/>
        <w:tabs>
          <w:tab w:leader="none" w:pos="578"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Questions of whether a claim is subject to arbitration under this agreement shall be decided by the arbitrator. Likewise, procedural questions which grow out of the dispute and bear on the final disposition are also matters for the arbitrator. The arbitrator shall: (i) have the authority to compel adequate discovery for the resolution of the dispute and to award such relief as would otherwise be permitted by law; and (ii)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Executive or the Company would be entitled to seek in a court of law. The Company shall pay all JAMS arbitration fees in excess of the administrative fees that Executive would be required to pay if the dispute were decided in a court of law. Nothing in this arbitration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4" w:right="339" w:bottom="1440" w:gutter="0" w:footer="0" w:header="0"/>
        </w:sectPr>
      </w:pPr>
    </w:p>
    <w:bookmarkStart w:id="153" w:name="page154"/>
    <w:bookmarkEnd w:id="153"/>
    <w:p>
      <w:pPr>
        <w:ind w:left="580" w:hanging="263"/>
        <w:spacing w:after="0"/>
        <w:tabs>
          <w:tab w:leader="none" w:pos="58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 Provisions.</w:t>
      </w:r>
    </w:p>
    <w:p>
      <w:pPr>
        <w:spacing w:after="0" w:line="206" w:lineRule="exact"/>
        <w:rPr>
          <w:rFonts w:ascii="Times New Roman" w:cs="Times New Roman" w:eastAsia="Times New Roman" w:hAnsi="Times New Roman"/>
          <w:sz w:val="22"/>
          <w:szCs w:val="22"/>
          <w:b w:val="1"/>
          <w:bCs w:val="1"/>
          <w:color w:val="auto"/>
        </w:rPr>
      </w:pPr>
    </w:p>
    <w:p>
      <w:pPr>
        <w:jc w:val="both"/>
        <w:ind w:left="-440" w:firstLine="1505"/>
        <w:spacing w:after="0" w:line="246" w:lineRule="auto"/>
        <w:tabs>
          <w:tab w:leader="none" w:pos="1596" w:val="left"/>
        </w:tabs>
        <w:numPr>
          <w:ilvl w:val="1"/>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Duty to Mitigate</w:t>
      </w:r>
      <w:r>
        <w:rPr>
          <w:rFonts w:ascii="Times New Roman" w:cs="Times New Roman" w:eastAsia="Times New Roman" w:hAnsi="Times New Roman"/>
          <w:sz w:val="22"/>
          <w:szCs w:val="22"/>
          <w:color w:val="auto"/>
        </w:rPr>
        <w:t>. Executive shall not be required to mitigate the amount of any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by this Agreement (whether by seeking new employment or in any other manner), nor shall any such payment be reduced by any earnings that Executive may receive from any other source.</w:t>
      </w:r>
    </w:p>
    <w:p>
      <w:pPr>
        <w:spacing w:after="0" w:line="167" w:lineRule="exact"/>
        <w:rPr>
          <w:rFonts w:ascii="Times New Roman" w:cs="Times New Roman" w:eastAsia="Times New Roman" w:hAnsi="Times New Roman"/>
          <w:sz w:val="22"/>
          <w:szCs w:val="22"/>
          <w:b w:val="1"/>
          <w:bCs w:val="1"/>
          <w:color w:val="auto"/>
        </w:rPr>
      </w:pPr>
    </w:p>
    <w:p>
      <w:pPr>
        <w:jc w:val="both"/>
        <w:ind w:left="-440" w:firstLine="1505"/>
        <w:spacing w:after="0" w:line="238" w:lineRule="auto"/>
        <w:tabs>
          <w:tab w:leader="none" w:pos="1596" w:val="left"/>
        </w:tabs>
        <w:numPr>
          <w:ilvl w:val="1"/>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No provision of this Agreement shall be modified, waived or discharged unless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6" w:lineRule="exact"/>
        <w:rPr>
          <w:rFonts w:ascii="Times New Roman" w:cs="Times New Roman" w:eastAsia="Times New Roman" w:hAnsi="Times New Roman"/>
          <w:sz w:val="22"/>
          <w:szCs w:val="22"/>
          <w:b w:val="1"/>
          <w:bCs w:val="1"/>
          <w:color w:val="auto"/>
        </w:rPr>
      </w:pPr>
    </w:p>
    <w:p>
      <w:pPr>
        <w:jc w:val="both"/>
        <w:ind w:left="-440" w:firstLine="1505"/>
        <w:spacing w:after="0" w:line="236" w:lineRule="auto"/>
        <w:tabs>
          <w:tab w:leader="none" w:pos="1596" w:val="left"/>
        </w:tabs>
        <w:numPr>
          <w:ilvl w:val="1"/>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Whole Agreement</w:t>
      </w:r>
      <w:r>
        <w:rPr>
          <w:rFonts w:ascii="Times New Roman" w:cs="Times New Roman" w:eastAsia="Times New Roman" w:hAnsi="Times New Roman"/>
          <w:sz w:val="22"/>
          <w:szCs w:val="22"/>
          <w:color w:val="auto"/>
        </w:rPr>
        <w:t>. No agreements, representations or understandings (whether oral or written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express or implied) which are not expressly set forth in this Agreement have been made or entered into by either party with respect to the subject matter hereof. This Agreement supersedes any agreement (or portion thereof) concerning similar subject matter dated prior to the date of this Agreement, and by execution of this Agreement both parties agree that any such predecessor agreement (or portion thereof) shall be deemed null and void. For the avoidance of doubt, the parties agree that this Agreement does not supersede the provisions of Executive’s Offer Letter that do not address termination or severance benefits or Executive’s Employee Confidential Information and Invention Assignment Agreement with the Company.</w:t>
      </w:r>
    </w:p>
    <w:p>
      <w:pPr>
        <w:spacing w:after="0" w:line="175" w:lineRule="exact"/>
        <w:rPr>
          <w:rFonts w:ascii="Times New Roman" w:cs="Times New Roman" w:eastAsia="Times New Roman" w:hAnsi="Times New Roman"/>
          <w:sz w:val="22"/>
          <w:szCs w:val="22"/>
          <w:b w:val="1"/>
          <w:bCs w:val="1"/>
          <w:color w:val="auto"/>
        </w:rPr>
      </w:pPr>
    </w:p>
    <w:p>
      <w:pPr>
        <w:jc w:val="both"/>
        <w:ind w:left="-440" w:firstLine="1505"/>
        <w:spacing w:after="0" w:line="246" w:lineRule="auto"/>
        <w:tabs>
          <w:tab w:leader="none" w:pos="1596" w:val="left"/>
        </w:tabs>
        <w:numPr>
          <w:ilvl w:val="1"/>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The validity, interpretation, construction and performance of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laws of the State of California without reference to conflict of laws provisions, and the parties hereto submit to the exclusive jurisdiction of the state and federal courts of the State of California.</w:t>
      </w:r>
    </w:p>
    <w:p>
      <w:pPr>
        <w:spacing w:after="0" w:line="167" w:lineRule="exact"/>
        <w:rPr>
          <w:rFonts w:ascii="Times New Roman" w:cs="Times New Roman" w:eastAsia="Times New Roman" w:hAnsi="Times New Roman"/>
          <w:sz w:val="22"/>
          <w:szCs w:val="22"/>
          <w:b w:val="1"/>
          <w:bCs w:val="1"/>
          <w:color w:val="auto"/>
        </w:rPr>
      </w:pPr>
    </w:p>
    <w:p>
      <w:pPr>
        <w:jc w:val="both"/>
        <w:ind w:left="-440" w:firstLine="1505"/>
        <w:spacing w:after="0" w:line="237" w:lineRule="auto"/>
        <w:tabs>
          <w:tab w:leader="none" w:pos="1596" w:val="left"/>
        </w:tabs>
        <w:numPr>
          <w:ilvl w:val="1"/>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term or provision of this Agreement or the application thereof to any circumstance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in any jurisdiction and to any extent, be invalid or unenforceable, such term or provision shall be ineffective as to such jurisdiction to the extent of such invalidity or unenforceability without invalidating or rendering unenforceable the remaining terms and provisions of this Agreement or the application of such terms and provisions to circumstances other than those as to which it is held invalid or unenforceable, and a suitable and equitable term or provision shall be substituted therefor to carry out, insofar as may be valid and enforceable, the intent and purpose of the invalid or unenforceable term or provision.</w:t>
      </w:r>
    </w:p>
    <w:p>
      <w:pPr>
        <w:spacing w:after="0" w:line="175" w:lineRule="exact"/>
        <w:rPr>
          <w:rFonts w:ascii="Times New Roman" w:cs="Times New Roman" w:eastAsia="Times New Roman" w:hAnsi="Times New Roman"/>
          <w:sz w:val="22"/>
          <w:szCs w:val="22"/>
          <w:b w:val="1"/>
          <w:bCs w:val="1"/>
          <w:color w:val="auto"/>
        </w:rPr>
      </w:pPr>
    </w:p>
    <w:p>
      <w:pPr>
        <w:ind w:left="-440" w:firstLine="1505"/>
        <w:spacing w:after="0" w:line="262" w:lineRule="auto"/>
        <w:tabs>
          <w:tab w:leader="none" w:pos="1596" w:val="left"/>
        </w:tabs>
        <w:numPr>
          <w:ilvl w:val="1"/>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Legal Fees and Expenses</w:t>
      </w:r>
      <w:r>
        <w:rPr>
          <w:rFonts w:ascii="Times New Roman" w:cs="Times New Roman" w:eastAsia="Times New Roman" w:hAnsi="Times New Roman"/>
          <w:sz w:val="22"/>
          <w:szCs w:val="22"/>
          <w:color w:val="auto"/>
        </w:rPr>
        <w:t>. The parties shall each bear their own expenses, legal fees and other fees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incurred in connection with the execution of this Agreement.</w:t>
      </w:r>
    </w:p>
    <w:p>
      <w:pPr>
        <w:spacing w:after="0" w:line="149" w:lineRule="exact"/>
        <w:rPr>
          <w:rFonts w:ascii="Times New Roman" w:cs="Times New Roman" w:eastAsia="Times New Roman" w:hAnsi="Times New Roman"/>
          <w:sz w:val="22"/>
          <w:szCs w:val="22"/>
          <w:b w:val="1"/>
          <w:bCs w:val="1"/>
          <w:color w:val="auto"/>
        </w:rPr>
      </w:pPr>
    </w:p>
    <w:p>
      <w:pPr>
        <w:jc w:val="both"/>
        <w:ind w:left="-440" w:firstLine="1505"/>
        <w:spacing w:after="0" w:line="241" w:lineRule="auto"/>
        <w:tabs>
          <w:tab w:leader="none" w:pos="1596" w:val="left"/>
        </w:tabs>
        <w:numPr>
          <w:ilvl w:val="1"/>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Assignment of Benefits</w:t>
      </w:r>
      <w:r>
        <w:rPr>
          <w:rFonts w:ascii="Times New Roman" w:cs="Times New Roman" w:eastAsia="Times New Roman" w:hAnsi="Times New Roman"/>
          <w:sz w:val="22"/>
          <w:szCs w:val="22"/>
          <w:color w:val="auto"/>
        </w:rPr>
        <w:t>. The rights of any person to payments or benefits under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made subject to option or assignment, either by voluntary or involuntary assignment or by operation of law, including (without limitation) bankruptcy, garnishment, attachment or other creditor’s process, and any action in violation of this Section 8(g) shall be void.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4" w:right="339" w:bottom="1440" w:gutter="0" w:footer="0" w:header="0"/>
        </w:sectPr>
      </w:pPr>
    </w:p>
    <w:bookmarkStart w:id="154" w:name="page155"/>
    <w:bookmarkEnd w:id="154"/>
    <w:p>
      <w:pPr>
        <w:ind w:left="-20" w:firstLine="1505"/>
        <w:spacing w:after="0" w:line="262" w:lineRule="auto"/>
        <w:tabs>
          <w:tab w:leader="none" w:pos="2016"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will constitute one and the same instrument.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remainder of this page left blank</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14"/>
          <w:szCs w:val="14"/>
          <w:b w:val="1"/>
          <w:bCs w:val="1"/>
          <w:color w:val="auto"/>
        </w:rPr>
        <w:t>signature page to follow</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4"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have executed this Agreement as of the date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-13970</wp:posOffset>
            </wp:positionV>
            <wp:extent cx="13716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22"/>
          <w:szCs w:val="22"/>
          <w:b w:val="1"/>
          <w:bCs w:val="1"/>
          <w:color w:val="auto"/>
        </w:rPr>
        <w:t>Aaron Tachibana</w:t>
      </w:r>
    </w:p>
    <w:p>
      <w:pPr>
        <w:spacing w:after="0" w:line="19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Address: 763 Sunshine Drive</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Los Altos, CA 94024</w:t>
      </w:r>
    </w:p>
    <w:p>
      <w:pPr>
        <w:ind w:left="3740"/>
        <w:spacing w:after="0"/>
        <w:rPr>
          <w:sz w:val="20"/>
          <w:szCs w:val="20"/>
          <w:color w:val="auto"/>
        </w:rPr>
      </w:pPr>
      <w:r>
        <w:rPr>
          <w:rFonts w:ascii="Times New Roman" w:cs="Times New Roman" w:eastAsia="Times New Roman" w:hAnsi="Times New Roman"/>
          <w:sz w:val="22"/>
          <w:szCs w:val="22"/>
          <w:color w:val="auto"/>
        </w:rPr>
        <w:t>Date: 1/5/2024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-29210</wp:posOffset>
            </wp:positionV>
            <wp:extent cx="8001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6">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PERSONALIS, INC.</w:t>
      </w:r>
    </w:p>
    <w:p>
      <w:pPr>
        <w:spacing w:after="0" w:line="2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/s/ Stephen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-13970</wp:posOffset>
            </wp:positionV>
            <wp:extent cx="10972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7">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8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Stephen Moore</w:t>
      </w:r>
    </w:p>
    <w:p>
      <w:pPr>
        <w:spacing w:after="0" w:line="20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Title: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04"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16"/>
          <w:szCs w:val="16"/>
          <w:b w:val="1"/>
          <w:bCs w:val="1"/>
          <w:color w:val="auto"/>
        </w:rPr>
        <w:t>Exhibit 10.14</w:t>
      </w:r>
    </w:p>
    <w:p>
      <w:pPr>
        <w:spacing w:after="0" w:line="2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PERSONALIS,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AMENDED AND RESTATED EXECUTIVE SEVERANCE AGREEMENT</w:t>
      </w:r>
    </w:p>
    <w:p>
      <w:pPr>
        <w:spacing w:after="0" w:line="20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This Third Amended and Restated Executive Severance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effective as of September 25, 2023, amends, supersedes and restates in its entirety that certain Second Amended and Restated Executive Severance Agreement by and between Dr. Richard Chen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Personalis,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dated March 7, 2023. This Agreement is intended to provide Executive with certain benefits described herein upon the occurrence of specific events.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00" w:lineRule="exact"/>
        <w:rPr>
          <w:sz w:val="20"/>
          <w:szCs w:val="20"/>
          <w:color w:val="auto"/>
        </w:rPr>
      </w:pPr>
    </w:p>
    <w:p>
      <w:pPr>
        <w:ind w:firstLine="440"/>
        <w:spacing w:after="0" w:line="264" w:lineRule="auto"/>
        <w:tabs>
          <w:tab w:leader="none" w:pos="86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Company’s Board of Directors (the “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believes it is in the best interests of the Company and its shareholders to retain Executive and provide incentives to Executive to continue in the service of the Company.</w:t>
      </w:r>
    </w:p>
    <w:p>
      <w:pPr>
        <w:spacing w:after="0" w:line="178" w:lineRule="exact"/>
        <w:rPr>
          <w:rFonts w:ascii="Times New Roman" w:cs="Times New Roman" w:eastAsia="Times New Roman" w:hAnsi="Times New Roman"/>
          <w:sz w:val="22"/>
          <w:szCs w:val="22"/>
          <w:color w:val="auto"/>
        </w:rPr>
      </w:pPr>
    </w:p>
    <w:p>
      <w:pPr>
        <w:ind w:firstLine="440"/>
        <w:spacing w:after="0" w:line="244" w:lineRule="auto"/>
        <w:tabs>
          <w:tab w:leader="none" w:pos="86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further believes that it is imperative to provide Executive with certain benefits upon termination of Executive’s employment, which benefits are intended to provide Executive with financial security and sufficient income and encouragement to Executive to remain with the Company.</w:t>
      </w:r>
    </w:p>
    <w:p>
      <w:pPr>
        <w:spacing w:after="0" w:line="200" w:lineRule="exact"/>
        <w:rPr>
          <w:rFonts w:ascii="Times New Roman" w:cs="Times New Roman" w:eastAsia="Times New Roman" w:hAnsi="Times New Roman"/>
          <w:sz w:val="22"/>
          <w:szCs w:val="22"/>
          <w:color w:val="auto"/>
        </w:rPr>
      </w:pPr>
    </w:p>
    <w:p>
      <w:pPr>
        <w:ind w:right="60" w:firstLine="440"/>
        <w:spacing w:after="0" w:line="258" w:lineRule="auto"/>
        <w:tabs>
          <w:tab w:leader="none" w:pos="86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accomplish the foregoing objectives, the Board has directed the Company, upon execution of this Agreement by Executive, to agree to the terms provided in this Agreement.</w:t>
      </w:r>
    </w:p>
    <w:p>
      <w:pPr>
        <w:spacing w:after="0" w:line="18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covenants and agreements contained herein, the parties hereto agree as follows:</w:t>
      </w:r>
    </w:p>
    <w:p>
      <w:pPr>
        <w:spacing w:after="0" w:line="154" w:lineRule="exact"/>
        <w:rPr>
          <w:sz w:val="20"/>
          <w:szCs w:val="20"/>
          <w:color w:val="auto"/>
        </w:rPr>
      </w:pPr>
    </w:p>
    <w:p>
      <w:pPr>
        <w:jc w:val="both"/>
        <w:ind w:firstLine="757"/>
        <w:spacing w:after="0" w:line="238" w:lineRule="auto"/>
        <w:tabs>
          <w:tab w:leader="none" w:pos="1018"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At-Will Employment</w:t>
      </w:r>
      <w:r>
        <w:rPr>
          <w:rFonts w:ascii="Times New Roman" w:cs="Times New Roman" w:eastAsia="Times New Roman" w:hAnsi="Times New Roman"/>
          <w:sz w:val="22"/>
          <w:szCs w:val="22"/>
          <w:color w:val="auto"/>
        </w:rPr>
        <w:t>. Executive’s employment is at-will, which means that the Company may terminate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at any time, with or without Cause or advance notice. Similarly, Executive may resign Executive’s employment at any time, with or without advance notice, and with or without Good Reason. Executive shall not receive any compensation of any kind, including, without limitation, equity award vesting acceleration and severance benefits, following Executive’s last day of employment with the Company, except as expressly provided herein.</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Benefits Upon Termination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1"/>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in Connection with or Following a Change in Control</w:t>
      </w:r>
      <w:r>
        <w:rPr>
          <w:rFonts w:ascii="Times New Roman" w:cs="Times New Roman" w:eastAsia="Times New Roman" w:hAnsi="Times New Roman"/>
          <w:sz w:val="22"/>
          <w:szCs w:val="22"/>
          <w:color w:val="auto"/>
        </w:rPr>
        <w:t>. If Executive’s employment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without Cause (as defined below) (and other than as a result of Executive’s death or disability), or Executive resigns for Good Reason (as defined below), in either case within twelve (12) months after the effective date of a Change in Control (as defined below), and provided such termination constitutes a “separation from service” (within the meaning of Treasury Regulation Section 1.409A-1(h), such termination a “</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and provided further that Executive signs and allows to become effective a general release of all claims in favor of the Company in a form provided by the Company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within sixty (60) days after Executive’s Separation from Service (the date that the Release becomes effective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57" w:name="page158"/>
    <w:bookmarkEnd w:id="157"/>
    <w:p>
      <w:pPr>
        <w:ind w:right="20"/>
        <w:spacing w:after="0" w:line="264" w:lineRule="auto"/>
        <w:rPr>
          <w:sz w:val="20"/>
          <w:szCs w:val="20"/>
          <w:color w:val="auto"/>
        </w:rPr>
      </w:pPr>
      <w:r>
        <w:rPr>
          <w:rFonts w:ascii="Times New Roman" w:cs="Times New Roman" w:eastAsia="Times New Roman" w:hAnsi="Times New Roman"/>
          <w:sz w:val="22"/>
          <w:szCs w:val="22"/>
          <w:color w:val="auto"/>
        </w:rPr>
        <w:t xml:space="preserve">may no longer be revoked by Executive is referred to as the </w:t>
      </w:r>
      <w:r>
        <w:rPr>
          <w:rFonts w:ascii="Times New Roman" w:cs="Times New Roman" w:eastAsia="Times New Roman" w:hAnsi="Times New Roman"/>
          <w:sz w:val="22"/>
          <w:szCs w:val="22"/>
          <w:b w:val="1"/>
          <w:bCs w:val="1"/>
          <w:i w:val="1"/>
          <w:iCs w:val="1"/>
          <w:color w:val="auto"/>
        </w:rPr>
        <w:t>“Release Date”</w:t>
      </w:r>
      <w:r>
        <w:rPr>
          <w:rFonts w:ascii="Times New Roman" w:cs="Times New Roman" w:eastAsia="Times New Roman" w:hAnsi="Times New Roman"/>
          <w:sz w:val="22"/>
          <w:szCs w:val="22"/>
          <w:color w:val="auto"/>
        </w:rPr>
        <w:t>), then the Company shall provide Executive with the following severance benefits (the “</w:t>
      </w:r>
      <w:r>
        <w:rPr>
          <w:rFonts w:ascii="Times New Roman" w:cs="Times New Roman" w:eastAsia="Times New Roman" w:hAnsi="Times New Roman"/>
          <w:sz w:val="22"/>
          <w:szCs w:val="22"/>
          <w:b w:val="1"/>
          <w:bCs w:val="1"/>
          <w:i w:val="1"/>
          <w:iCs w:val="1"/>
          <w:color w:val="auto"/>
        </w:rPr>
        <w:t>Change in Control Separation Benefits</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2254"/>
        <w:spacing w:after="0" w:line="244" w:lineRule="auto"/>
        <w:tabs>
          <w:tab w:leader="none" w:pos="2546"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Executive cash severance in an amount equal to twelve (12) months of Executive’s then-current base salary, ignoring any decrease in base salary that forms the basis for Good Reason, less all applicable withholdings and deductions, paid on the Company’s first regular payroll date following the Release Date.</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Executive further cash severance in an amount equal to one hundred percent (100%) of Executive’s target annual bonus for the year in which the Change in Control is consummated, less all applicable withholdings and deductions, paid on the Company’s first regular payroll date following the Release Date.</w:t>
      </w:r>
    </w:p>
    <w:p>
      <w:pPr>
        <w:spacing w:after="0" w:line="169"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Should Executive timely elect to continue Executive’s medical, dental and/or vision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pursuant to the Consolidated Omnibus Budget Reconciliation Act of 1985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or any analogous provisions of applicable state law, the Company shall pay Executive’s COBRA premiums for Executive and Executive’s eligible dependents (“</w:t>
      </w:r>
      <w:r>
        <w:rPr>
          <w:rFonts w:ascii="Times New Roman" w:cs="Times New Roman" w:eastAsia="Times New Roman" w:hAnsi="Times New Roman"/>
          <w:sz w:val="22"/>
          <w:szCs w:val="22"/>
          <w:b w:val="1"/>
          <w:bCs w:val="1"/>
          <w:i w:val="1"/>
          <w:iCs w:val="1"/>
          <w:color w:val="auto"/>
        </w:rPr>
        <w:t>COBRA Premiums</w:t>
      </w:r>
      <w:r>
        <w:rPr>
          <w:rFonts w:ascii="Times New Roman" w:cs="Times New Roman" w:eastAsia="Times New Roman" w:hAnsi="Times New Roman"/>
          <w:sz w:val="22"/>
          <w:szCs w:val="22"/>
          <w:color w:val="auto"/>
        </w:rPr>
        <w:t>”) for a period of twelve (12) months following Executive’s Separation from Service (the “</w:t>
      </w:r>
      <w:r>
        <w:rPr>
          <w:rFonts w:ascii="Times New Roman" w:cs="Times New Roman" w:eastAsia="Times New Roman" w:hAnsi="Times New Roman"/>
          <w:sz w:val="22"/>
          <w:szCs w:val="22"/>
          <w:b w:val="1"/>
          <w:bCs w:val="1"/>
          <w:i w:val="1"/>
          <w:iCs w:val="1"/>
          <w:color w:val="auto"/>
        </w:rPr>
        <w:t>Change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Control Benefits Payment Period</w:t>
      </w:r>
      <w:r>
        <w:rPr>
          <w:rFonts w:ascii="Times New Roman" w:cs="Times New Roman" w:eastAsia="Times New Roman" w:hAnsi="Times New Roman"/>
          <w:sz w:val="22"/>
          <w:szCs w:val="22"/>
          <w:color w:val="auto"/>
        </w:rPr>
        <w:t>”) or, if earlier, the date upon which Executive obtains coverage under a medical plan by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subsequent employer. The Company’s obligation to pay any COBRA Premiums will be subject to the then-current requirements of COBRA and any other laws affecting the payment of COBRA premiums by the Company. Notwithstanding the foregoing, if the Company determines, in its sole discretion, that the Company cannot provide the COBRA Premiums without potentially incurring financial costs or penalties under applicable law, the Company shall in lieu thereof pay Executive a taxable cash amount, which payment shall be made regardless of whether Executive elects health care continuation coverage (the “</w:t>
      </w:r>
      <w:r>
        <w:rPr>
          <w:rFonts w:ascii="Times New Roman" w:cs="Times New Roman" w:eastAsia="Times New Roman" w:hAnsi="Times New Roman"/>
          <w:sz w:val="22"/>
          <w:szCs w:val="22"/>
          <w:b w:val="1"/>
          <w:bCs w:val="1"/>
          <w:i w:val="1"/>
          <w:iCs w:val="1"/>
          <w:color w:val="auto"/>
        </w:rPr>
        <w:t>Health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Care Benefit Payment</w:t>
      </w:r>
      <w:r>
        <w:rPr>
          <w:rFonts w:ascii="Times New Roman" w:cs="Times New Roman" w:eastAsia="Times New Roman" w:hAnsi="Times New Roman"/>
          <w:sz w:val="22"/>
          <w:szCs w:val="22"/>
          <w:color w:val="auto"/>
        </w:rPr>
        <w:t>”). The Health Care Benefit Payment shall be paid in monthly installments on the same schedule that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COBRA Premiums would otherwise have been paid to the insurer. The Health Care Benefit Payment shall be equal to the amount that the Company would have otherwise paid for COBRA Premiums (which amount shall be calculated based on the premium for the first month of COBRA coverage), and shall be paid until the earlier of: (i) the date the Change in Control Benefits Payment Period expires or (ii) the date upon which Executive obtains coverage under a medical plan by a subsequent employer.</w:t>
      </w:r>
    </w:p>
    <w:p>
      <w:pPr>
        <w:spacing w:after="0" w:line="174"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The Company shall accelerate the vesting of each of Executive’s then-outstanding unvested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awards, effective immediately prior to such Separation from Service. In the event any such awards are based upon performance of the Company and/or of Executive, such awards shall be vested at their respective target levels.</w:t>
      </w:r>
    </w:p>
    <w:p>
      <w:pPr>
        <w:spacing w:after="0" w:line="167" w:lineRule="exact"/>
        <w:rPr>
          <w:sz w:val="20"/>
          <w:szCs w:val="20"/>
          <w:color w:val="auto"/>
        </w:rPr>
      </w:pPr>
    </w:p>
    <w:p>
      <w:pPr>
        <w:jc w:val="both"/>
        <w:ind w:firstLine="1505"/>
        <w:spacing w:after="0" w:line="238" w:lineRule="auto"/>
        <w:tabs>
          <w:tab w:leader="none" w:pos="2036"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Not in Connection with or Following a Change in Control</w:t>
      </w:r>
      <w:r>
        <w:rPr>
          <w:rFonts w:ascii="Times New Roman" w:cs="Times New Roman" w:eastAsia="Times New Roman" w:hAnsi="Times New Roman"/>
          <w:sz w:val="22"/>
          <w:szCs w:val="22"/>
          <w:color w:val="auto"/>
        </w:rPr>
        <w:t>. If Executive’s employment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without Cause (and other than as a result of Executive’s death or disability), or Executive resigns for Good Reason, in either case at any time that is not within twelve (12) months after a Change in Control, and provided such termination constitutes a Separation from Service, and provided Executive signs and allows to become effective the Release within sixty (60) days after Executive’s Separation from Service, then the Company shall provide</w:t>
      </w:r>
    </w:p>
    <w:p>
      <w:pPr>
        <w:spacing w:after="0" w:line="200" w:lineRule="exact"/>
        <w:rPr>
          <w:sz w:val="20"/>
          <w:szCs w:val="20"/>
          <w:color w:val="auto"/>
        </w:rPr>
      </w:pPr>
    </w:p>
    <w:p>
      <w:pPr>
        <w:spacing w:after="0" w:line="38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58" w:name="page159"/>
    <w:bookmarkEnd w:id="158"/>
    <w:p>
      <w:pPr>
        <w:spacing w:after="0" w:line="264" w:lineRule="auto"/>
        <w:rPr>
          <w:sz w:val="20"/>
          <w:szCs w:val="20"/>
          <w:color w:val="auto"/>
        </w:rPr>
      </w:pPr>
      <w:r>
        <w:rPr>
          <w:rFonts w:ascii="Times New Roman" w:cs="Times New Roman" w:eastAsia="Times New Roman" w:hAnsi="Times New Roman"/>
          <w:sz w:val="22"/>
          <w:szCs w:val="22"/>
          <w:color w:val="auto"/>
        </w:rPr>
        <w:t>Executive with the following severance benefits (collectively with the Change in Control Separation Benefits, the “</w:t>
      </w:r>
      <w:r>
        <w:rPr>
          <w:rFonts w:ascii="Times New Roman" w:cs="Times New Roman" w:eastAsia="Times New Roman" w:hAnsi="Times New Roman"/>
          <w:sz w:val="22"/>
          <w:szCs w:val="22"/>
          <w:b w:val="1"/>
          <w:bCs w:val="1"/>
          <w:i w:val="1"/>
          <w:iCs w:val="1"/>
          <w:color w:val="auto"/>
        </w:rPr>
        <w:t>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Benefits</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2254"/>
        <w:spacing w:after="0" w:line="244" w:lineRule="auto"/>
        <w:tabs>
          <w:tab w:leader="none" w:pos="2546" w:val="left"/>
        </w:tabs>
        <w:numPr>
          <w:ilvl w:val="2"/>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Executive cash severance in an amount equal to nine (9) months of Executive’s then current base salary, less all applicable withholdings and deductions, paid in a lump sum on the Company’s first regular payroll date after the Release Date.</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46" w:lineRule="auto"/>
        <w:tabs>
          <w:tab w:leader="none" w:pos="2546" w:val="left"/>
        </w:tabs>
        <w:numPr>
          <w:ilvl w:val="2"/>
          <w:numId w:val="1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Should Executive timely elect to continue Executive’s medical, dental and/or vision insurance benefits pursuant to COBRA, the Company shall pay the COBRA Premiums for a period of nine (9) months following the effective date of Executive’s Separation from Service (the “</w:t>
      </w:r>
      <w:r>
        <w:rPr>
          <w:rFonts w:ascii="Times New Roman" w:cs="Times New Roman" w:eastAsia="Times New Roman" w:hAnsi="Times New Roman"/>
          <w:sz w:val="21"/>
          <w:szCs w:val="21"/>
          <w:b w:val="1"/>
          <w:bCs w:val="1"/>
          <w:i w:val="1"/>
          <w:iCs w:val="1"/>
          <w:color w:val="auto"/>
        </w:rPr>
        <w:t>Benefits Payment Period</w:t>
      </w:r>
      <w:r>
        <w:rPr>
          <w:rFonts w:ascii="Times New Roman" w:cs="Times New Roman" w:eastAsia="Times New Roman" w:hAnsi="Times New Roman"/>
          <w:sz w:val="21"/>
          <w:szCs w:val="21"/>
          <w:color w:val="auto"/>
        </w:rPr>
        <w:t>”) or, if earlier, the date upon which Executive obtains coverage under a medical plan by a subsequent employer. The Company’s obligation to pay any COBRA Premiums will be subject to the then-current requirements of COBRA and any other laws affecting the payment of COBRA premiums by the Company. Notwithstanding the foregoing, if the Company determines, in its sole discretion, that it cannot provide the COBRA Premiums without potentially incurring financial costs or penalties under applicable law, the Company shall in lieu thereof pay Executive the Health Care Benefit Payment in monthly installments on the same schedule that the COBRA Premiums would otherwise have been paid to the insurer, which shall be paid until the earlier of: (i) the date the Benefits Payment Period expires or (ii) the date upon which Executive obtains coverage under a medical plan by a subsequent employer.</w:t>
      </w:r>
    </w:p>
    <w:p>
      <w:pPr>
        <w:spacing w:after="0" w:line="166" w:lineRule="exact"/>
        <w:rPr>
          <w:rFonts w:ascii="Times New Roman" w:cs="Times New Roman" w:eastAsia="Times New Roman" w:hAnsi="Times New Roman"/>
          <w:sz w:val="21"/>
          <w:szCs w:val="21"/>
          <w:b w:val="1"/>
          <w:bCs w:val="1"/>
          <w:color w:val="auto"/>
        </w:rPr>
      </w:pPr>
    </w:p>
    <w:p>
      <w:pPr>
        <w:ind w:left="1020" w:hanging="263"/>
        <w:spacing w:after="0"/>
        <w:tabs>
          <w:tab w:leader="none" w:pos="102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Limitations and Conditions on Separation Benefits</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2036" w:val="left"/>
        </w:tabs>
        <w:numPr>
          <w:ilvl w:val="1"/>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 Prior to Payment of Benefits</w:t>
      </w:r>
      <w:r>
        <w:rPr>
          <w:rFonts w:ascii="Times New Roman" w:cs="Times New Roman" w:eastAsia="Times New Roman" w:hAnsi="Times New Roman"/>
          <w:sz w:val="22"/>
          <w:szCs w:val="22"/>
          <w:color w:val="auto"/>
        </w:rPr>
        <w:t>. Prior to the payment or provision of any of the Separation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Executive shall execute, and allow to become effective, the Release not later than sixty (60) days following Executive’s Separation from Service. Such Release shall specifically relate to all of Executive’s rights and claims in existence at the time of such execution and shall confirm Executive’s continuing obligations to the Company (including but not limited to obligations under any confidentiality and/or non-solicitation agreement with the Company). No Separation Benefits will be paid prior to the Release Date.</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and Employment Taxes</w:t>
      </w:r>
      <w:r>
        <w:rPr>
          <w:rFonts w:ascii="Times New Roman" w:cs="Times New Roman" w:eastAsia="Times New Roman" w:hAnsi="Times New Roman"/>
          <w:sz w:val="22"/>
          <w:szCs w:val="22"/>
          <w:color w:val="auto"/>
        </w:rPr>
        <w:t>. Executive agrees that Executive shall be responsible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taxes of any nature (including any penalties or interest that may apply to such taxes) that the Company reasonably determines apply to any payment made hereunder, that Executive’s receipt of any benefit hereunder is conditioned on Executive’s satisfaction of any applicable withholding or similar obligations that apply to such benefit, and that any cash payment owed hereunder will be reduced to satisfy any such withholding or similar obligations that may apply.</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2036" w:val="left"/>
        </w:tabs>
        <w:numPr>
          <w:ilvl w:val="1"/>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Section 409A</w:t>
      </w:r>
      <w:r>
        <w:rPr>
          <w:rFonts w:ascii="Times New Roman" w:cs="Times New Roman" w:eastAsia="Times New Roman" w:hAnsi="Times New Roman"/>
          <w:sz w:val="22"/>
          <w:szCs w:val="22"/>
          <w:color w:val="auto"/>
        </w:rPr>
        <w:t>. It is intended that each installment of the payments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for in this Agreement is a separate “payment” for purposes of Treasury Regulation Section 1.409A-2(b)(2)(i). For the avoidance of doubt, it is intended that Separation Benefits set forth in this Agreement satisfy, to the greatest extent possible, the exemptions from, or comply with, the application of Section 409A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and Treasury Regulations 1.409A-1(b)(4), 1.409A-1(b)(5) and 1.409A-1(b)(9) (together, with any state law of similar effect,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However, if the</w:t>
      </w:r>
    </w:p>
    <w:p>
      <w:pPr>
        <w:spacing w:after="0" w:line="200" w:lineRule="exact"/>
        <w:rPr>
          <w:sz w:val="20"/>
          <w:szCs w:val="20"/>
          <w:color w:val="auto"/>
        </w:rPr>
      </w:pPr>
    </w:p>
    <w:p>
      <w:pPr>
        <w:spacing w:after="0" w:line="38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59" w:name="page160"/>
    <w:bookmarkEnd w:id="159"/>
    <w:p>
      <w:pPr>
        <w:jc w:val="both"/>
        <w:spacing w:after="0" w:line="232" w:lineRule="auto"/>
        <w:rPr>
          <w:sz w:val="20"/>
          <w:szCs w:val="20"/>
          <w:color w:val="auto"/>
        </w:rPr>
      </w:pPr>
      <w:r>
        <w:rPr>
          <w:rFonts w:ascii="Times New Roman" w:cs="Times New Roman" w:eastAsia="Times New Roman" w:hAnsi="Times New Roman"/>
          <w:sz w:val="22"/>
          <w:szCs w:val="22"/>
          <w:color w:val="auto"/>
        </w:rPr>
        <w:t>Company (or, if applicable, the successor entity thereto) determines that the Separation Benefits provided under this Agreement constitute “deferred compensation” under Section 409A and Executive is, on the date of his or her Separation from Service, a “specified employee” of the Company or any successor entity thereto, as such term is defined in Section 409A(a)(2)(B)(i) of the Code (a “</w:t>
      </w:r>
      <w:r>
        <w:rPr>
          <w:rFonts w:ascii="Times New Roman" w:cs="Times New Roman" w:eastAsia="Times New Roman" w:hAnsi="Times New Roman"/>
          <w:sz w:val="22"/>
          <w:szCs w:val="22"/>
          <w:b w:val="1"/>
          <w:bCs w:val="1"/>
          <w:i w:val="1"/>
          <w:iCs w:val="1"/>
          <w:color w:val="auto"/>
        </w:rPr>
        <w:t>Specified Employee</w:t>
      </w:r>
      <w:r>
        <w:rPr>
          <w:rFonts w:ascii="Times New Roman" w:cs="Times New Roman" w:eastAsia="Times New Roman" w:hAnsi="Times New Roman"/>
          <w:sz w:val="22"/>
          <w:szCs w:val="22"/>
          <w:color w:val="auto"/>
        </w:rPr>
        <w:t>”), then, solely to the extent necessary to avoid the incurrence of the adverse personal tax consequences under Section 409A, the timing of the Separation Benefits described herein, as applicable, shall be delayed as follows: on the earlier to occur of (i) the date that is six (6) months and one (1) business day after Executive’s Separation from Service, (ii) the date of Executive’s death, or (iii) such earlier date as permitted under Section 409A without the imposition of adverse taxation (such earlier date, the “</w:t>
      </w:r>
      <w:r>
        <w:rPr>
          <w:rFonts w:ascii="Times New Roman" w:cs="Times New Roman" w:eastAsia="Times New Roman" w:hAnsi="Times New Roman"/>
          <w:sz w:val="22"/>
          <w:szCs w:val="22"/>
          <w:b w:val="1"/>
          <w:bCs w:val="1"/>
          <w:i w:val="1"/>
          <w:iCs w:val="1"/>
          <w:color w:val="auto"/>
        </w:rPr>
        <w:t>Delayed Initial Payment Date</w:t>
      </w:r>
      <w:r>
        <w:rPr>
          <w:rFonts w:ascii="Times New Roman" w:cs="Times New Roman" w:eastAsia="Times New Roman" w:hAnsi="Times New Roman"/>
          <w:sz w:val="22"/>
          <w:szCs w:val="22"/>
          <w:color w:val="auto"/>
        </w:rPr>
        <w:t>”). Upon the Delayed Initial Payment Date, the Company (or the successor entity thereto, as applicable) shall pay to Executive a lump sum amount equal to the applicable benefit that Executive would otherwise have received through the Delayed Initial Payment Date if the commencement of the payment of the benefit had not been so delayed pursuant to this Section 3(c), and any remaining payments due shall be paid as otherwise provided herein. No interest shall be due on any amounts so deferred. If the Separation Benefits are not covered by one or more exemptions from the application of Section 409A and the Release could become effective in the calendar year following the calendar year in which Executive has a Separation from Service, the Release will not be deemed effective any earlier than the Release Date. To the extent that any provision of this Agreement is ambiguous as to its exemption or compliance with Section 409A, the provision will be read in such a manner so that all payments hereunder are exempt from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With respect to reimbursements or in-kind benefits provided to Executive hereunder (or otherwise) that are not exempt from Section 409A, the following rules shall apply: (i) the amount of expenses eligible for reimbursement, or in-kind benefits provided, during any one of Executive’s taxable years shall not affect the expenses eligible for reimbursement, or in-kind benefit to be provided in any other taxable year, (ii) in the case of any reimbursements of eligible expenses, reimbursement shall be made on or before the last day of Executive’s taxable year following the taxable year in which the expense was incurred, and (iii) the right to reimbursement or in-kind benefits shall not be subject to liquidation or exchange for another benefit.</w:t>
      </w:r>
    </w:p>
    <w:p>
      <w:pPr>
        <w:spacing w:after="0" w:line="173" w:lineRule="exact"/>
        <w:rPr>
          <w:sz w:val="20"/>
          <w:szCs w:val="20"/>
          <w:color w:val="auto"/>
        </w:rPr>
      </w:pPr>
    </w:p>
    <w:p>
      <w:pPr>
        <w:jc w:val="both"/>
        <w:ind w:firstLine="1505"/>
        <w:spacing w:after="0" w:line="241" w:lineRule="auto"/>
        <w:tabs>
          <w:tab w:leader="none" w:pos="2036"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Related Matters. </w:t>
      </w:r>
      <w:r>
        <w:rPr>
          <w:rFonts w:ascii="Times New Roman" w:cs="Times New Roman" w:eastAsia="Times New Roman" w:hAnsi="Times New Roman"/>
          <w:sz w:val="22"/>
          <w:szCs w:val="22"/>
          <w:color w:val="auto"/>
        </w:rPr>
        <w:t>Executive further acknowledges and agrees that as a condition to receipt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Benefits (i) Executive must comply with Executive’s obligations under Executive’s Employee Confidential Information and Invention Assignment Agreement; and (ii) resign from all Company and or affiliate positions, including membership on any Board (unless otherwise requested by the Company).</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Any successor to the Company (whether direct or indirect and whether by purchase,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The terms of this Agreement and all of Executive’s rights hereunder and thereunder</w:t>
      </w:r>
    </w:p>
    <w:p>
      <w:pPr>
        <w:spacing w:after="0" w:line="200" w:lineRule="exact"/>
        <w:rPr>
          <w:sz w:val="20"/>
          <w:szCs w:val="20"/>
          <w:color w:val="auto"/>
        </w:rPr>
      </w:pPr>
    </w:p>
    <w:p>
      <w:pPr>
        <w:spacing w:after="0" w:line="38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spacing w:after="0" w:line="258" w:lineRule="auto"/>
        <w:rPr>
          <w:sz w:val="20"/>
          <w:szCs w:val="20"/>
          <w:color w:val="auto"/>
        </w:rPr>
      </w:pPr>
      <w:r>
        <w:rPr>
          <w:rFonts w:ascii="Times New Roman" w:cs="Times New Roman" w:eastAsia="Times New Roman" w:hAnsi="Times New Roman"/>
          <w:sz w:val="22"/>
          <w:szCs w:val="22"/>
          <w:color w:val="auto"/>
        </w:rPr>
        <w:t>shall inure to the benefit of, and be enforceable by, Executive’s personal or legal representatives, executors, administrators, successors, heirs, distributees, devisees and legatees.</w:t>
      </w:r>
    </w:p>
    <w:p>
      <w:pPr>
        <w:spacing w:after="0" w:line="154" w:lineRule="exact"/>
        <w:rPr>
          <w:sz w:val="20"/>
          <w:szCs w:val="20"/>
          <w:color w:val="auto"/>
        </w:rPr>
      </w:pPr>
    </w:p>
    <w:p>
      <w:pPr>
        <w:jc w:val="both"/>
        <w:ind w:firstLine="1505"/>
        <w:spacing w:after="0" w:line="238" w:lineRule="auto"/>
        <w:tabs>
          <w:tab w:leader="none" w:pos="2036" w:val="left"/>
        </w:tabs>
        <w:numPr>
          <w:ilvl w:val="1"/>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Notices and all other communications contemplated by this Agreement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been duly given when personally delivered or when mailed by U.S. registered or certified mail, return receipt requested and postage prepaid. Mailed notices to Executive shall be addressed to Executive at the home address which Executive most recently communicated to the Company in writing. In the case of the Company, mailed notices shall be addressed to its corporate headquarters, and all notices shall be directed to the attention of its Chief Executive Officer.</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1"/>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For purposes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as determined by the Board acting in good faith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on information then known to it, shall mean the occurrence of one or more of the following: (i) Executive’s gross negligence or knowing and willful action which is or is likely to be materially injurious to the Company; (ii) any intentional act by Executive in connection with his responsibilities as an employee constituting fraud or a felony crime; (iii) Executive’s consistent failure to report for work or perform his duties as directed by the Company’s Board of Directors; (iv) persistent or repeated material breach of this Agreement or any agreement between Executive and the Company; (v) Executive becoming disqualified from holding office through his own act or omission; (vi) an unauthorized use or disclosure by the Executive of the Company’s confidential information or trade secrets, which use or disclosure causes material harm to the Company; or (vii) a material failure by the Executive to comply with the Company’s written policies or rules which is or is likely to be materially injurious to the Company.</w:t>
      </w:r>
    </w:p>
    <w:p>
      <w:pPr>
        <w:spacing w:after="0" w:line="179" w:lineRule="exact"/>
        <w:rPr>
          <w:rFonts w:ascii="Times New Roman" w:cs="Times New Roman" w:eastAsia="Times New Roman" w:hAnsi="Times New Roman"/>
          <w:sz w:val="22"/>
          <w:szCs w:val="22"/>
          <w:b w:val="1"/>
          <w:bCs w:val="1"/>
          <w:color w:val="auto"/>
        </w:rPr>
      </w:pPr>
    </w:p>
    <w:p>
      <w:pPr>
        <w:ind w:firstLine="1505"/>
        <w:spacing w:after="0" w:line="264" w:lineRule="auto"/>
        <w:tabs>
          <w:tab w:leader="none" w:pos="2036" w:val="left"/>
        </w:tabs>
        <w:numPr>
          <w:ilvl w:val="1"/>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For purposes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consummation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transaction or series of transactions that results in any of the following:</w:t>
      </w:r>
    </w:p>
    <w:p>
      <w:pPr>
        <w:spacing w:after="0" w:line="151" w:lineRule="exact"/>
        <w:rPr>
          <w:rFonts w:ascii="Times New Roman" w:cs="Times New Roman" w:eastAsia="Times New Roman" w:hAnsi="Times New Roman"/>
          <w:sz w:val="22"/>
          <w:szCs w:val="22"/>
          <w:b w:val="1"/>
          <w:bCs w:val="1"/>
          <w:color w:val="auto"/>
        </w:rPr>
      </w:pPr>
    </w:p>
    <w:p>
      <w:pPr>
        <w:jc w:val="both"/>
        <w:ind w:firstLine="2254"/>
        <w:spacing w:after="0" w:line="236" w:lineRule="auto"/>
        <w:tabs>
          <w:tab w:leader="none" w:pos="2546" w:val="left"/>
        </w:tabs>
        <w:numPr>
          <w:ilvl w:val="2"/>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corporate transaction involving (directly or indirectly) the Company and, immediately following which the stockholders of the Company immediately prior thereto do not own, directly or indirectly, outstanding voting securities representing more than fifty percent (50%) of the combined outstanding voting power of the surviving entity in such merger, consolidation or similar corporate transaction or more than fifty percent (50%) of the combined outstanding voting power of the parent of the surviving entity in such merger, consolidation or similar corporate transaction; or</w:t>
      </w:r>
    </w:p>
    <w:p>
      <w:pPr>
        <w:spacing w:after="0" w:line="181"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546" w:val="left"/>
        </w:tabs>
        <w:numPr>
          <w:ilvl w:val="2"/>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or other disposition of all or substantially all of the consolidated assets of the Company that occurs over a period of not more than twelve (12) months.</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However, a Change in Control will not include (1) any consolidation or merger effected exclusively to change the domicile of the Company, or (2) any transaction or series of transactions principally for bona fide equity financing purposes in which cash is received by the Company or any successor or indebtedness of the Company is cancelled or converted or a combination thereof. In addition, no transaction will be a Change in Control unless it is also “change in ownership of a</w:t>
      </w:r>
    </w:p>
    <w:p>
      <w:pPr>
        <w:spacing w:after="0" w:line="200" w:lineRule="exact"/>
        <w:rPr>
          <w:sz w:val="20"/>
          <w:szCs w:val="20"/>
          <w:color w:val="auto"/>
        </w:rPr>
      </w:pPr>
    </w:p>
    <w:p>
      <w:pPr>
        <w:spacing w:after="0" w:line="38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spacing w:after="0" w:line="258" w:lineRule="auto"/>
        <w:rPr>
          <w:sz w:val="20"/>
          <w:szCs w:val="20"/>
          <w:color w:val="auto"/>
        </w:rPr>
      </w:pPr>
      <w:r>
        <w:rPr>
          <w:rFonts w:ascii="Times New Roman" w:cs="Times New Roman" w:eastAsia="Times New Roman" w:hAnsi="Times New Roman"/>
          <w:sz w:val="22"/>
          <w:szCs w:val="22"/>
          <w:color w:val="auto"/>
        </w:rPr>
        <w:t>corporation” or “change in ownership of a substantial portion of a corporation’s assets” as defined under in Treasury Regulations Sections 1.409A-3(i)(5)(v) and (vii) without regard to any alternative definitions thereunder.</w:t>
      </w:r>
    </w:p>
    <w:p>
      <w:pPr>
        <w:spacing w:after="0" w:line="152" w:lineRule="exact"/>
        <w:rPr>
          <w:sz w:val="20"/>
          <w:szCs w:val="20"/>
          <w:color w:val="auto"/>
        </w:rPr>
      </w:pPr>
    </w:p>
    <w:p>
      <w:pPr>
        <w:jc w:val="both"/>
        <w:ind w:firstLine="1505"/>
        <w:spacing w:after="0" w:line="244" w:lineRule="auto"/>
        <w:tabs>
          <w:tab w:leader="none" w:pos="2036" w:val="left"/>
        </w:tabs>
        <w:numPr>
          <w:ilvl w:val="1"/>
          <w:numId w:val="1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Good Reason. </w:t>
      </w: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for Executive’s resignation of his or 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employment will exist following the occurrence of any of the following without Executive’s written consent: (i) a material reduction in Executive’s base salary, which the parties agree is a reduction of at least ten percent (10%) of Executive’s base salary (provided, however, that such reduction will not be considered Good Reason if made in connection with an across-the-board salary reduction affecting all members of management); (ii) a material reduction in Executive’s duties, responsibilities and/or authority,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change in job position (including a change in title) after or in connection with a Change in Control shall not be deemed a “material reduction” in and of itself unless Executive’s new duties are materially reduced from Executive’s prior duties; (iii) a relocation of Executive’s principal place of employment to a place that increases Executive’s one-way commute by more than fifty (50) miles as compared to Executive’s then-current principal place of employment immediately prior to such relocation; or (iv) a material breach by the Company of this Agreement. In order to resign for Good Reason, Executive must provide written notice to the Board within thirty (30) days after the first occurrence of the event giving rise to Good Reason setting forth the basis for Executive’s resignation, allow the Company at least thirty (30) days from receipt of such written notice to cure such event, and if such event is not reasonably cured within such period, Executive must resign from all positions Executive then holds with the Company not later than thirty (30) days after the expiration of the cure period or the date of notification to Executive that the Company will not so cure. Executive understands and agrees that the requirement for Executive’s performance of services within twenty (20) miles of Palo Alto, California does not give rise to Good Reason.</w:t>
      </w:r>
    </w:p>
    <w:p>
      <w:pPr>
        <w:spacing w:after="0" w:line="177" w:lineRule="exact"/>
        <w:rPr>
          <w:rFonts w:ascii="Times New Roman" w:cs="Times New Roman" w:eastAsia="Times New Roman" w:hAnsi="Times New Roman"/>
          <w:sz w:val="21"/>
          <w:szCs w:val="21"/>
          <w:b w:val="1"/>
          <w:bCs w:val="1"/>
          <w:color w:val="auto"/>
        </w:rPr>
      </w:pPr>
    </w:p>
    <w:p>
      <w:pPr>
        <w:ind w:left="1020" w:hanging="263"/>
        <w:spacing w:after="0"/>
        <w:tabs>
          <w:tab w:leader="none" w:pos="102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Parachute Payments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1"/>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any payment or benefit (including payments and benefits pursuant to this Agreement) that Executive would receive in connection with a Change in Control from the Company or otherwise (“</w:t>
      </w:r>
      <w:r>
        <w:rPr>
          <w:rFonts w:ascii="Times New Roman" w:cs="Times New Roman" w:eastAsia="Times New Roman" w:hAnsi="Times New Roman"/>
          <w:sz w:val="22"/>
          <w:szCs w:val="22"/>
          <w:b w:val="1"/>
          <w:bCs w:val="1"/>
          <w:i w:val="1"/>
          <w:iCs w:val="1"/>
          <w:color w:val="auto"/>
        </w:rPr>
        <w:t>Transaction Payment</w:t>
      </w:r>
      <w:r>
        <w:rPr>
          <w:rFonts w:ascii="Times New Roman" w:cs="Times New Roman" w:eastAsia="Times New Roman" w:hAnsi="Times New Roman"/>
          <w:sz w:val="22"/>
          <w:szCs w:val="22"/>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Times New Roman" w:cs="Times New Roman" w:eastAsia="Times New Roman" w:hAnsi="Times New Roman"/>
          <w:sz w:val="22"/>
          <w:szCs w:val="22"/>
          <w:b w:val="1"/>
          <w:bCs w:val="1"/>
          <w:i w:val="1"/>
          <w:iCs w:val="1"/>
          <w:color w:val="auto"/>
        </w:rPr>
        <w:t>Full Payment</w:t>
      </w:r>
      <w:r>
        <w:rPr>
          <w:rFonts w:ascii="Times New Roman" w:cs="Times New Roman" w:eastAsia="Times New Roman" w:hAnsi="Times New Roman"/>
          <w:sz w:val="22"/>
          <w:szCs w:val="22"/>
          <w:color w:val="auto"/>
        </w:rPr>
        <w:t>”), or (2) payment of only a part of the Transaction Payment so that Executive receives the largest payment possible without the imposition of the Excise Tax (a “</w:t>
      </w:r>
      <w:r>
        <w:rPr>
          <w:rFonts w:ascii="Times New Roman" w:cs="Times New Roman" w:eastAsia="Times New Roman" w:hAnsi="Times New Roman"/>
          <w:sz w:val="22"/>
          <w:szCs w:val="22"/>
          <w:b w:val="1"/>
          <w:bCs w:val="1"/>
          <w:i w:val="1"/>
          <w:iCs w:val="1"/>
          <w:color w:val="auto"/>
        </w:rPr>
        <w:t>Reduced Payment</w:t>
      </w:r>
      <w:r>
        <w:rPr>
          <w:rFonts w:ascii="Times New Roman" w:cs="Times New Roman" w:eastAsia="Times New Roman" w:hAnsi="Times New Roman"/>
          <w:sz w:val="22"/>
          <w:szCs w:val="22"/>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shall occur in the manner that results in the greatest economic benefit to Executive as determined in this paragraph (the</w:t>
      </w:r>
    </w:p>
    <w:p>
      <w:pPr>
        <w:spacing w:after="0" w:line="200" w:lineRule="exact"/>
        <w:rPr>
          <w:sz w:val="20"/>
          <w:szCs w:val="20"/>
          <w:color w:val="auto"/>
        </w:rPr>
      </w:pPr>
    </w:p>
    <w:p>
      <w:pPr>
        <w:spacing w:after="0" w:line="38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2" w:name="page163"/>
    <w:bookmarkEnd w:id="162"/>
    <w:p>
      <w:pPr>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Reduction Method</w:t>
      </w:r>
      <w:r>
        <w:rPr>
          <w:rFonts w:ascii="Times New Roman" w:cs="Times New Roman" w:eastAsia="Times New Roman" w:hAnsi="Times New Roman"/>
          <w:sz w:val="22"/>
          <w:szCs w:val="22"/>
          <w:color w:val="auto"/>
        </w:rPr>
        <w:t>”). If more than one method of reduction will result in the same economic benefit, the portions of the Transaction Payment shall be reduced pro rata (the “</w:t>
      </w:r>
      <w:r>
        <w:rPr>
          <w:rFonts w:ascii="Times New Roman" w:cs="Times New Roman" w:eastAsia="Times New Roman" w:hAnsi="Times New Roman"/>
          <w:sz w:val="22"/>
          <w:szCs w:val="22"/>
          <w:b w:val="1"/>
          <w:bCs w:val="1"/>
          <w:i w:val="1"/>
          <w:iCs w:val="1"/>
          <w:color w:val="auto"/>
        </w:rPr>
        <w:t>Pro Rata Reduction Method</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1505"/>
        <w:spacing w:after="0" w:line="246" w:lineRule="auto"/>
        <w:tabs>
          <w:tab w:leader="none" w:pos="2036" w:val="left"/>
        </w:tabs>
        <w:numPr>
          <w:ilvl w:val="1"/>
          <w:numId w:val="1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any provision of subsection (a) above to the contrary, if the Reduction Method or the Pro Rata Reduction Method would result in any portion of the Transaction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Executive as determined on an after-tax basis; (ii) as a second priority, Transaction Payments that are contingent on future events (e.g., being terminated without Cause), shall be reduced (or eliminated) before Transaction Payments that are not contingent on future events; and (iii) as a third priority, Transaction Payments that are "deferred compensation" within the meaning of Section 409A shall be reduced (or eliminated) before Transaction Payments that are not deferred compensation within the meaning of Section 409A.</w:t>
      </w:r>
    </w:p>
    <w:p>
      <w:pPr>
        <w:spacing w:after="0" w:line="175" w:lineRule="exact"/>
        <w:rPr>
          <w:rFonts w:ascii="Times New Roman" w:cs="Times New Roman" w:eastAsia="Times New Roman" w:hAnsi="Times New Roman"/>
          <w:sz w:val="21"/>
          <w:szCs w:val="21"/>
          <w:b w:val="1"/>
          <w:bCs w:val="1"/>
          <w:color w:val="auto"/>
        </w:rPr>
      </w:pPr>
    </w:p>
    <w:p>
      <w:pPr>
        <w:jc w:val="both"/>
        <w:ind w:firstLine="1505"/>
        <w:spacing w:after="0" w:line="236" w:lineRule="auto"/>
        <w:tabs>
          <w:tab w:leader="none" w:pos="2036" w:val="left"/>
        </w:tabs>
        <w:numPr>
          <w:ilvl w:val="1"/>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professional firm engaged by the Company for general tax purposes or the Company’s corporate law firm as of the day prior to the effective date of the Change in Control shall make all determinations required to be made under this Section 5. If the professional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48" w:lineRule="auto"/>
        <w:tabs>
          <w:tab w:leader="none" w:pos="2036" w:val="left"/>
        </w:tabs>
        <w:numPr>
          <w:ilvl w:val="1"/>
          <w:numId w:val="1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professional firm engaged to make the determinations hereunder shall provide its calculations, together with detailed supporting documentation, to the Company and Executive within fifteen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66" w:lineRule="exact"/>
        <w:rPr>
          <w:rFonts w:ascii="Times New Roman" w:cs="Times New Roman" w:eastAsia="Times New Roman" w:hAnsi="Times New Roman"/>
          <w:sz w:val="21"/>
          <w:szCs w:val="21"/>
          <w:b w:val="1"/>
          <w:bCs w:val="1"/>
          <w:color w:val="auto"/>
        </w:rPr>
      </w:pPr>
    </w:p>
    <w:p>
      <w:pPr>
        <w:jc w:val="both"/>
        <w:ind w:firstLine="757"/>
        <w:spacing w:after="0" w:line="241" w:lineRule="auto"/>
        <w:tabs>
          <w:tab w:leader="none" w:pos="1018"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Employment Terms and Conditions</w:t>
      </w:r>
      <w:r>
        <w:rPr>
          <w:rFonts w:ascii="Times New Roman" w:cs="Times New Roman" w:eastAsia="Times New Roman" w:hAnsi="Times New Roman"/>
          <w:sz w:val="22"/>
          <w:szCs w:val="22"/>
          <w:color w:val="auto"/>
        </w:rPr>
        <w:t>. The employment relationship between the parties shall be governed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general employment policies and procedures of the Company, including those relating to the protection of confidential information and assignment of inventions; provided, however, that when the terms of this Agreement differ from or are in conflict with the Company’s general employment policies or procedures, this Agreement shall control.</w:t>
      </w:r>
    </w:p>
    <w:p>
      <w:pPr>
        <w:spacing w:after="0" w:line="200" w:lineRule="exact"/>
        <w:rPr>
          <w:sz w:val="20"/>
          <w:szCs w:val="20"/>
          <w:color w:val="auto"/>
        </w:rPr>
      </w:pPr>
    </w:p>
    <w:p>
      <w:pPr>
        <w:spacing w:after="0" w:line="38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63" w:name="page164"/>
    <w:bookmarkEnd w:id="163"/>
    <w:p>
      <w:pPr>
        <w:ind w:left="320"/>
        <w:spacing w:after="0"/>
        <w:rPr>
          <w:sz w:val="20"/>
          <w:szCs w:val="20"/>
          <w:color w:val="auto"/>
        </w:rPr>
      </w:pPr>
      <w:r>
        <w:rPr>
          <w:rFonts w:ascii="Times New Roman" w:cs="Times New Roman" w:eastAsia="Times New Roman" w:hAnsi="Times New Roman"/>
          <w:sz w:val="22"/>
          <w:szCs w:val="22"/>
          <w:b w:val="1"/>
          <w:bCs w:val="1"/>
          <w:color w:val="auto"/>
        </w:rPr>
        <w:t>7. Dispute Resolution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40" w:firstLine="757"/>
        <w:spacing w:after="0" w:line="234" w:lineRule="auto"/>
        <w:tabs>
          <w:tab w:leader="none" w:pos="578"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Executive and the Company agree that any and all disputes, claims, or causes of action, in law or equity, including but not limited to statutory claims, arising from or relating to the enforcement, breach, performance, or interpretation of this Agreement, Executive’s employment with the Company, or the termination of Executive’s employment, shall be resolved pursuant to the Federal Arbitration Act, 9 U.S.C. § 1-16 (“</w:t>
      </w:r>
      <w:r>
        <w:rPr>
          <w:rFonts w:ascii="Times New Roman" w:cs="Times New Roman" w:eastAsia="Times New Roman" w:hAnsi="Times New Roman"/>
          <w:sz w:val="22"/>
          <w:szCs w:val="22"/>
          <w:b w:val="1"/>
          <w:bCs w:val="1"/>
          <w:i w:val="1"/>
          <w:iCs w:val="1"/>
          <w:color w:val="auto"/>
        </w:rPr>
        <w:t>FAA</w:t>
      </w:r>
      <w:r>
        <w:rPr>
          <w:rFonts w:ascii="Times New Roman" w:cs="Times New Roman" w:eastAsia="Times New Roman" w:hAnsi="Times New Roman"/>
          <w:sz w:val="22"/>
          <w:szCs w:val="22"/>
          <w:color w:val="auto"/>
        </w:rPr>
        <w:t xml:space="preserve">”), to the fullest extent permitted by law, by final, binding and confidential arbitration conducted by JAMS or its successor, under JAMS’ then applicable rules and procedures for employment disputes before a single arbitrator (available upon request and also currently available at http://www.jamsadr.com/rules-employment-arbitration/), in San Jose, California. </w:t>
      </w:r>
      <w:r>
        <w:rPr>
          <w:rFonts w:ascii="Times New Roman" w:cs="Times New Roman" w:eastAsia="Times New Roman" w:hAnsi="Times New Roman"/>
          <w:sz w:val="22"/>
          <w:szCs w:val="22"/>
          <w:b w:val="1"/>
          <w:bCs w:val="1"/>
          <w:color w:val="auto"/>
        </w:rPr>
        <w:t>Executive acknowledges that by agreeing to this arbitration procedure,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both Executive and the Company waive the right to resolve any such dispute through a trial by jury or judge or administrative proceeding.</w:t>
      </w:r>
    </w:p>
    <w:p>
      <w:pPr>
        <w:spacing w:after="0" w:line="183" w:lineRule="exact"/>
        <w:rPr>
          <w:rFonts w:ascii="Times New Roman" w:cs="Times New Roman" w:eastAsia="Times New Roman" w:hAnsi="Times New Roman"/>
          <w:sz w:val="20"/>
          <w:szCs w:val="20"/>
          <w:b w:val="1"/>
          <w:bCs w:val="1"/>
          <w:color w:val="auto"/>
        </w:rPr>
      </w:pPr>
    </w:p>
    <w:p>
      <w:pPr>
        <w:jc w:val="both"/>
        <w:ind w:left="-440" w:firstLine="757"/>
        <w:spacing w:after="0" w:line="235" w:lineRule="auto"/>
        <w:tabs>
          <w:tab w:leader="none" w:pos="578"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All claims, disputes, or causes of action under this arbitration agreement,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w:t>
      </w:r>
    </w:p>
    <w:p>
      <w:pPr>
        <w:spacing w:after="0" w:line="183" w:lineRule="exact"/>
        <w:rPr>
          <w:rFonts w:ascii="Times New Roman" w:cs="Times New Roman" w:eastAsia="Times New Roman" w:hAnsi="Times New Roman"/>
          <w:sz w:val="20"/>
          <w:szCs w:val="20"/>
          <w:b w:val="1"/>
          <w:bCs w:val="1"/>
          <w:color w:val="auto"/>
        </w:rPr>
      </w:pPr>
    </w:p>
    <w:p>
      <w:pPr>
        <w:jc w:val="both"/>
        <w:ind w:left="-440" w:firstLine="757"/>
        <w:spacing w:after="0" w:line="236" w:lineRule="auto"/>
        <w:tabs>
          <w:tab w:leader="none" w:pos="578"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This arbitration agreement shall not apply to any action or claim that cannot be subject to mandatory arbitration as a matter of law, to the extent such claims are not permitted by applicable law(s) to be submitted to mandatory arbitration and the applicable law(s) are not preempted by the Federal Arbitration Act or otherwise invalid (collectively, the “</w:t>
      </w:r>
      <w:r>
        <w:rPr>
          <w:rFonts w:ascii="Times New Roman" w:cs="Times New Roman" w:eastAsia="Times New Roman" w:hAnsi="Times New Roman"/>
          <w:sz w:val="22"/>
          <w:szCs w:val="22"/>
          <w:b w:val="1"/>
          <w:bCs w:val="1"/>
          <w:i w:val="1"/>
          <w:iCs w:val="1"/>
          <w:color w:val="auto"/>
        </w:rPr>
        <w:t>Excluded Claims</w:t>
      </w:r>
      <w:r>
        <w:rPr>
          <w:rFonts w:ascii="Times New Roman" w:cs="Times New Roman" w:eastAsia="Times New Roman" w:hAnsi="Times New Roman"/>
          <w:sz w:val="22"/>
          <w:szCs w:val="22"/>
          <w:color w:val="auto"/>
        </w:rPr>
        <w:t>”). In the event Executive intends to bring multiple claims, including one of the Excluded Claims listed above, the Excluded Claims may be filed with a court, while any other claims will remain subject to mandatory arbitration. Executive will have the right to be represented by legal counsel at any arbitration proceeding.</w:t>
      </w:r>
    </w:p>
    <w:p>
      <w:pPr>
        <w:spacing w:after="0" w:line="181" w:lineRule="exact"/>
        <w:rPr>
          <w:rFonts w:ascii="Times New Roman" w:cs="Times New Roman" w:eastAsia="Times New Roman" w:hAnsi="Times New Roman"/>
          <w:sz w:val="20"/>
          <w:szCs w:val="20"/>
          <w:b w:val="1"/>
          <w:bCs w:val="1"/>
          <w:color w:val="auto"/>
        </w:rPr>
      </w:pPr>
    </w:p>
    <w:p>
      <w:pPr>
        <w:jc w:val="both"/>
        <w:ind w:left="-440" w:firstLine="757"/>
        <w:spacing w:after="0" w:line="233" w:lineRule="auto"/>
        <w:tabs>
          <w:tab w:leader="none" w:pos="578"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Questions of whether a claim is subject to arbitration under this agreement shall be decided by the arbitrator. Likewise, procedural questions which grow out of the dispute and bear on the final disposition are also matters for the arbitrator. The arbitrator shall: (i) have the authority to compel adequate discovery for the resolution of the dispute and to award such relief as would otherwise be permitted by law; and (ii)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Executive or the Company would be entitled to seek in a court of law. The Company shall pay all JAMS arbitration fees in excess of the administrative fees that Executive would be required to pay if the dispute were decided in a court of law. Nothing in this arbitration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4" w:right="339" w:bottom="1440" w:gutter="0" w:footer="0" w:header="0"/>
        </w:sectPr>
      </w:pPr>
    </w:p>
    <w:bookmarkStart w:id="164" w:name="page165"/>
    <w:bookmarkEnd w:id="164"/>
    <w:p>
      <w:pPr>
        <w:ind w:left="580" w:hanging="263"/>
        <w:spacing w:after="0"/>
        <w:tabs>
          <w:tab w:leader="none" w:pos="58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 Provisions.</w:t>
      </w:r>
    </w:p>
    <w:p>
      <w:pPr>
        <w:spacing w:after="0" w:line="206" w:lineRule="exact"/>
        <w:rPr>
          <w:rFonts w:ascii="Times New Roman" w:cs="Times New Roman" w:eastAsia="Times New Roman" w:hAnsi="Times New Roman"/>
          <w:sz w:val="22"/>
          <w:szCs w:val="22"/>
          <w:b w:val="1"/>
          <w:bCs w:val="1"/>
          <w:color w:val="auto"/>
        </w:rPr>
      </w:pPr>
    </w:p>
    <w:p>
      <w:pPr>
        <w:jc w:val="both"/>
        <w:ind w:left="-440" w:firstLine="1505"/>
        <w:spacing w:after="0" w:line="246" w:lineRule="auto"/>
        <w:tabs>
          <w:tab w:leader="none" w:pos="1596" w:val="left"/>
        </w:tabs>
        <w:numPr>
          <w:ilvl w:val="1"/>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Duty to Mitigate</w:t>
      </w:r>
      <w:r>
        <w:rPr>
          <w:rFonts w:ascii="Times New Roman" w:cs="Times New Roman" w:eastAsia="Times New Roman" w:hAnsi="Times New Roman"/>
          <w:sz w:val="22"/>
          <w:szCs w:val="22"/>
          <w:color w:val="auto"/>
        </w:rPr>
        <w:t>. Executive shall not be required to mitigate the amount of any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by this Agreement (whether by seeking new employment or in any other manner), nor shall any such payment be reduced by any earnings that Executive may receive from any other source.</w:t>
      </w:r>
    </w:p>
    <w:p>
      <w:pPr>
        <w:spacing w:after="0" w:line="167" w:lineRule="exact"/>
        <w:rPr>
          <w:rFonts w:ascii="Times New Roman" w:cs="Times New Roman" w:eastAsia="Times New Roman" w:hAnsi="Times New Roman"/>
          <w:sz w:val="22"/>
          <w:szCs w:val="22"/>
          <w:b w:val="1"/>
          <w:bCs w:val="1"/>
          <w:color w:val="auto"/>
        </w:rPr>
      </w:pPr>
    </w:p>
    <w:p>
      <w:pPr>
        <w:jc w:val="both"/>
        <w:ind w:left="-440" w:firstLine="1505"/>
        <w:spacing w:after="0" w:line="238" w:lineRule="auto"/>
        <w:tabs>
          <w:tab w:leader="none" w:pos="1596" w:val="left"/>
        </w:tabs>
        <w:numPr>
          <w:ilvl w:val="1"/>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No provision of this Agreement shall be modified, waived or discharged unless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6" w:lineRule="exact"/>
        <w:rPr>
          <w:rFonts w:ascii="Times New Roman" w:cs="Times New Roman" w:eastAsia="Times New Roman" w:hAnsi="Times New Roman"/>
          <w:sz w:val="22"/>
          <w:szCs w:val="22"/>
          <w:b w:val="1"/>
          <w:bCs w:val="1"/>
          <w:color w:val="auto"/>
        </w:rPr>
      </w:pPr>
    </w:p>
    <w:p>
      <w:pPr>
        <w:jc w:val="both"/>
        <w:ind w:left="-440" w:firstLine="1505"/>
        <w:spacing w:after="0" w:line="236" w:lineRule="auto"/>
        <w:tabs>
          <w:tab w:leader="none" w:pos="1596" w:val="left"/>
        </w:tabs>
        <w:numPr>
          <w:ilvl w:val="1"/>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Whole Agreement</w:t>
      </w:r>
      <w:r>
        <w:rPr>
          <w:rFonts w:ascii="Times New Roman" w:cs="Times New Roman" w:eastAsia="Times New Roman" w:hAnsi="Times New Roman"/>
          <w:sz w:val="22"/>
          <w:szCs w:val="22"/>
          <w:color w:val="auto"/>
        </w:rPr>
        <w:t>. No agreements, representations or understandings (whether oral or written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express or implied) which are not expressly set forth in this Agreement have been made or entered into by either party with respect to the subject matter hereof. This Agreement supersedes any agreement (or portion thereof) concerning similar subject matter dated prior to the date of this Agreement, and by execution of this Agreement both parties agree that any such predecessor agreement (or portion thereof) shall be deemed null and void. For the avoidance of doubt, the parties agree that this Agreement does not supersede the provisions of Executive’s Offer Letter that do not address termination or severance benefits or Executive’s Employee Confidential Information and Invention Assignment Agreement with the Company.</w:t>
      </w:r>
    </w:p>
    <w:p>
      <w:pPr>
        <w:spacing w:after="0" w:line="175" w:lineRule="exact"/>
        <w:rPr>
          <w:rFonts w:ascii="Times New Roman" w:cs="Times New Roman" w:eastAsia="Times New Roman" w:hAnsi="Times New Roman"/>
          <w:sz w:val="22"/>
          <w:szCs w:val="22"/>
          <w:b w:val="1"/>
          <w:bCs w:val="1"/>
          <w:color w:val="auto"/>
        </w:rPr>
      </w:pPr>
    </w:p>
    <w:p>
      <w:pPr>
        <w:jc w:val="both"/>
        <w:ind w:left="-440" w:firstLine="1505"/>
        <w:spacing w:after="0" w:line="246" w:lineRule="auto"/>
        <w:tabs>
          <w:tab w:leader="none" w:pos="1596" w:val="left"/>
        </w:tabs>
        <w:numPr>
          <w:ilvl w:val="1"/>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The validity, interpretation, construction and performance of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laws of the State of California without reference to conflict of laws provisions, and the parties hereto submit to the exclusive jurisdiction of the state and federal courts of the State of California.</w:t>
      </w:r>
    </w:p>
    <w:p>
      <w:pPr>
        <w:spacing w:after="0" w:line="167" w:lineRule="exact"/>
        <w:rPr>
          <w:rFonts w:ascii="Times New Roman" w:cs="Times New Roman" w:eastAsia="Times New Roman" w:hAnsi="Times New Roman"/>
          <w:sz w:val="22"/>
          <w:szCs w:val="22"/>
          <w:b w:val="1"/>
          <w:bCs w:val="1"/>
          <w:color w:val="auto"/>
        </w:rPr>
      </w:pPr>
    </w:p>
    <w:p>
      <w:pPr>
        <w:jc w:val="both"/>
        <w:ind w:left="-440" w:firstLine="1505"/>
        <w:spacing w:after="0" w:line="237" w:lineRule="auto"/>
        <w:tabs>
          <w:tab w:leader="none" w:pos="1596" w:val="left"/>
        </w:tabs>
        <w:numPr>
          <w:ilvl w:val="1"/>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term or provision of this Agreement or the application thereof to any circumstance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in any jurisdiction and to any extent, be invalid or unenforceable, such term or provision shall be ineffective as to such jurisdiction to the extent of such invalidity or unenforceability without invalidating or rendering unenforceable the remaining terms and provisions of this Agreement or the application of such terms and provisions to circumstances other than those as to which it is held invalid or unenforceable, and a suitable and equitable term or provision shall be substituted therefor to carry out, insofar as may be valid and enforceable, the intent and purpose of the invalid or unenforceable term or provision.</w:t>
      </w:r>
    </w:p>
    <w:p>
      <w:pPr>
        <w:spacing w:after="0" w:line="175" w:lineRule="exact"/>
        <w:rPr>
          <w:rFonts w:ascii="Times New Roman" w:cs="Times New Roman" w:eastAsia="Times New Roman" w:hAnsi="Times New Roman"/>
          <w:sz w:val="22"/>
          <w:szCs w:val="22"/>
          <w:b w:val="1"/>
          <w:bCs w:val="1"/>
          <w:color w:val="auto"/>
        </w:rPr>
      </w:pPr>
    </w:p>
    <w:p>
      <w:pPr>
        <w:ind w:left="-440" w:firstLine="1505"/>
        <w:spacing w:after="0" w:line="262" w:lineRule="auto"/>
        <w:tabs>
          <w:tab w:leader="none" w:pos="1596" w:val="left"/>
        </w:tabs>
        <w:numPr>
          <w:ilvl w:val="1"/>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Legal Fees and Expenses</w:t>
      </w:r>
      <w:r>
        <w:rPr>
          <w:rFonts w:ascii="Times New Roman" w:cs="Times New Roman" w:eastAsia="Times New Roman" w:hAnsi="Times New Roman"/>
          <w:sz w:val="22"/>
          <w:szCs w:val="22"/>
          <w:color w:val="auto"/>
        </w:rPr>
        <w:t>. The parties shall each bear their own expenses, legal fees and other fees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incurred in connection with the execution of this Agreement.</w:t>
      </w:r>
    </w:p>
    <w:p>
      <w:pPr>
        <w:spacing w:after="0" w:line="149" w:lineRule="exact"/>
        <w:rPr>
          <w:rFonts w:ascii="Times New Roman" w:cs="Times New Roman" w:eastAsia="Times New Roman" w:hAnsi="Times New Roman"/>
          <w:sz w:val="22"/>
          <w:szCs w:val="22"/>
          <w:b w:val="1"/>
          <w:bCs w:val="1"/>
          <w:color w:val="auto"/>
        </w:rPr>
      </w:pPr>
    </w:p>
    <w:p>
      <w:pPr>
        <w:jc w:val="both"/>
        <w:ind w:left="-440" w:firstLine="1505"/>
        <w:spacing w:after="0" w:line="241" w:lineRule="auto"/>
        <w:tabs>
          <w:tab w:leader="none" w:pos="1596" w:val="left"/>
        </w:tabs>
        <w:numPr>
          <w:ilvl w:val="1"/>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Assignment of Benefits</w:t>
      </w:r>
      <w:r>
        <w:rPr>
          <w:rFonts w:ascii="Times New Roman" w:cs="Times New Roman" w:eastAsia="Times New Roman" w:hAnsi="Times New Roman"/>
          <w:sz w:val="22"/>
          <w:szCs w:val="22"/>
          <w:color w:val="auto"/>
        </w:rPr>
        <w:t>. The rights of any person to payments or benefits under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made subject to option or assignment, either by voluntary or involuntary assignment or by operation of law, including (without limitation) bankruptcy, garnishment, attachment or other creditor’s process, and any action in violation of this Section 8(g) shall be void.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4" w:right="339" w:bottom="1440" w:gutter="0" w:footer="0" w:header="0"/>
        </w:sectPr>
      </w:pPr>
    </w:p>
    <w:bookmarkStart w:id="165" w:name="page166"/>
    <w:bookmarkEnd w:id="165"/>
    <w:p>
      <w:pPr>
        <w:ind w:left="-20" w:firstLine="1505"/>
        <w:spacing w:after="0" w:line="262" w:lineRule="auto"/>
        <w:tabs>
          <w:tab w:leader="none" w:pos="2016"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will constitute one and the same instrument.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remainder of this page left blank</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14"/>
          <w:szCs w:val="14"/>
          <w:b w:val="1"/>
          <w:bCs w:val="1"/>
          <w:color w:val="auto"/>
        </w:rPr>
        <w:t>signature page to follow</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4"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have executed this Agreement as of the date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/s/ Richard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-13970</wp:posOffset>
            </wp:positionV>
            <wp:extent cx="10972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22"/>
          <w:szCs w:val="22"/>
          <w:b w:val="1"/>
          <w:bCs w:val="1"/>
          <w:color w:val="auto"/>
        </w:rPr>
        <w:t>Dr. Richard Chen</w:t>
      </w:r>
    </w:p>
    <w:p>
      <w:pPr>
        <w:spacing w:after="0" w:line="19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Address: 35 Knightwood Lane</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Hillsborough, CA 94010</w:t>
      </w:r>
    </w:p>
    <w:p>
      <w:pPr>
        <w:ind w:left="3740"/>
        <w:spacing w:after="0"/>
        <w:rPr>
          <w:sz w:val="20"/>
          <w:szCs w:val="20"/>
          <w:color w:val="auto"/>
        </w:rPr>
      </w:pPr>
      <w:r>
        <w:rPr>
          <w:rFonts w:ascii="Times New Roman" w:cs="Times New Roman" w:eastAsia="Times New Roman" w:hAnsi="Times New Roman"/>
          <w:sz w:val="22"/>
          <w:szCs w:val="22"/>
          <w:color w:val="auto"/>
        </w:rPr>
        <w:t>Date: 9/26/2023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-29210</wp:posOffset>
            </wp:positionV>
            <wp:extent cx="8001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0">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PERSONALIS, INC.</w:t>
      </w:r>
    </w:p>
    <w:p>
      <w:pPr>
        <w:spacing w:after="0" w:line="2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/s/ Stephen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-13970</wp:posOffset>
            </wp:positionV>
            <wp:extent cx="10972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8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Stephen Moore</w:t>
      </w:r>
    </w:p>
    <w:p>
      <w:pPr>
        <w:spacing w:after="0" w:line="20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Title: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04" w:right="1440" w:bottom="1440" w:gutter="0" w:footer="0" w:header="0"/>
        </w:sectPr>
      </w:pPr>
    </w:p>
    <w:bookmarkStart w:id="167" w:name="page168"/>
    <w:bookmarkEnd w:id="167"/>
    <w:p>
      <w:pPr>
        <w:jc w:val="right"/>
        <w:spacing w:after="0"/>
        <w:rPr>
          <w:sz w:val="20"/>
          <w:szCs w:val="20"/>
          <w:color w:val="auto"/>
        </w:rPr>
      </w:pPr>
      <w:r>
        <w:rPr>
          <w:rFonts w:ascii="Arial" w:cs="Arial" w:eastAsia="Arial" w:hAnsi="Arial"/>
          <w:sz w:val="16"/>
          <w:szCs w:val="16"/>
          <w:b w:val="1"/>
          <w:bCs w:val="1"/>
          <w:color w:val="auto"/>
        </w:rPr>
        <w:t>Exhibit 10.15</w:t>
      </w:r>
    </w:p>
    <w:p>
      <w:pPr>
        <w:spacing w:after="0" w:line="200" w:lineRule="exact"/>
        <w:rPr>
          <w:sz w:val="20"/>
          <w:szCs w:val="20"/>
          <w:color w:val="auto"/>
        </w:rPr>
      </w:pPr>
    </w:p>
    <w:p>
      <w:pPr>
        <w:spacing w:after="0" w:line="24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PERSONALIS,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AMENDED AND RESTATED EXECUTIVE SEVERANCE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enior</w:t>
      </w:r>
      <w:r>
        <w:rPr>
          <w:rFonts w:ascii="Times New Roman" w:cs="Times New Roman" w:eastAsia="Times New Roman" w:hAnsi="Times New Roman"/>
          <w:sz w:val="22"/>
          <w:szCs w:val="22"/>
          <w:b w:val="1"/>
          <w:bCs w:val="1"/>
          <w:color w:val="auto"/>
        </w:rPr>
        <w:t xml:space="preserve"> V</w:t>
      </w:r>
      <w:r>
        <w:rPr>
          <w:rFonts w:ascii="Times New Roman" w:cs="Times New Roman" w:eastAsia="Times New Roman" w:hAnsi="Times New Roman"/>
          <w:sz w:val="14"/>
          <w:szCs w:val="14"/>
          <w:b w:val="1"/>
          <w:bCs w:val="1"/>
          <w:color w:val="auto"/>
        </w:rPr>
        <w:t>ice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resident</w:t>
      </w:r>
      <w:r>
        <w:rPr>
          <w:rFonts w:ascii="Times New Roman" w:cs="Times New Roman" w:eastAsia="Times New Roman" w:hAnsi="Times New Roman"/>
          <w:sz w:val="22"/>
          <w:szCs w:val="22"/>
          <w:b w:val="1"/>
          <w:bCs w:val="1"/>
          <w:color w:val="auto"/>
        </w:rPr>
        <w:t>, V</w:t>
      </w:r>
      <w:r>
        <w:rPr>
          <w:rFonts w:ascii="Times New Roman" w:cs="Times New Roman" w:eastAsia="Times New Roman" w:hAnsi="Times New Roman"/>
          <w:sz w:val="14"/>
          <w:szCs w:val="14"/>
          <w:b w:val="1"/>
          <w:bCs w:val="1"/>
          <w:color w:val="auto"/>
        </w:rPr>
        <w:t>ice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resident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quivalent</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ndividual</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ontributor</w:t>
      </w:r>
      <w:r>
        <w:rPr>
          <w:rFonts w:ascii="Times New Roman" w:cs="Times New Roman" w:eastAsia="Times New Roman" w:hAnsi="Times New Roman"/>
          <w:sz w:val="22"/>
          <w:szCs w:val="22"/>
          <w:b w:val="1"/>
          <w:bCs w:val="1"/>
          <w:color w:val="auto"/>
        </w:rPr>
        <w:t>)</w:t>
      </w:r>
    </w:p>
    <w:p>
      <w:pPr>
        <w:spacing w:after="0" w:line="20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This Second Amended and Restated Executive Severance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effective as of September 18, 2023, amends, supersedes and restates in its entirety that certain First Amended and Restated Executive Severance Agreement by and between Stephen Moore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Personalis,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dated March 18, 2022. This Agreement is intended to provide Executive with certain benefits described herein upon the occurrence of specific events.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00" w:lineRule="exact"/>
        <w:rPr>
          <w:sz w:val="20"/>
          <w:szCs w:val="20"/>
          <w:color w:val="auto"/>
        </w:rPr>
      </w:pPr>
    </w:p>
    <w:p>
      <w:pPr>
        <w:ind w:firstLine="757"/>
        <w:spacing w:after="0" w:line="264" w:lineRule="auto"/>
        <w:tabs>
          <w:tab w:leader="none" w:pos="118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Company’s Board of Directors (the “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believes it is in the best interests of the Company and its shareholders to retain Executive and provide incentives to Executive to continue in the service of the Company.</w:t>
      </w:r>
    </w:p>
    <w:p>
      <w:pPr>
        <w:spacing w:after="0" w:line="15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further believes that it is imperative to provide Executive with certain benefits upon termination of Executive’s employment, which benefits are intended to provide Executive with financial security and sufficient income and encouragement to Executive to remain with the Company.</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accomplish the foregoing objectives, the Board has directed the Company, upon execution of this Agreement by Executive, to agree to the terms provided in this Agreement.</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covenants and agreements contained herein, the parties hereto agree as follows:</w:t>
      </w:r>
    </w:p>
    <w:p>
      <w:pPr>
        <w:spacing w:after="0" w:line="154" w:lineRule="exact"/>
        <w:rPr>
          <w:sz w:val="20"/>
          <w:szCs w:val="20"/>
          <w:color w:val="auto"/>
        </w:rPr>
      </w:pPr>
    </w:p>
    <w:p>
      <w:pPr>
        <w:jc w:val="both"/>
        <w:ind w:firstLine="757"/>
        <w:spacing w:after="0" w:line="238" w:lineRule="auto"/>
        <w:tabs>
          <w:tab w:leader="none" w:pos="1018"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At-Will Employment</w:t>
      </w:r>
      <w:r>
        <w:rPr>
          <w:rFonts w:ascii="Times New Roman" w:cs="Times New Roman" w:eastAsia="Times New Roman" w:hAnsi="Times New Roman"/>
          <w:sz w:val="22"/>
          <w:szCs w:val="22"/>
          <w:color w:val="auto"/>
        </w:rPr>
        <w:t>. Executive’s employment is at-will, which means that the Company may terminate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at any time, with or without Cause or advance notice. Similarly, Executive may resign Executive’s employment at any time, with or without advance notice, and with or without Good Reason. Executive shall not receive any compensation of any kind, including, without limitation, equity award vesting acceleration and severance benefits, following Executive’s last day of employment with the Company, except as expressly provided herein.</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Benefits Upon Termination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1"/>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in Connection with or Following a Change in Control</w:t>
      </w:r>
      <w:r>
        <w:rPr>
          <w:rFonts w:ascii="Times New Roman" w:cs="Times New Roman" w:eastAsia="Times New Roman" w:hAnsi="Times New Roman"/>
          <w:sz w:val="22"/>
          <w:szCs w:val="22"/>
          <w:color w:val="auto"/>
        </w:rPr>
        <w:t>. If Executive’s employment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without Cause (as defined below) (and other than as a result of Executive’s death or disability), or Executive resigns for Good Reason (as defined below), in either case within twelve (12) months after the effective date of a Change in Control (as defined below), and provided such termination constitutes a “separation from service” (within the meaning of Treasury Regulation Section 1.409A-1(h), such termination a “</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and provided further that Executive signs and allows to become effective a general release of all claims in favor of the Company in a form provided by the Company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within sixty (60)</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68" w:name="page169"/>
    <w:bookmarkEnd w:id="168"/>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days after Executive’s Separation from Service (the date that the Release becomes effective and may no longer be revoked by Executive is referred to as the </w:t>
      </w:r>
      <w:r>
        <w:rPr>
          <w:rFonts w:ascii="Times New Roman" w:cs="Times New Roman" w:eastAsia="Times New Roman" w:hAnsi="Times New Roman"/>
          <w:sz w:val="22"/>
          <w:szCs w:val="22"/>
          <w:b w:val="1"/>
          <w:bCs w:val="1"/>
          <w:i w:val="1"/>
          <w:iCs w:val="1"/>
          <w:color w:val="auto"/>
        </w:rPr>
        <w:t>“Release Date”</w:t>
      </w:r>
      <w:r>
        <w:rPr>
          <w:rFonts w:ascii="Times New Roman" w:cs="Times New Roman" w:eastAsia="Times New Roman" w:hAnsi="Times New Roman"/>
          <w:sz w:val="22"/>
          <w:szCs w:val="22"/>
          <w:color w:val="auto"/>
        </w:rPr>
        <w:t>), then the Company shall provide Executive with the following severance benefits (the “</w:t>
      </w:r>
      <w:r>
        <w:rPr>
          <w:rFonts w:ascii="Times New Roman" w:cs="Times New Roman" w:eastAsia="Times New Roman" w:hAnsi="Times New Roman"/>
          <w:sz w:val="22"/>
          <w:szCs w:val="22"/>
          <w:b w:val="1"/>
          <w:bCs w:val="1"/>
          <w:i w:val="1"/>
          <w:iCs w:val="1"/>
          <w:color w:val="auto"/>
        </w:rPr>
        <w:t>Change in Control Separation Benefits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2254"/>
        <w:spacing w:after="0" w:line="244" w:lineRule="auto"/>
        <w:tabs>
          <w:tab w:leader="none" w:pos="2546"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Executive cash severance in an amount equal to nine (9) months of Executive’s then-current base salary, ignoring any decrease in base salary that forms the basis for Good Reason, less all applicable withholdings and deductions, paid on the Company’s first regular payroll date following the Release Date.</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Executive further cash severance in an amount equal to seventy-five percent (75%) of Executive’s target annual bonus for the year in which the Change in Control is consummated, less all applicable withholdings and deductions, paid on the Company’s first regular payroll date following the Release Date.</w:t>
      </w:r>
    </w:p>
    <w:p>
      <w:pPr>
        <w:spacing w:after="0" w:line="169"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Should Executive timely elect to continue Executive’s medical, dental and/or vision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pursuant to the Consolidated Omnibus Budget Reconciliation Act of 1985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or any analogous provisions of applicable state law, the Company shall pay Executive’s COBRA premiums for Executive and Executive’s eligible dependents (“</w:t>
      </w:r>
      <w:r>
        <w:rPr>
          <w:rFonts w:ascii="Times New Roman" w:cs="Times New Roman" w:eastAsia="Times New Roman" w:hAnsi="Times New Roman"/>
          <w:sz w:val="22"/>
          <w:szCs w:val="22"/>
          <w:b w:val="1"/>
          <w:bCs w:val="1"/>
          <w:i w:val="1"/>
          <w:iCs w:val="1"/>
          <w:color w:val="auto"/>
        </w:rPr>
        <w:t>COBRA Premiums</w:t>
      </w:r>
      <w:r>
        <w:rPr>
          <w:rFonts w:ascii="Times New Roman" w:cs="Times New Roman" w:eastAsia="Times New Roman" w:hAnsi="Times New Roman"/>
          <w:sz w:val="22"/>
          <w:szCs w:val="22"/>
          <w:color w:val="auto"/>
        </w:rPr>
        <w:t>”) for a period of nine (9) months following Executive’s Separation from Service (the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Benefits Payment Period</w:t>
      </w:r>
      <w:r>
        <w:rPr>
          <w:rFonts w:ascii="Times New Roman" w:cs="Times New Roman" w:eastAsia="Times New Roman" w:hAnsi="Times New Roman"/>
          <w:sz w:val="22"/>
          <w:szCs w:val="22"/>
          <w:color w:val="auto"/>
        </w:rPr>
        <w:t>”) or, if earlier, the date upon which Executive obtains coverage under a medical plan by a subsequent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employer. The Company’s obligation to pay any COBRA Premiums will be subject to the then-current requirements of COBRA and any other laws affecting the payment of COBRA premiums by the Company. Notwithstanding the foregoing, if the Company determines, in its sole discretion, that the Company cannot provide the COBRA Premiums without potentially incurring financial costs or penalties under applicable law, the Company shall in lieu thereof pay Executive a taxable cash amount, which payment shall be made regardless of whether Executive elects health care continuation coverage (the “</w:t>
      </w:r>
      <w:r>
        <w:rPr>
          <w:rFonts w:ascii="Times New Roman" w:cs="Times New Roman" w:eastAsia="Times New Roman" w:hAnsi="Times New Roman"/>
          <w:sz w:val="22"/>
          <w:szCs w:val="22"/>
          <w:b w:val="1"/>
          <w:bCs w:val="1"/>
          <w:i w:val="1"/>
          <w:iCs w:val="1"/>
          <w:color w:val="auto"/>
        </w:rPr>
        <w:t>Health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Care Benefit Payment</w:t>
      </w:r>
      <w:r>
        <w:rPr>
          <w:rFonts w:ascii="Times New Roman" w:cs="Times New Roman" w:eastAsia="Times New Roman" w:hAnsi="Times New Roman"/>
          <w:sz w:val="22"/>
          <w:szCs w:val="22"/>
          <w:color w:val="auto"/>
        </w:rPr>
        <w:t>”). The Health Care Benefit Payment shall be paid in monthly installments on the same schedule that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COBRA Premiums would otherwise have been paid to the insurer. The Health Care Benefit Payment shall be equal to the amount that the Company would have otherwise paid for COBRA Premiums (which amount shall be calculated based on the premium for the first month of COBRA coverage), and shall be paid until the earlier of: (i) the date the Change in Control Benefits Payment Period expires or (ii) the date upon which Executive obtains coverage under a medical plan by a subsequent employer.</w:t>
      </w:r>
    </w:p>
    <w:p>
      <w:pPr>
        <w:spacing w:after="0" w:line="174"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The Company shall accelerate the vesting of each of Executive’s then-outstanding unvested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awards, effective immediately prior to such Separation from Service. In the event any such awards are based upon performance of the Company and/or of Executive, such awards shall be vested at their respective target levels.</w:t>
      </w:r>
    </w:p>
    <w:p>
      <w:pPr>
        <w:spacing w:after="0" w:line="167" w:lineRule="exact"/>
        <w:rPr>
          <w:sz w:val="20"/>
          <w:szCs w:val="20"/>
          <w:color w:val="auto"/>
        </w:rPr>
      </w:pPr>
    </w:p>
    <w:p>
      <w:pPr>
        <w:jc w:val="both"/>
        <w:ind w:firstLine="1505"/>
        <w:spacing w:after="0" w:line="238" w:lineRule="auto"/>
        <w:tabs>
          <w:tab w:leader="none" w:pos="2036"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Not in Connection with or Following a Change in Control</w:t>
      </w:r>
      <w:r>
        <w:rPr>
          <w:rFonts w:ascii="Times New Roman" w:cs="Times New Roman" w:eastAsia="Times New Roman" w:hAnsi="Times New Roman"/>
          <w:sz w:val="22"/>
          <w:szCs w:val="22"/>
          <w:color w:val="auto"/>
        </w:rPr>
        <w:t>. If Executive’s employment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without Cause (and other than as a result of Executive’s death or disability), or Executive resigns for Good Reason, in either case at any time that is not within twelve (12) months after a Change in Control, and provided such termination constitutes a Separation from Service, and provided Executive signs and allows to become effective the Release within sixty (60) days after Executive’s Separation from Service, then the Company shall provide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spacing w:after="0" w:line="264" w:lineRule="auto"/>
        <w:rPr>
          <w:sz w:val="20"/>
          <w:szCs w:val="20"/>
          <w:color w:val="auto"/>
        </w:rPr>
      </w:pPr>
      <w:r>
        <w:rPr>
          <w:rFonts w:ascii="Times New Roman" w:cs="Times New Roman" w:eastAsia="Times New Roman" w:hAnsi="Times New Roman"/>
          <w:sz w:val="22"/>
          <w:szCs w:val="22"/>
          <w:color w:val="auto"/>
        </w:rPr>
        <w:t>Executive with the following severance benefits (collectively with the Change in Control Separation Benefits, the “</w:t>
      </w:r>
      <w:r>
        <w:rPr>
          <w:rFonts w:ascii="Times New Roman" w:cs="Times New Roman" w:eastAsia="Times New Roman" w:hAnsi="Times New Roman"/>
          <w:sz w:val="22"/>
          <w:szCs w:val="22"/>
          <w:b w:val="1"/>
          <w:bCs w:val="1"/>
          <w:i w:val="1"/>
          <w:iCs w:val="1"/>
          <w:color w:val="auto"/>
        </w:rPr>
        <w:t>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Benefits</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2254"/>
        <w:spacing w:after="0" w:line="244" w:lineRule="auto"/>
        <w:tabs>
          <w:tab w:leader="none" w:pos="2546" w:val="left"/>
        </w:tabs>
        <w:numPr>
          <w:ilvl w:val="2"/>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Executive cash severance in an amount equal to six (6) months of Executive’s then current base salary, less all applicable withholdings and deductions, paid in a lump sum on the Company’s first regular payroll date after the Release Date.</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46" w:lineRule="auto"/>
        <w:tabs>
          <w:tab w:leader="none" w:pos="2546" w:val="left"/>
        </w:tabs>
        <w:numPr>
          <w:ilvl w:val="2"/>
          <w:numId w:val="1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Should Executive timely elect to continue Executive’s medical, dental and/or vision insurance benefits pursuant to COBRA, the Company shall pay the COBRA Premiums for a period of six (6) months following the effective date of Executive’s Separation from Service (the “</w:t>
      </w:r>
      <w:r>
        <w:rPr>
          <w:rFonts w:ascii="Times New Roman" w:cs="Times New Roman" w:eastAsia="Times New Roman" w:hAnsi="Times New Roman"/>
          <w:sz w:val="21"/>
          <w:szCs w:val="21"/>
          <w:b w:val="1"/>
          <w:bCs w:val="1"/>
          <w:i w:val="1"/>
          <w:iCs w:val="1"/>
          <w:color w:val="auto"/>
        </w:rPr>
        <w:t>Benefits Payment Period</w:t>
      </w:r>
      <w:r>
        <w:rPr>
          <w:rFonts w:ascii="Times New Roman" w:cs="Times New Roman" w:eastAsia="Times New Roman" w:hAnsi="Times New Roman"/>
          <w:sz w:val="21"/>
          <w:szCs w:val="21"/>
          <w:color w:val="auto"/>
        </w:rPr>
        <w:t>”) or, if earlier, the date upon which Executive obtains coverage under a medical plan by a subsequent employer. The Company’s obligation to pay any COBRA Premiums will be subject to the then-current requirements of COBRA and any other laws affecting the payment of COBRA premiums by the Company. Notwithstanding the foregoing, if the Company determines, in its sole discretion, that it cannot provide the COBRA Premiums without potentially incurring financial costs or penalties under applicable law, the Company shall in lieu thereof pay Executive the Health Care Benefit Payment in monthly installments on the same schedule that the COBRA Premiums would otherwise have been paid to the insurer, which shall be paid until the earlier of: (i) the date the Benefits Payment Period expires or (ii) the date upon which Executive obtains coverage under a medical plan by a subsequent employer.</w:t>
      </w:r>
    </w:p>
    <w:p>
      <w:pPr>
        <w:spacing w:after="0" w:line="166" w:lineRule="exact"/>
        <w:rPr>
          <w:rFonts w:ascii="Times New Roman" w:cs="Times New Roman" w:eastAsia="Times New Roman" w:hAnsi="Times New Roman"/>
          <w:sz w:val="21"/>
          <w:szCs w:val="21"/>
          <w:b w:val="1"/>
          <w:bCs w:val="1"/>
          <w:color w:val="auto"/>
        </w:rPr>
      </w:pPr>
    </w:p>
    <w:p>
      <w:pPr>
        <w:ind w:left="1020" w:hanging="263"/>
        <w:spacing w:after="0"/>
        <w:tabs>
          <w:tab w:leader="none" w:pos="102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Limitations and Conditions on Separation Benefits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2036" w:val="left"/>
        </w:tabs>
        <w:numPr>
          <w:ilvl w:val="1"/>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 Prior to Payment of Benefits</w:t>
      </w:r>
      <w:r>
        <w:rPr>
          <w:rFonts w:ascii="Times New Roman" w:cs="Times New Roman" w:eastAsia="Times New Roman" w:hAnsi="Times New Roman"/>
          <w:sz w:val="22"/>
          <w:szCs w:val="22"/>
          <w:color w:val="auto"/>
        </w:rPr>
        <w:t>. Prior to the payment or provision of any of the Separation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Executive shall execute, and allow to become effective, the Release not later than sixty (60) days following Executive’s Separation from Service. Such Release shall specifically relate to all of Executive’s rights and claims in existence at the time of such execution and shall confirm Executive’s continuing obligations to the Company (including but not limited to obligations under any confidentiality and/or non-solicitation agreement with the Company). No Separation Benefits will be paid prior to the Release Date.</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and Employment Taxes</w:t>
      </w:r>
      <w:r>
        <w:rPr>
          <w:rFonts w:ascii="Times New Roman" w:cs="Times New Roman" w:eastAsia="Times New Roman" w:hAnsi="Times New Roman"/>
          <w:sz w:val="22"/>
          <w:szCs w:val="22"/>
          <w:color w:val="auto"/>
        </w:rPr>
        <w:t>. Executive agrees that Executive shall be responsible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taxes of any nature (including any penalties or interest that may apply to such taxes) that the Company reasonably determines apply to any payment made hereunder, that Executive’s receipt of any benefit hereunder is conditioned on Executive’s satisfaction of any applicable withholding or similar obligations that apply to such benefit, and that any cash payment owed hereunder will be reduced to satisfy any such withholding or similar obligations that may apply.</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2036" w:val="left"/>
        </w:tabs>
        <w:numPr>
          <w:ilvl w:val="1"/>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Section 409A</w:t>
      </w:r>
      <w:r>
        <w:rPr>
          <w:rFonts w:ascii="Times New Roman" w:cs="Times New Roman" w:eastAsia="Times New Roman" w:hAnsi="Times New Roman"/>
          <w:sz w:val="22"/>
          <w:szCs w:val="22"/>
          <w:color w:val="auto"/>
        </w:rPr>
        <w:t>. It is intended that each installment of the payments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for in this Agreement is a separate “payment” for purposes of Treasury Regulation Section 1.409A-2(b)(2)(i). For the avoidance of doubt, it is intended that Separation Benefits set forth in this Agreement satisfy, to the greatest extent possible, the exemptions from, or comply with, the application of Section 409A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and Treasury Regulations 1.409A-1(b)(4), 1.409A-1(b)(5) and 1.409A-1(b)(9) (together, with any state law of similar effect,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However, if the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70" w:name="page171"/>
    <w:bookmarkEnd w:id="170"/>
    <w:p>
      <w:pPr>
        <w:jc w:val="both"/>
        <w:spacing w:after="0" w:line="232" w:lineRule="auto"/>
        <w:rPr>
          <w:sz w:val="20"/>
          <w:szCs w:val="20"/>
          <w:color w:val="auto"/>
        </w:rPr>
      </w:pPr>
      <w:r>
        <w:rPr>
          <w:rFonts w:ascii="Times New Roman" w:cs="Times New Roman" w:eastAsia="Times New Roman" w:hAnsi="Times New Roman"/>
          <w:sz w:val="22"/>
          <w:szCs w:val="22"/>
          <w:color w:val="auto"/>
        </w:rPr>
        <w:t>Company (or, if applicable, the successor entity thereto) determines that the Separation Benefits provided under this Agreement constitute “deferred compensation” under Section 409A and Executive is, on the date of his or her Separation from Service, a “specified employee” of the Company or any successor entity thereto, as such term is defined in Section 409A(a)(2)(B)(i) of the Code (a “</w:t>
      </w:r>
      <w:r>
        <w:rPr>
          <w:rFonts w:ascii="Times New Roman" w:cs="Times New Roman" w:eastAsia="Times New Roman" w:hAnsi="Times New Roman"/>
          <w:sz w:val="22"/>
          <w:szCs w:val="22"/>
          <w:b w:val="1"/>
          <w:bCs w:val="1"/>
          <w:i w:val="1"/>
          <w:iCs w:val="1"/>
          <w:color w:val="auto"/>
        </w:rPr>
        <w:t>Specified Employee</w:t>
      </w:r>
      <w:r>
        <w:rPr>
          <w:rFonts w:ascii="Times New Roman" w:cs="Times New Roman" w:eastAsia="Times New Roman" w:hAnsi="Times New Roman"/>
          <w:sz w:val="22"/>
          <w:szCs w:val="22"/>
          <w:color w:val="auto"/>
        </w:rPr>
        <w:t>”), then, solely to the extent necessary to avoid the incurrence of the adverse personal tax consequences under Section 409A, the timing of the Separation Benefits described herein, as applicable, shall be delayed as follows: on the earlier to occur of (i) the date that is six (6) months and one (1) business day after Executive’s Separation from Service, (ii) the date of Executive’s death, or (iii) such earlier date as permitted under Section 409A without the imposition of adverse taxation (such earlier date, the “</w:t>
      </w:r>
      <w:r>
        <w:rPr>
          <w:rFonts w:ascii="Times New Roman" w:cs="Times New Roman" w:eastAsia="Times New Roman" w:hAnsi="Times New Roman"/>
          <w:sz w:val="22"/>
          <w:szCs w:val="22"/>
          <w:b w:val="1"/>
          <w:bCs w:val="1"/>
          <w:i w:val="1"/>
          <w:iCs w:val="1"/>
          <w:color w:val="auto"/>
        </w:rPr>
        <w:t>Delayed Initial Payment Date</w:t>
      </w:r>
      <w:r>
        <w:rPr>
          <w:rFonts w:ascii="Times New Roman" w:cs="Times New Roman" w:eastAsia="Times New Roman" w:hAnsi="Times New Roman"/>
          <w:sz w:val="22"/>
          <w:szCs w:val="22"/>
          <w:color w:val="auto"/>
        </w:rPr>
        <w:t>”). Upon the Delayed Initial Payment Date, the Company (or the successor entity thereto, as applicable) shall pay to Executive a lump sum amount equal to the applicable benefit that Executive would otherwise have received through the Delayed Initial Payment Date if the commencement of the payment of the benefit had not been so delayed pursuant to this Section 3(c), and any remaining payments due shall be paid as otherwise provided herein. No interest shall be due on any amounts so deferred. If the Separation Benefits are not covered by one or more exemptions from the application of Section 409A and the Release could become effective in the calendar year following the calendar year in which Executive has a Separation from Service, the Release will not be deemed effective any earlier than the Release Date. To the extent that any provision of this Agreement is ambiguous as to its exemption or compliance with Section 409A, the provision will be read in such a manner so that all payments hereunder are exempt from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With respect to reimbursements or in-kind benefits provided to Executive hereunder (or otherwise) that are not exempt from Section 409A, the following rules shall apply: (i) the amount of expenses eligible for reimbursement, or in-kind benefits provided, during any one of Executive’s taxable years shall not affect the expenses eligible for reimbursement, or in-kind benefit to be provided in any other taxable year, (ii) in the case of any reimbursements of eligible expenses, reimbursement shall be made on or before the last day of Executive’s taxable year following the taxable year in which the expense was incurred, and (iii) the right to reimbursement or in-kind benefits shall not be subject to liquidation or exchange for another benefit.</w:t>
      </w:r>
    </w:p>
    <w:p>
      <w:pPr>
        <w:spacing w:after="0" w:line="173" w:lineRule="exact"/>
        <w:rPr>
          <w:sz w:val="20"/>
          <w:szCs w:val="20"/>
          <w:color w:val="auto"/>
        </w:rPr>
      </w:pPr>
    </w:p>
    <w:p>
      <w:pPr>
        <w:jc w:val="both"/>
        <w:ind w:firstLine="1505"/>
        <w:spacing w:after="0" w:line="241" w:lineRule="auto"/>
        <w:tabs>
          <w:tab w:leader="none" w:pos="2036"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Related Matters. </w:t>
      </w:r>
      <w:r>
        <w:rPr>
          <w:rFonts w:ascii="Times New Roman" w:cs="Times New Roman" w:eastAsia="Times New Roman" w:hAnsi="Times New Roman"/>
          <w:sz w:val="22"/>
          <w:szCs w:val="22"/>
          <w:color w:val="auto"/>
        </w:rPr>
        <w:t>Executive further acknowledges and agrees that as a condition to receipt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Benefits (i) Executive must comply with Executive’s obligations under Executive’s Employee Confidential Information and Invention Assignment Agreement; and (ii) resign from all Company and or affiliate positions, including membership on any Board (unless otherwise requested by the Company).</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Any successor to the Company (whether direct or indirect and whether by purchase,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The terms of this Agreement and all of Executive’s rights hereunder and thereunder</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spacing w:after="0" w:line="258" w:lineRule="auto"/>
        <w:rPr>
          <w:sz w:val="20"/>
          <w:szCs w:val="20"/>
          <w:color w:val="auto"/>
        </w:rPr>
      </w:pPr>
      <w:r>
        <w:rPr>
          <w:rFonts w:ascii="Times New Roman" w:cs="Times New Roman" w:eastAsia="Times New Roman" w:hAnsi="Times New Roman"/>
          <w:sz w:val="22"/>
          <w:szCs w:val="22"/>
          <w:color w:val="auto"/>
        </w:rPr>
        <w:t>shall inure to the benefit of, and be enforceable by, Executive’s personal or legal representatives, executors, administrators, successors, heirs, distributees, devisees and legatees.</w:t>
      </w:r>
    </w:p>
    <w:p>
      <w:pPr>
        <w:spacing w:after="0" w:line="154" w:lineRule="exact"/>
        <w:rPr>
          <w:sz w:val="20"/>
          <w:szCs w:val="20"/>
          <w:color w:val="auto"/>
        </w:rPr>
      </w:pPr>
    </w:p>
    <w:p>
      <w:pPr>
        <w:jc w:val="both"/>
        <w:ind w:firstLine="1505"/>
        <w:spacing w:after="0" w:line="238" w:lineRule="auto"/>
        <w:tabs>
          <w:tab w:leader="none" w:pos="2036" w:val="left"/>
        </w:tabs>
        <w:numPr>
          <w:ilvl w:val="1"/>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Notices and all other communications contemplated by this Agreement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been duly given when personally delivered or when mailed by U.S. registered or certified mail, return receipt requested and postage prepaid. Mailed notices to Executive shall be addressed to Executive at the home address which Executive most recently communicated to the Company in writing. In the case of the Company, mailed notices shall be addressed to its corporate headquarters, and all notices shall be directed to the attention of its Chief Executive Officer.</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1"/>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For purposes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as determined by the Board acting in good faith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on information then known to it, shall mean the occurrence of one or more of the following: (i) Executive’s gross negligence or knowing and willful action which is or is likely to be materially injurious to the Company; (ii) any intentional act by Executive in connection with his responsibilities as an employee constituting fraud or a felony crime; (iii) Executive’s consistent failure to report for work or perform his duties as directed by the Company’s Board of Directors; (iv) persistent or repeated material breach of this Agreement or any agreement between Executive and the Company; (v) Executive becoming disqualified from holding office through his own act or omission; (vi) an unauthorized use or disclosure by the Executive of the Company’s confidential information or trade secrets, which use or disclosure causes material harm to the Company; or (vii) a material failure by the Executive to comply with the Company’s written policies or rules which is or is likely to be materially injurious to the Company.</w:t>
      </w:r>
    </w:p>
    <w:p>
      <w:pPr>
        <w:spacing w:after="0" w:line="179" w:lineRule="exact"/>
        <w:rPr>
          <w:rFonts w:ascii="Times New Roman" w:cs="Times New Roman" w:eastAsia="Times New Roman" w:hAnsi="Times New Roman"/>
          <w:sz w:val="22"/>
          <w:szCs w:val="22"/>
          <w:b w:val="1"/>
          <w:bCs w:val="1"/>
          <w:color w:val="auto"/>
        </w:rPr>
      </w:pPr>
    </w:p>
    <w:p>
      <w:pPr>
        <w:ind w:firstLine="1505"/>
        <w:spacing w:after="0" w:line="264" w:lineRule="auto"/>
        <w:tabs>
          <w:tab w:leader="none" w:pos="2036" w:val="left"/>
        </w:tabs>
        <w:numPr>
          <w:ilvl w:val="1"/>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For purposes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consummation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transaction or series of transactions that results in any of the following:</w:t>
      </w:r>
    </w:p>
    <w:p>
      <w:pPr>
        <w:spacing w:after="0" w:line="151" w:lineRule="exact"/>
        <w:rPr>
          <w:rFonts w:ascii="Times New Roman" w:cs="Times New Roman" w:eastAsia="Times New Roman" w:hAnsi="Times New Roman"/>
          <w:sz w:val="22"/>
          <w:szCs w:val="22"/>
          <w:b w:val="1"/>
          <w:bCs w:val="1"/>
          <w:color w:val="auto"/>
        </w:rPr>
      </w:pPr>
    </w:p>
    <w:p>
      <w:pPr>
        <w:jc w:val="both"/>
        <w:ind w:firstLine="2254"/>
        <w:spacing w:after="0" w:line="236" w:lineRule="auto"/>
        <w:tabs>
          <w:tab w:leader="none" w:pos="2546" w:val="left"/>
        </w:tabs>
        <w:numPr>
          <w:ilvl w:val="2"/>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corporate transaction involving (directly or indirectly) the Company and, immediately following which the stockholders of the Company immediately prior thereto do not own, directly or indirectly, outstanding voting securities representing more than fifty percent (50%) of the combined outstanding voting power of the surviving entity in such merger, consolidation or similar corporate transaction or more than fifty percent (50%) of the combined outstanding voting power of the parent of the surviving entity in such merger, consolidation or similar corporate transaction; or</w:t>
      </w:r>
    </w:p>
    <w:p>
      <w:pPr>
        <w:spacing w:after="0" w:line="181"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546" w:val="left"/>
        </w:tabs>
        <w:numPr>
          <w:ilvl w:val="2"/>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or other disposition of all or substantially all of the consolidated assets of the Company that occurs over a period of not more than twelve (12) months.</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However, a Change in Control will not include (1) any consolidation or merger effected exclusively to change the domicile of the Company, or (2) any transaction or series of transactions principally for bona fide equity financing purposes in which cash is received by the Company or any successor or indebtedness of the Company is cancelled or converted or a combination thereof. In addition, no transaction will be a Change in Control unless it is also “change in ownership of a</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2" w:name="page173"/>
    <w:bookmarkEnd w:id="172"/>
    <w:p>
      <w:pPr>
        <w:spacing w:after="0" w:line="258" w:lineRule="auto"/>
        <w:rPr>
          <w:sz w:val="20"/>
          <w:szCs w:val="20"/>
          <w:color w:val="auto"/>
        </w:rPr>
      </w:pPr>
      <w:r>
        <w:rPr>
          <w:rFonts w:ascii="Times New Roman" w:cs="Times New Roman" w:eastAsia="Times New Roman" w:hAnsi="Times New Roman"/>
          <w:sz w:val="22"/>
          <w:szCs w:val="22"/>
          <w:color w:val="auto"/>
        </w:rPr>
        <w:t>corporation” or “change in ownership of a substantial portion of a corporation’s assets” as defined under in Treasury Regulations Sections 1.409A-3(i)(5)(v) and (vii) without regard to any alternative definitions thereunder.</w:t>
      </w:r>
    </w:p>
    <w:p>
      <w:pPr>
        <w:spacing w:after="0" w:line="152" w:lineRule="exact"/>
        <w:rPr>
          <w:sz w:val="20"/>
          <w:szCs w:val="20"/>
          <w:color w:val="auto"/>
        </w:rPr>
      </w:pPr>
    </w:p>
    <w:p>
      <w:pPr>
        <w:jc w:val="both"/>
        <w:ind w:firstLine="1505"/>
        <w:spacing w:after="0" w:line="244" w:lineRule="auto"/>
        <w:tabs>
          <w:tab w:leader="none" w:pos="2036" w:val="left"/>
        </w:tabs>
        <w:numPr>
          <w:ilvl w:val="1"/>
          <w:numId w:val="1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Good Reason. </w:t>
      </w: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for Executive’s resignation of his or 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employment will exist following the occurrence of any of the following without Executive’s written consent: (i) a material reduction in Executive’s base salary, which the parties agree is a reduction of at least ten percent (10%) of Executive’s base salary (provided, however, that such reduction will not be considered Good Reason if made in connection with an across-the-board salary reduction affecting all members of management); (ii) a material reduction in Executive’s duties, responsibilities and/or authority,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change in job position (including a change in title) after or in connection with a Change in Control shall not be deemed a “material reduction” in and of itself unless Executive’s new duties are materially reduced from Executive’s prior duties; (iii) a relocation of Executive’s principal place of employment to a place that increases Executive’s one-way commute by more than fifty (50) miles as compared to Executive’s then-current principal place of employment immediately prior to such relocation; or (iv) a material breach by the Company of this Agreement. In order to resign for Good Reason, Executive must provide written notice to the Board within thirty (30) days after the first occurrence of the event giving rise to Good Reason setting forth the basis for Executive’s resignation, allow the Company at least thirty (30) days from receipt of such written notice to cure such event, and if such event is not reasonably cured within such period, Executive must resign from all positions Executive then holds with the Company not later than thirty (30) days after the expiration of the cure period or the date of notification to Executive that the Company will not so cure. Executive understands and agrees that the requirement for Executive’s performance of services within twenty (20) miles of Palo Alto, California does not give rise to Good Reason.</w:t>
      </w:r>
    </w:p>
    <w:p>
      <w:pPr>
        <w:spacing w:after="0" w:line="177" w:lineRule="exact"/>
        <w:rPr>
          <w:rFonts w:ascii="Times New Roman" w:cs="Times New Roman" w:eastAsia="Times New Roman" w:hAnsi="Times New Roman"/>
          <w:sz w:val="21"/>
          <w:szCs w:val="21"/>
          <w:b w:val="1"/>
          <w:bCs w:val="1"/>
          <w:color w:val="auto"/>
        </w:rPr>
      </w:pPr>
    </w:p>
    <w:p>
      <w:pPr>
        <w:ind w:left="1020" w:hanging="263"/>
        <w:spacing w:after="0"/>
        <w:tabs>
          <w:tab w:leader="none" w:pos="102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Parachute Payments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1"/>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any payment or benefit (including payments and benefits pursuant to this Agreement) that Executive would receive in connection with a Change in Control from the Company or otherwise (“</w:t>
      </w:r>
      <w:r>
        <w:rPr>
          <w:rFonts w:ascii="Times New Roman" w:cs="Times New Roman" w:eastAsia="Times New Roman" w:hAnsi="Times New Roman"/>
          <w:sz w:val="22"/>
          <w:szCs w:val="22"/>
          <w:b w:val="1"/>
          <w:bCs w:val="1"/>
          <w:i w:val="1"/>
          <w:iCs w:val="1"/>
          <w:color w:val="auto"/>
        </w:rPr>
        <w:t>Transaction Payment</w:t>
      </w:r>
      <w:r>
        <w:rPr>
          <w:rFonts w:ascii="Times New Roman" w:cs="Times New Roman" w:eastAsia="Times New Roman" w:hAnsi="Times New Roman"/>
          <w:sz w:val="22"/>
          <w:szCs w:val="22"/>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Times New Roman" w:cs="Times New Roman" w:eastAsia="Times New Roman" w:hAnsi="Times New Roman"/>
          <w:sz w:val="22"/>
          <w:szCs w:val="22"/>
          <w:b w:val="1"/>
          <w:bCs w:val="1"/>
          <w:i w:val="1"/>
          <w:iCs w:val="1"/>
          <w:color w:val="auto"/>
        </w:rPr>
        <w:t>Full Payment</w:t>
      </w:r>
      <w:r>
        <w:rPr>
          <w:rFonts w:ascii="Times New Roman" w:cs="Times New Roman" w:eastAsia="Times New Roman" w:hAnsi="Times New Roman"/>
          <w:sz w:val="22"/>
          <w:szCs w:val="22"/>
          <w:color w:val="auto"/>
        </w:rPr>
        <w:t>”), or (2) payment of only a part of the Transaction Payment so that Executive receives the largest payment possible without the imposition of the Excise Tax (a “</w:t>
      </w:r>
      <w:r>
        <w:rPr>
          <w:rFonts w:ascii="Times New Roman" w:cs="Times New Roman" w:eastAsia="Times New Roman" w:hAnsi="Times New Roman"/>
          <w:sz w:val="22"/>
          <w:szCs w:val="22"/>
          <w:b w:val="1"/>
          <w:bCs w:val="1"/>
          <w:i w:val="1"/>
          <w:iCs w:val="1"/>
          <w:color w:val="auto"/>
        </w:rPr>
        <w:t>Reduced Payment</w:t>
      </w:r>
      <w:r>
        <w:rPr>
          <w:rFonts w:ascii="Times New Roman" w:cs="Times New Roman" w:eastAsia="Times New Roman" w:hAnsi="Times New Roman"/>
          <w:sz w:val="22"/>
          <w:szCs w:val="22"/>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shall occur in the manner that results in the greatest economic benefit to Executive as determined in this paragraph (the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Reduction Method</w:t>
      </w:r>
      <w:r>
        <w:rPr>
          <w:rFonts w:ascii="Times New Roman" w:cs="Times New Roman" w:eastAsia="Times New Roman" w:hAnsi="Times New Roman"/>
          <w:sz w:val="22"/>
          <w:szCs w:val="22"/>
          <w:color w:val="auto"/>
        </w:rPr>
        <w:t>”). If more than one method of reduction will result in the same economic benefit, the portions of the Transaction Payment shall be reduced pro rata (the “</w:t>
      </w:r>
      <w:r>
        <w:rPr>
          <w:rFonts w:ascii="Times New Roman" w:cs="Times New Roman" w:eastAsia="Times New Roman" w:hAnsi="Times New Roman"/>
          <w:sz w:val="22"/>
          <w:szCs w:val="22"/>
          <w:b w:val="1"/>
          <w:bCs w:val="1"/>
          <w:i w:val="1"/>
          <w:iCs w:val="1"/>
          <w:color w:val="auto"/>
        </w:rPr>
        <w:t>Pro Rata Reduction Method</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1505"/>
        <w:spacing w:after="0" w:line="246" w:lineRule="auto"/>
        <w:tabs>
          <w:tab w:leader="none" w:pos="2036" w:val="left"/>
        </w:tabs>
        <w:numPr>
          <w:ilvl w:val="1"/>
          <w:numId w:val="1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any provision of subsection (a) above to the contrary, if the Reduction Method or the Pro Rata Reduction Method would result in any portion of the Transaction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Executive as determined on an after-tax basis; (ii) as a second priority, Transaction Payments that are contingent on future events (e.g., being terminated without Cause), shall be reduced (or eliminated) before Transaction Payments that are not contingent on future events; and (iii) as a third priority, Transaction Payments that are "deferred compensation" within the meaning of Section 409A shall be reduced (or eliminated) before Transaction Payments that are not deferred compensation within the meaning of Section 409A.</w:t>
      </w:r>
    </w:p>
    <w:p>
      <w:pPr>
        <w:spacing w:after="0" w:line="175" w:lineRule="exact"/>
        <w:rPr>
          <w:rFonts w:ascii="Times New Roman" w:cs="Times New Roman" w:eastAsia="Times New Roman" w:hAnsi="Times New Roman"/>
          <w:sz w:val="21"/>
          <w:szCs w:val="21"/>
          <w:b w:val="1"/>
          <w:bCs w:val="1"/>
          <w:color w:val="auto"/>
        </w:rPr>
      </w:pPr>
    </w:p>
    <w:p>
      <w:pPr>
        <w:jc w:val="both"/>
        <w:ind w:firstLine="1505"/>
        <w:spacing w:after="0" w:line="236" w:lineRule="auto"/>
        <w:tabs>
          <w:tab w:leader="none" w:pos="2036" w:val="left"/>
        </w:tabs>
        <w:numPr>
          <w:ilvl w:val="1"/>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professional firm engaged by the Company for general tax purposes or the Company’s corporate law firm as of the day prior to the effective date of the Change in Control shall make all determinations required to be made under this Section 5. If the professional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48" w:lineRule="auto"/>
        <w:tabs>
          <w:tab w:leader="none" w:pos="2036" w:val="left"/>
        </w:tabs>
        <w:numPr>
          <w:ilvl w:val="1"/>
          <w:numId w:val="1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professional firm engaged to make the determinations hereunder shall provide its calculations, together with detailed supporting documentation, to the Company and Executive within fifteen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66" w:lineRule="exact"/>
        <w:rPr>
          <w:rFonts w:ascii="Times New Roman" w:cs="Times New Roman" w:eastAsia="Times New Roman" w:hAnsi="Times New Roman"/>
          <w:sz w:val="21"/>
          <w:szCs w:val="21"/>
          <w:b w:val="1"/>
          <w:bCs w:val="1"/>
          <w:color w:val="auto"/>
        </w:rPr>
      </w:pPr>
    </w:p>
    <w:p>
      <w:pPr>
        <w:jc w:val="both"/>
        <w:ind w:firstLine="757"/>
        <w:spacing w:after="0" w:line="241" w:lineRule="auto"/>
        <w:tabs>
          <w:tab w:leader="none" w:pos="1018"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Employment Terms and Conditions</w:t>
      </w:r>
      <w:r>
        <w:rPr>
          <w:rFonts w:ascii="Times New Roman" w:cs="Times New Roman" w:eastAsia="Times New Roman" w:hAnsi="Times New Roman"/>
          <w:sz w:val="22"/>
          <w:szCs w:val="22"/>
          <w:color w:val="auto"/>
        </w:rPr>
        <w:t>. The employment relationship between the parties shall be governed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general employment policies and procedures of the Company, including those relating to the protection of confidential information and assignment of inventions; provided, however, that when the terms of this Agreement differ from or are in conflict with the Company’s general employment policies or procedures, this Agreement shall control.</w:t>
      </w:r>
    </w:p>
    <w:p>
      <w:pPr>
        <w:spacing w:after="0" w:line="171"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Dispute Resolution</w:t>
      </w:r>
      <w:r>
        <w:rPr>
          <w:rFonts w:ascii="Times New Roman" w:cs="Times New Roman" w:eastAsia="Times New Roman" w:hAnsi="Times New Roman"/>
          <w:sz w:val="22"/>
          <w:szCs w:val="22"/>
          <w:color w:val="auto"/>
        </w:rPr>
        <w: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74" w:name="page175"/>
    <w:bookmarkEnd w:id="174"/>
    <w:p>
      <w:pPr>
        <w:jc w:val="both"/>
        <w:ind w:firstLine="1505"/>
        <w:spacing w:after="0" w:line="234" w:lineRule="auto"/>
        <w:tabs>
          <w:tab w:leader="none" w:pos="2036" w:val="left"/>
        </w:tabs>
        <w:numPr>
          <w:ilvl w:val="1"/>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Executive and the Company agree that any and all disputes, claims, or causes of action, in law or equity, including but not limited to statutory claims, arising from or relating to the enforcement, breach, performance, or interpretation of this Agreement, Executive’s employment with the Company, or the termination of Executive’s employment, shall be resolved pursuant to the Federal Arbitration Act, 9 U.S.C. § 1-16 (“</w:t>
      </w:r>
      <w:r>
        <w:rPr>
          <w:rFonts w:ascii="Times New Roman" w:cs="Times New Roman" w:eastAsia="Times New Roman" w:hAnsi="Times New Roman"/>
          <w:sz w:val="22"/>
          <w:szCs w:val="22"/>
          <w:b w:val="1"/>
          <w:bCs w:val="1"/>
          <w:i w:val="1"/>
          <w:iCs w:val="1"/>
          <w:color w:val="auto"/>
        </w:rPr>
        <w:t>FAA</w:t>
      </w:r>
      <w:r>
        <w:rPr>
          <w:rFonts w:ascii="Times New Roman" w:cs="Times New Roman" w:eastAsia="Times New Roman" w:hAnsi="Times New Roman"/>
          <w:sz w:val="22"/>
          <w:szCs w:val="22"/>
          <w:color w:val="auto"/>
        </w:rPr>
        <w:t xml:space="preserve">”), to the fullest extent permitted by law, by final, binding and confidential arbitration conducted by JAMS or its successor, under JAMS’ then applicable rules and procedures for employment disputes before a single arbitrator (available upon request and also currently available at http://www.jamsadr.com/rules-employment-arbitration/), in San Jose, California. </w:t>
      </w:r>
      <w:r>
        <w:rPr>
          <w:rFonts w:ascii="Times New Roman" w:cs="Times New Roman" w:eastAsia="Times New Roman" w:hAnsi="Times New Roman"/>
          <w:sz w:val="22"/>
          <w:szCs w:val="22"/>
          <w:b w:val="1"/>
          <w:bCs w:val="1"/>
          <w:color w:val="auto"/>
        </w:rPr>
        <w:t>Executive acknowledges that by agreeing to this arbitration procedure,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both Executive and the Company waive the right to resolve any such dispute through a trial by jury or judge or administrative proceeding.</w:t>
      </w:r>
    </w:p>
    <w:p>
      <w:pPr>
        <w:spacing w:after="0" w:line="183"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claims, disputes, or causes of action under this arbitration agreement,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w:t>
      </w:r>
    </w:p>
    <w:p>
      <w:pPr>
        <w:spacing w:after="0" w:line="183"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1"/>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arbitration agreement shall not apply to any action or claim that cannot be subject to mandatory arbitration as a matter of law, to the extent such claims are not permitted by applicable law(s) to be submitted to mandatory arbitration and the applicable law(s) are not preempted by the Federal Arbitration Act or otherwise invalid (collectively, the “</w:t>
      </w:r>
      <w:r>
        <w:rPr>
          <w:rFonts w:ascii="Times New Roman" w:cs="Times New Roman" w:eastAsia="Times New Roman" w:hAnsi="Times New Roman"/>
          <w:sz w:val="22"/>
          <w:szCs w:val="22"/>
          <w:b w:val="1"/>
          <w:bCs w:val="1"/>
          <w:i w:val="1"/>
          <w:iCs w:val="1"/>
          <w:color w:val="auto"/>
        </w:rPr>
        <w:t>Excluded Claims</w:t>
      </w:r>
      <w:r>
        <w:rPr>
          <w:rFonts w:ascii="Times New Roman" w:cs="Times New Roman" w:eastAsia="Times New Roman" w:hAnsi="Times New Roman"/>
          <w:sz w:val="22"/>
          <w:szCs w:val="22"/>
          <w:color w:val="auto"/>
        </w:rPr>
        <w:t>”). In the event Executive intends to bring multiple claims, including one of the Excluded Claims listed above, the Excluded Claims may be filed with a court, while any other claims will remain subject to mandatory arbitration. Executive will have the right to be represented by legal counsel at any arbitration proceeding.</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1"/>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Questions of whether a claim is subject to arbitration under this agreement shall be decided by the arbitrator. Likewise, procedural questions which grow out of the dispute and bear on the final disposition are also matters for the arbitrator. The arbitrator shall: (i) have the authority to compel adequate discovery for the resolution of the dispute and to award such relief as would otherwise be permitted by law; and (ii)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Executive or the Company would be entitled to seek in a court of law. The Company shall pay all JAMS arbitration fees in excess of the administrative fees that Executive would be required to pay if the dispute were decided in a court of law. Nothing in this arbitration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83"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 Provisions</w:t>
      </w:r>
      <w:r>
        <w:rPr>
          <w:rFonts w:ascii="Times New Roman" w:cs="Times New Roman" w:eastAsia="Times New Roman" w:hAnsi="Times New Roman"/>
          <w:sz w:val="22"/>
          <w:szCs w:val="22"/>
          <w:color w:val="auto"/>
        </w:rPr>
        <w: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jc w:val="both"/>
        <w:ind w:firstLine="1505"/>
        <w:spacing w:after="0" w:line="246" w:lineRule="auto"/>
        <w:tabs>
          <w:tab w:leader="none" w:pos="2036"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Duty to Mitigate</w:t>
      </w:r>
      <w:r>
        <w:rPr>
          <w:rFonts w:ascii="Times New Roman" w:cs="Times New Roman" w:eastAsia="Times New Roman" w:hAnsi="Times New Roman"/>
          <w:sz w:val="22"/>
          <w:szCs w:val="22"/>
          <w:color w:val="auto"/>
        </w:rPr>
        <w:t>. Executive shall not be required to mitigate the amount of any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by this Agreement (whether by seeking new employment or in any other manner), nor shall any such payment be reduced by any earnings that Executive may receive from any other source.</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No provision of this Agreement shall be modified, waived or discharged unless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Whole Agreement</w:t>
      </w:r>
      <w:r>
        <w:rPr>
          <w:rFonts w:ascii="Times New Roman" w:cs="Times New Roman" w:eastAsia="Times New Roman" w:hAnsi="Times New Roman"/>
          <w:sz w:val="22"/>
          <w:szCs w:val="22"/>
          <w:color w:val="auto"/>
        </w:rPr>
        <w:t>. No agreements, representations or understandings (whether oral or written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express or implied) which are not expressly set forth in this Agreement have been made or entered into by either party with respect to the subject matter hereof. This Agreement supersedes any agreement (or portion thereof) concerning similar subject matter dated prior to the date of this Agreement, and by execution of this Agreement both parties agree that any such predecessor agreement (or portion thereof) shall be deemed null and void. For the avoidance of doubt, the parties agree that this Agreement does not supersede the provisions of Executive’s Offer Letter that do not address termination or severance benefits or Executive’s Employee Confidential Information and Invention Assignment Agreement with the Company.</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The validity, interpretation, construction and performance of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laws of the State of California without reference to conflict of laws provisions, and the parties hereto submit to the exclusive jurisdiction of the state and federal courts of the State of California.</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2036"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term or provision of this Agreement or the application thereof to any circumstance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in any jurisdiction and to any extent, be invalid or unenforceable, such term or provision shall be ineffective as to such jurisdiction to the extent of such invalidity or unenforceability without invalidating or rendering unenforceable the remaining terms and provisions of this Agreement or the application of such terms and provisions to circumstances other than those as to which it is held invalid or unenforceable, and a suitable and equitable term or provision shall be substituted therefor to carry out, insofar as may be valid and enforceable, the intent and purpose of the invalid or unenforceable term or provision.</w:t>
      </w:r>
    </w:p>
    <w:p>
      <w:pPr>
        <w:spacing w:after="0" w:line="175" w:lineRule="exact"/>
        <w:rPr>
          <w:rFonts w:ascii="Times New Roman" w:cs="Times New Roman" w:eastAsia="Times New Roman" w:hAnsi="Times New Roman"/>
          <w:sz w:val="22"/>
          <w:szCs w:val="22"/>
          <w:b w:val="1"/>
          <w:bCs w:val="1"/>
          <w:color w:val="auto"/>
        </w:rPr>
      </w:pPr>
    </w:p>
    <w:p>
      <w:pPr>
        <w:ind w:firstLine="1505"/>
        <w:spacing w:after="0" w:line="262" w:lineRule="auto"/>
        <w:tabs>
          <w:tab w:leader="none" w:pos="2036"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Legal Fees and Expenses</w:t>
      </w:r>
      <w:r>
        <w:rPr>
          <w:rFonts w:ascii="Times New Roman" w:cs="Times New Roman" w:eastAsia="Times New Roman" w:hAnsi="Times New Roman"/>
          <w:sz w:val="22"/>
          <w:szCs w:val="22"/>
          <w:color w:val="auto"/>
        </w:rPr>
        <w:t>. The parties shall each bear their own expenses, legal fees and other fees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incurred in connection with the execution of this Agreement.</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Assignment of Benefits</w:t>
      </w:r>
      <w:r>
        <w:rPr>
          <w:rFonts w:ascii="Times New Roman" w:cs="Times New Roman" w:eastAsia="Times New Roman" w:hAnsi="Times New Roman"/>
          <w:sz w:val="22"/>
          <w:szCs w:val="22"/>
          <w:color w:val="auto"/>
        </w:rPr>
        <w:t>. The rights of any person to payments or benefits under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made subject to option or assignment, either by voluntary or involuntary assignment or by operation of law, including (without limitation) bankruptcy, garnishment, attachment or other creditor’s process, and any action in violation of this Section 8(g) shall be void.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6" w:name="page177"/>
    <w:bookmarkEnd w:id="176"/>
    <w:p>
      <w:pPr>
        <w:ind w:left="-20" w:firstLine="1505"/>
        <w:spacing w:after="0" w:line="262" w:lineRule="auto"/>
        <w:tabs>
          <w:tab w:leader="none" w:pos="2016"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will constitute one and the same instrument.</w:t>
      </w:r>
    </w:p>
    <w:p>
      <w:pPr>
        <w:spacing w:after="0" w:line="1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remainder of this page left blank</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14"/>
          <w:szCs w:val="14"/>
          <w:b w:val="1"/>
          <w:bCs w:val="1"/>
          <w:color w:val="auto"/>
        </w:rPr>
        <w:t>signature page to follow</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632460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4"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have executed this Agreement as of the date written below.</w:t>
      </w:r>
    </w:p>
    <w:p>
      <w:pPr>
        <w:sectPr>
          <w:pgSz w:w="11900" w:h="16838" w:orient="portrait"/>
          <w:cols w:equalWidth="0" w:num="1">
            <w:col w:w="9379"/>
          </w:cols>
          <w:pgMar w:left="1080" w:top="14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/s/ Stephen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-13970</wp:posOffset>
            </wp:positionV>
            <wp:extent cx="10972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22"/>
          <w:szCs w:val="22"/>
          <w:b w:val="1"/>
          <w:bCs w:val="1"/>
          <w:color w:val="auto"/>
        </w:rPr>
        <w:t>Stephen Moore</w:t>
      </w:r>
    </w:p>
    <w:p>
      <w:pPr>
        <w:spacing w:after="0" w:line="182"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21"/>
          <w:szCs w:val="21"/>
          <w:color w:val="auto"/>
        </w:rPr>
        <w:t>Address: 3022 Valley of Hearts Delight Place</w:t>
      </w:r>
    </w:p>
    <w:p>
      <w:pPr>
        <w:spacing w:after="0" w:line="26"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22"/>
          <w:szCs w:val="22"/>
          <w:u w:val="single" w:color="auto"/>
          <w:color w:val="auto"/>
        </w:rPr>
        <w:t>San Jose, CA 95136</w:t>
      </w:r>
    </w:p>
    <w:p>
      <w:pPr>
        <w:spacing w:after="0" w:line="18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Date: 9/20/2023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80010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PERSONALIS, INC.</w:t>
      </w:r>
    </w:p>
    <w:p>
      <w:pPr>
        <w:spacing w:after="0" w:line="2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/s/ Susan Moriconi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-13970</wp:posOffset>
            </wp:positionV>
            <wp:extent cx="10972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8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Susan Moriconi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-13970</wp:posOffset>
            </wp:positionV>
            <wp:extent cx="110490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6">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18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VP of People, CHRO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-13970</wp:posOffset>
            </wp:positionV>
            <wp:extent cx="128524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7">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18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Date: 9/21/2023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8001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8">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632460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04" w:right="1440" w:bottom="1440" w:gutter="0" w:footer="0" w:header="0"/>
          <w:type w:val="continuous"/>
        </w:sectPr>
      </w:pPr>
    </w:p>
    <w:bookmarkStart w:id="178" w:name="page179"/>
    <w:bookmarkEnd w:id="178"/>
    <w:p>
      <w:pPr>
        <w:jc w:val="right"/>
        <w:spacing w:after="0"/>
        <w:rPr>
          <w:sz w:val="20"/>
          <w:szCs w:val="20"/>
          <w:color w:val="auto"/>
        </w:rPr>
      </w:pPr>
      <w:r>
        <w:rPr>
          <w:rFonts w:ascii="Arial" w:cs="Arial" w:eastAsia="Arial" w:hAnsi="Arial"/>
          <w:sz w:val="16"/>
          <w:szCs w:val="16"/>
          <w:b w:val="1"/>
          <w:bCs w:val="1"/>
          <w:color w:val="auto"/>
        </w:rPr>
        <w:t>Exhibit 21.1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spacing w:after="0"/>
              <w:rPr>
                <w:sz w:val="19"/>
                <w:szCs w:val="19"/>
                <w:color w:val="auto"/>
              </w:rPr>
            </w:pPr>
          </w:p>
        </w:tc>
        <w:tc>
          <w:tcPr>
            <w:tcW w:w="7540" w:type="dxa"/>
            <w:vAlign w:val="bottom"/>
          </w:tcPr>
          <w:p>
            <w:pPr>
              <w:ind w:left="460"/>
              <w:spacing w:after="0"/>
              <w:rPr>
                <w:sz w:val="20"/>
                <w:szCs w:val="20"/>
                <w:color w:val="auto"/>
              </w:rPr>
            </w:pPr>
            <w:r>
              <w:rPr>
                <w:rFonts w:ascii="Arial" w:cs="Arial" w:eastAsia="Arial" w:hAnsi="Arial"/>
                <w:sz w:val="16"/>
                <w:szCs w:val="16"/>
                <w:b w:val="1"/>
                <w:bCs w:val="1"/>
                <w:color w:val="auto"/>
              </w:rPr>
              <w:t>SUBSIDIARIES OF PERSONALIS, INC.</w:t>
            </w:r>
          </w:p>
        </w:tc>
      </w:tr>
      <w:tr>
        <w:trPr>
          <w:trHeight w:val="729"/>
        </w:trPr>
        <w:tc>
          <w:tcPr>
            <w:tcW w:w="3700" w:type="dxa"/>
            <w:vAlign w:val="bottom"/>
          </w:tcPr>
          <w:p>
            <w:pPr>
              <w:ind w:left="40"/>
              <w:spacing w:after="0"/>
              <w:rPr>
                <w:sz w:val="20"/>
                <w:szCs w:val="20"/>
                <w:color w:val="auto"/>
              </w:rPr>
            </w:pPr>
            <w:r>
              <w:rPr>
                <w:rFonts w:ascii="Arial" w:cs="Arial" w:eastAsia="Arial" w:hAnsi="Arial"/>
                <w:sz w:val="16"/>
                <w:szCs w:val="16"/>
                <w:b w:val="1"/>
                <w:bCs w:val="1"/>
                <w:color w:val="auto"/>
              </w:rPr>
              <w:t>Name of Subsidiary</w:t>
            </w:r>
          </w:p>
        </w:tc>
        <w:tc>
          <w:tcPr>
            <w:tcW w:w="7540" w:type="dxa"/>
            <w:vAlign w:val="bottom"/>
          </w:tcPr>
          <w:p>
            <w:pPr>
              <w:ind w:left="740"/>
              <w:spacing w:after="0"/>
              <w:rPr>
                <w:sz w:val="20"/>
                <w:szCs w:val="20"/>
                <w:color w:val="auto"/>
              </w:rPr>
            </w:pPr>
            <w:r>
              <w:rPr>
                <w:rFonts w:ascii="Arial" w:cs="Arial" w:eastAsia="Arial" w:hAnsi="Arial"/>
                <w:sz w:val="16"/>
                <w:szCs w:val="16"/>
                <w:b w:val="1"/>
                <w:bCs w:val="1"/>
                <w:color w:val="auto"/>
              </w:rPr>
              <w:t>Jurisdiction of Incorporation</w:t>
            </w:r>
          </w:p>
        </w:tc>
      </w:tr>
      <w:tr>
        <w:trPr>
          <w:trHeight w:val="115"/>
        </w:trPr>
        <w:tc>
          <w:tcPr>
            <w:tcW w:w="3700" w:type="dxa"/>
            <w:vAlign w:val="bottom"/>
            <w:tcBorders>
              <w:bottom w:val="single" w:sz="8" w:color="auto"/>
            </w:tcBorders>
          </w:tcPr>
          <w:p>
            <w:pPr>
              <w:spacing w:after="0"/>
              <w:rPr>
                <w:sz w:val="10"/>
                <w:szCs w:val="10"/>
                <w:color w:val="auto"/>
              </w:rPr>
            </w:pPr>
          </w:p>
        </w:tc>
        <w:tc>
          <w:tcPr>
            <w:tcW w:w="7540" w:type="dxa"/>
            <w:vAlign w:val="bottom"/>
            <w:tcBorders>
              <w:bottom w:val="single" w:sz="8" w:color="auto"/>
            </w:tcBorders>
          </w:tcPr>
          <w:p>
            <w:pPr>
              <w:spacing w:after="0"/>
              <w:rPr>
                <w:sz w:val="10"/>
                <w:szCs w:val="10"/>
                <w:color w:val="auto"/>
              </w:rPr>
            </w:pPr>
          </w:p>
        </w:tc>
      </w:tr>
      <w:tr>
        <w:trPr>
          <w:trHeight w:val="343"/>
        </w:trPr>
        <w:tc>
          <w:tcPr>
            <w:tcW w:w="3700" w:type="dxa"/>
            <w:vAlign w:val="bottom"/>
          </w:tcPr>
          <w:p>
            <w:pPr>
              <w:ind w:left="40"/>
              <w:spacing w:after="0"/>
              <w:rPr>
                <w:sz w:val="20"/>
                <w:szCs w:val="20"/>
                <w:color w:val="auto"/>
              </w:rPr>
            </w:pPr>
            <w:r>
              <w:rPr>
                <w:rFonts w:ascii="Arial" w:cs="Arial" w:eastAsia="Arial" w:hAnsi="Arial"/>
                <w:sz w:val="16"/>
                <w:szCs w:val="16"/>
                <w:color w:val="auto"/>
              </w:rPr>
              <w:t>Personalis (UK) Ltd.</w:t>
            </w:r>
          </w:p>
        </w:tc>
        <w:tc>
          <w:tcPr>
            <w:tcW w:w="7540" w:type="dxa"/>
            <w:vAlign w:val="bottom"/>
          </w:tcPr>
          <w:p>
            <w:pPr>
              <w:ind w:left="740"/>
              <w:spacing w:after="0"/>
              <w:rPr>
                <w:sz w:val="20"/>
                <w:szCs w:val="20"/>
                <w:color w:val="auto"/>
              </w:rPr>
            </w:pPr>
            <w:r>
              <w:rPr>
                <w:rFonts w:ascii="Arial" w:cs="Arial" w:eastAsia="Arial" w:hAnsi="Arial"/>
                <w:sz w:val="16"/>
                <w:szCs w:val="16"/>
                <w:color w:val="auto"/>
              </w:rPr>
              <w:t>United Kingdom</w:t>
            </w:r>
          </w:p>
        </w:tc>
      </w:tr>
      <w:tr>
        <w:trPr>
          <w:trHeight w:val="364"/>
        </w:trPr>
        <w:tc>
          <w:tcPr>
            <w:tcW w:w="3700" w:type="dxa"/>
            <w:vAlign w:val="bottom"/>
          </w:tcPr>
          <w:p>
            <w:pPr>
              <w:ind w:left="40"/>
              <w:spacing w:after="0"/>
              <w:rPr>
                <w:sz w:val="20"/>
                <w:szCs w:val="20"/>
                <w:color w:val="auto"/>
              </w:rPr>
            </w:pPr>
            <w:r>
              <w:rPr>
                <w:rFonts w:ascii="Arial" w:cs="Arial" w:eastAsia="Arial" w:hAnsi="Arial"/>
                <w:sz w:val="16"/>
                <w:szCs w:val="16"/>
                <w:color w:val="auto"/>
              </w:rPr>
              <w:t>Shanghai Personalis Biotechnology Co., Ltd.</w:t>
            </w:r>
          </w:p>
        </w:tc>
        <w:tc>
          <w:tcPr>
            <w:tcW w:w="7540" w:type="dxa"/>
            <w:vAlign w:val="bottom"/>
          </w:tcPr>
          <w:p>
            <w:pPr>
              <w:ind w:left="740"/>
              <w:spacing w:after="0"/>
              <w:rPr>
                <w:sz w:val="20"/>
                <w:szCs w:val="20"/>
                <w:color w:val="auto"/>
              </w:rPr>
            </w:pPr>
            <w:r>
              <w:rPr>
                <w:rFonts w:ascii="Arial" w:cs="Arial" w:eastAsia="Arial" w:hAnsi="Arial"/>
                <w:sz w:val="16"/>
                <w:szCs w:val="16"/>
                <w:color w:val="auto"/>
              </w:rPr>
              <w:t>China</w:t>
            </w:r>
          </w:p>
        </w:tc>
      </w:tr>
      <w:tr>
        <w:trPr>
          <w:trHeight w:val="1791"/>
        </w:trPr>
        <w:tc>
          <w:tcPr>
            <w:tcW w:w="370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6"/>
          <w:szCs w:val="16"/>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hereby consent to the incorporation by reference in the Registration Statements on Form S-3 (Nos. 333-276204 and 333-276206) and Form S-8 (Nos. 333-232233, 333-237386, 333-238080, 333-253528, 333-262998, 333-269971 and 333-271940) of Personalis, Inc. and subsidiaries (the “Company”) of our report dated February 28, 2024, relating to the consolidated financial statements which appears in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 BDO USA, P.C.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6"/>
          <w:szCs w:val="16"/>
          <w:b w:val="1"/>
          <w:bCs w:val="1"/>
          <w:color w:val="auto"/>
        </w:rPr>
        <w:t>Exhibit 23.2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consent to the incorporation by reference in Registration Statement Nos. 333-276204 and 333-276206 on Form S-3 and Registration Statement Nos. 333-232233, 333-237386, 333-238080, 333-253528, 333-262998, 333-269971 and 333-271940 on Form S-8 of our report dated February 23, 2023, relating to the consolidated financial statements of Personalis, Inc. and subsidiaries (the “Company”), appearing in this Annual Report on Form 10-K of the Company for the year ended December 31, 2023.</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6"/>
          <w:szCs w:val="16"/>
          <w:b w:val="1"/>
          <w:bCs w:val="1"/>
          <w:color w:val="auto"/>
        </w:rPr>
        <w:t>Exhibit 31.1</w:t>
      </w:r>
    </w:p>
    <w:p>
      <w:pPr>
        <w:spacing w:after="0" w:line="329"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 Christopher Hall, certify that:</w:t>
      </w:r>
    </w:p>
    <w:p>
      <w:pPr>
        <w:spacing w:after="0" w:line="221" w:lineRule="exact"/>
        <w:rPr>
          <w:sz w:val="20"/>
          <w:szCs w:val="20"/>
          <w:color w:val="auto"/>
        </w:rPr>
      </w:pPr>
    </w:p>
    <w:p>
      <w:pPr>
        <w:ind w:left="520" w:hanging="512"/>
        <w:spacing w:after="0"/>
        <w:tabs>
          <w:tab w:leader="none" w:pos="5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Personalis, Inc.;</w:t>
      </w:r>
    </w:p>
    <w:p>
      <w:pPr>
        <w:spacing w:after="0" w:line="221" w:lineRule="exact"/>
        <w:rPr>
          <w:rFonts w:ascii="Arial" w:cs="Arial" w:eastAsia="Arial" w:hAnsi="Arial"/>
          <w:sz w:val="16"/>
          <w:szCs w:val="16"/>
          <w:color w:val="auto"/>
        </w:rPr>
      </w:pPr>
    </w:p>
    <w:p>
      <w:pPr>
        <w:jc w:val="both"/>
        <w:ind w:left="520" w:right="260" w:hanging="512"/>
        <w:spacing w:after="0" w:line="266" w:lineRule="auto"/>
        <w:tabs>
          <w:tab w:leader="none" w:pos="5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left="520" w:right="380" w:hanging="512"/>
        <w:spacing w:after="0" w:line="286" w:lineRule="auto"/>
        <w:tabs>
          <w:tab w:leader="none" w:pos="5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ind w:left="520" w:right="380" w:hanging="512"/>
        <w:spacing w:after="0" w:line="266" w:lineRule="auto"/>
        <w:tabs>
          <w:tab w:leader="none" w:pos="5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ind w:left="1020" w:right="20" w:hanging="479"/>
        <w:spacing w:after="0" w:line="266" w:lineRule="auto"/>
        <w:tabs>
          <w:tab w:leader="none" w:pos="89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1020" w:right="440" w:hanging="479"/>
        <w:spacing w:after="0" w:line="266" w:lineRule="auto"/>
        <w:tabs>
          <w:tab w:leader="none" w:pos="89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ind w:left="1020" w:right="440" w:hanging="479"/>
        <w:spacing w:after="0" w:line="286" w:lineRule="auto"/>
        <w:tabs>
          <w:tab w:leader="none" w:pos="89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1020" w:right="280" w:hanging="479"/>
        <w:spacing w:after="0" w:line="266" w:lineRule="auto"/>
        <w:tabs>
          <w:tab w:leader="none" w:pos="89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left="520" w:right="320" w:hanging="512"/>
        <w:spacing w:after="0" w:line="286" w:lineRule="auto"/>
        <w:tabs>
          <w:tab w:leader="none" w:pos="5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20" w:right="200" w:hanging="479"/>
        <w:spacing w:after="0" w:line="286" w:lineRule="auto"/>
        <w:tabs>
          <w:tab w:leader="none" w:pos="89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20" w:right="160" w:hanging="479"/>
        <w:spacing w:after="0" w:line="286" w:lineRule="auto"/>
        <w:tabs>
          <w:tab w:leader="none" w:pos="89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6"/>
          <w:szCs w:val="16"/>
          <w:color w:val="auto"/>
        </w:rPr>
        <w:t>Date: February 28, 2024</w:t>
      </w:r>
      <w:r>
        <w:rPr>
          <w:sz w:val="20"/>
          <w:szCs w:val="20"/>
          <w:color w:val="auto"/>
        </w:rPr>
        <w:tab/>
      </w:r>
      <w:r>
        <w:rPr>
          <w:rFonts w:ascii="Arial" w:cs="Arial" w:eastAsia="Arial" w:hAnsi="Arial"/>
          <w:sz w:val="16"/>
          <w:szCs w:val="16"/>
          <w:color w:val="auto"/>
        </w:rPr>
        <w:t>By: /s/ Christopher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20955</wp:posOffset>
            </wp:positionV>
            <wp:extent cx="330898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4"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Christopher Hall</w:t>
      </w:r>
    </w:p>
    <w:p>
      <w:pPr>
        <w:spacing w:after="0" w:line="1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6"/>
          <w:szCs w:val="16"/>
          <w:b w:val="1"/>
          <w:bCs w:val="1"/>
          <w:color w:val="auto"/>
        </w:rPr>
        <w:t>Exhibit 31.2</w:t>
      </w:r>
    </w:p>
    <w:p>
      <w:pPr>
        <w:spacing w:after="0" w:line="329"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520" w:hanging="512"/>
        <w:spacing w:after="0"/>
        <w:tabs>
          <w:tab w:leader="none" w:pos="5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Personalis, Inc.;</w:t>
      </w:r>
    </w:p>
    <w:p>
      <w:pPr>
        <w:spacing w:after="0" w:line="221" w:lineRule="exact"/>
        <w:rPr>
          <w:rFonts w:ascii="Arial" w:cs="Arial" w:eastAsia="Arial" w:hAnsi="Arial"/>
          <w:sz w:val="16"/>
          <w:szCs w:val="16"/>
          <w:color w:val="auto"/>
        </w:rPr>
      </w:pPr>
    </w:p>
    <w:p>
      <w:pPr>
        <w:jc w:val="both"/>
        <w:ind w:left="520" w:right="260" w:hanging="512"/>
        <w:spacing w:after="0" w:line="266" w:lineRule="auto"/>
        <w:tabs>
          <w:tab w:leader="none" w:pos="5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left="520" w:right="380" w:hanging="512"/>
        <w:spacing w:after="0" w:line="286" w:lineRule="auto"/>
        <w:tabs>
          <w:tab w:leader="none" w:pos="5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ind w:left="520" w:right="380" w:hanging="512"/>
        <w:spacing w:after="0" w:line="266" w:lineRule="auto"/>
        <w:tabs>
          <w:tab w:leader="none" w:pos="5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ind w:left="1020" w:right="20" w:hanging="479"/>
        <w:spacing w:after="0" w:line="266" w:lineRule="auto"/>
        <w:tabs>
          <w:tab w:leader="none" w:pos="89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1020" w:right="440" w:hanging="479"/>
        <w:spacing w:after="0" w:line="266" w:lineRule="auto"/>
        <w:tabs>
          <w:tab w:leader="none" w:pos="89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ind w:left="1020" w:right="440" w:hanging="479"/>
        <w:spacing w:after="0" w:line="286" w:lineRule="auto"/>
        <w:tabs>
          <w:tab w:leader="none" w:pos="89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1020" w:right="280" w:hanging="479"/>
        <w:spacing w:after="0" w:line="266" w:lineRule="auto"/>
        <w:tabs>
          <w:tab w:leader="none" w:pos="89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left="520" w:right="320" w:hanging="512"/>
        <w:spacing w:after="0" w:line="286" w:lineRule="auto"/>
        <w:tabs>
          <w:tab w:leader="none" w:pos="5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20" w:right="200" w:hanging="479"/>
        <w:spacing w:after="0" w:line="286" w:lineRule="auto"/>
        <w:tabs>
          <w:tab w:leader="none" w:pos="89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20" w:right="160" w:hanging="479"/>
        <w:spacing w:after="0" w:line="286" w:lineRule="auto"/>
        <w:tabs>
          <w:tab w:leader="none" w:pos="89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6"/>
          <w:szCs w:val="16"/>
          <w:color w:val="auto"/>
        </w:rPr>
        <w:t>Date: February 28, 2024</w:t>
      </w:r>
      <w:r>
        <w:rPr>
          <w:sz w:val="20"/>
          <w:szCs w:val="20"/>
          <w:color w:val="auto"/>
        </w:rPr>
        <w:tab/>
      </w: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20955</wp:posOffset>
            </wp:positionV>
            <wp:extent cx="330898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4"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Chief Financial Officer and Chief Operating Officer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320" w:firstLine="509"/>
        <w:spacing w:after="0" w:line="266" w:lineRule="auto"/>
        <w:rPr>
          <w:sz w:val="20"/>
          <w:szCs w:val="20"/>
          <w:color w:val="auto"/>
        </w:rPr>
      </w:pPr>
      <w:r>
        <w:rPr>
          <w:rFonts w:ascii="Arial" w:cs="Arial" w:eastAsia="Arial" w:hAnsi="Arial"/>
          <w:sz w:val="16"/>
          <w:szCs w:val="16"/>
          <w:color w:val="auto"/>
        </w:rPr>
        <w:t>In connection with the Annual Report of Personalis,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900" w:hanging="359"/>
        <w:spacing w:after="0"/>
        <w:tabs>
          <w:tab w:leader="none" w:pos="9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900" w:hanging="359"/>
        <w:spacing w:after="0"/>
        <w:tabs>
          <w:tab w:leader="none" w:pos="9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6"/>
          <w:szCs w:val="16"/>
          <w:color w:val="auto"/>
        </w:rPr>
        <w:t>Date: February 28, 2024</w:t>
      </w:r>
      <w:r>
        <w:rPr>
          <w:sz w:val="20"/>
          <w:szCs w:val="20"/>
          <w:color w:val="auto"/>
        </w:rPr>
        <w:tab/>
      </w:r>
      <w:r>
        <w:rPr>
          <w:rFonts w:ascii="Arial" w:cs="Arial" w:eastAsia="Arial" w:hAnsi="Arial"/>
          <w:sz w:val="16"/>
          <w:szCs w:val="16"/>
          <w:color w:val="auto"/>
        </w:rPr>
        <w:t>By: /s/ Christopher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20955</wp:posOffset>
            </wp:positionV>
            <wp:extent cx="330898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4"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Christopher Hall</w:t>
      </w:r>
    </w:p>
    <w:p>
      <w:pPr>
        <w:spacing w:after="0" w:line="1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320" w:firstLine="509"/>
        <w:spacing w:after="0" w:line="266" w:lineRule="auto"/>
        <w:rPr>
          <w:sz w:val="20"/>
          <w:szCs w:val="20"/>
          <w:color w:val="auto"/>
        </w:rPr>
      </w:pPr>
      <w:r>
        <w:rPr>
          <w:rFonts w:ascii="Arial" w:cs="Arial" w:eastAsia="Arial" w:hAnsi="Arial"/>
          <w:sz w:val="16"/>
          <w:szCs w:val="16"/>
          <w:color w:val="auto"/>
        </w:rPr>
        <w:t>In connection with the Annual Report of Personalis,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900" w:hanging="359"/>
        <w:spacing w:after="0"/>
        <w:tabs>
          <w:tab w:leader="none" w:pos="9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900" w:hanging="359"/>
        <w:spacing w:after="0"/>
        <w:tabs>
          <w:tab w:leader="none" w:pos="9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6"/>
          <w:szCs w:val="16"/>
          <w:color w:val="auto"/>
        </w:rPr>
        <w:t>Date: February 28, 2024</w:t>
      </w:r>
      <w:r>
        <w:rPr>
          <w:sz w:val="20"/>
          <w:szCs w:val="20"/>
          <w:color w:val="auto"/>
        </w:rPr>
        <w:tab/>
      </w: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20955</wp:posOffset>
            </wp:positionV>
            <wp:extent cx="330898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4"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Chief Financial Officer and Chief Operating Officer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6"/>
          <w:szCs w:val="16"/>
          <w:b w:val="1"/>
          <w:bCs w:val="1"/>
          <w:color w:val="auto"/>
        </w:rPr>
        <w:t>Exhibit 97</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PERSONALIS,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Adopted By the Compensation Committee of the Board of Directors: November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0" w:hanging="512"/>
        <w:spacing w:after="0"/>
        <w:tabs>
          <w:tab w:leader="none" w:pos="520"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ntroduction</w:t>
      </w:r>
    </w:p>
    <w:p>
      <w:pPr>
        <w:spacing w:after="0" w:line="20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The Compensation Committee (the “</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ersonalis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5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520" w:hanging="512"/>
        <w:spacing w:after="0"/>
        <w:tabs>
          <w:tab w:leader="none" w:pos="520"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 Covered Officer on or after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49" w:lineRule="exact"/>
        <w:rPr>
          <w:sz w:val="20"/>
          <w:szCs w:val="20"/>
          <w:color w:val="auto"/>
        </w:rPr>
      </w:pPr>
    </w:p>
    <w:p>
      <w:pPr>
        <w:ind w:left="520" w:hanging="512"/>
        <w:spacing w:after="0"/>
        <w:tabs>
          <w:tab w:leader="none" w:pos="520"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202" w:lineRule="exact"/>
        <w:rPr>
          <w:sz w:val="20"/>
          <w:szCs w:val="20"/>
          <w:color w:val="auto"/>
        </w:rPr>
      </w:pPr>
    </w:p>
    <w:p>
      <w:pPr>
        <w:jc w:val="both"/>
        <w:ind w:firstLine="843"/>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86" w:name="page187"/>
    <w:bookmarkEnd w:id="186"/>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18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6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6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2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6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189" w:lineRule="exact"/>
        <w:rPr>
          <w:sz w:val="20"/>
          <w:szCs w:val="20"/>
          <w:color w:val="auto"/>
        </w:rPr>
      </w:pPr>
    </w:p>
    <w:p>
      <w:pPr>
        <w:ind w:left="520" w:hanging="512"/>
        <w:spacing w:after="0"/>
        <w:tabs>
          <w:tab w:leader="none" w:pos="520"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ecoupment</w:t>
      </w:r>
    </w:p>
    <w:p>
      <w:pPr>
        <w:spacing w:after="0" w:line="202"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1"/>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 Covered Officer (i) after beginning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as an Executive Officer, (ii) who served as an Executive Officer at any time during the performance period for such Incentive Compensation, (iii) while the Company had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color w:val="auto"/>
        </w:rPr>
        <w:t>a class of securities listed on a national securities exchange or a national securities association, and (iv) during the Lookback Period.</w:t>
      </w:r>
    </w:p>
    <w:p>
      <w:pPr>
        <w:spacing w:after="0" w:line="198" w:lineRule="exact"/>
        <w:rPr>
          <w:sz w:val="20"/>
          <w:szCs w:val="20"/>
          <w:color w:val="auto"/>
        </w:rPr>
      </w:pPr>
    </w:p>
    <w:p>
      <w:pPr>
        <w:jc w:val="both"/>
        <w:ind w:firstLine="757"/>
        <w:spacing w:after="0" w:line="246" w:lineRule="auto"/>
        <w:tabs>
          <w:tab w:leader="none" w:pos="1018"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Generally. </w:t>
      </w:r>
      <w:r>
        <w:rPr>
          <w:rFonts w:ascii="Times New Roman" w:cs="Times New Roman" w:eastAsia="Times New Roman" w:hAnsi="Times New Roman"/>
          <w:sz w:val="20"/>
          <w:szCs w:val="20"/>
          <w:color w:val="auto"/>
        </w:rPr>
        <w:t>Pursuant to the provisions of this Policy, if there is an Accounting Restatement, the Company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51"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206" w:lineRule="exact"/>
        <w:rPr>
          <w:rFonts w:ascii="Times New Roman" w:cs="Times New Roman" w:eastAsia="Times New Roman" w:hAnsi="Times New Roman"/>
          <w:sz w:val="20"/>
          <w:szCs w:val="20"/>
          <w:b w:val="1"/>
          <w:bCs w:val="1"/>
          <w:color w:val="auto"/>
        </w:rPr>
      </w:pPr>
    </w:p>
    <w:p>
      <w:pPr>
        <w:jc w:val="both"/>
        <w:ind w:left="760" w:firstLine="745"/>
        <w:spacing w:after="0" w:line="246" w:lineRule="auto"/>
        <w:tabs>
          <w:tab w:leader="none" w:pos="2048"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71"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43"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 shall, in its sole discretion, determine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73"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 agreement, applicable insurance policy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8" w:name="page189"/>
    <w:bookmarkEnd w:id="188"/>
    <w:p>
      <w:pPr>
        <w:jc w:val="both"/>
        <w:ind w:firstLine="757"/>
        <w:spacing w:after="0" w:line="247" w:lineRule="auto"/>
        <w:tabs>
          <w:tab w:leader="none" w:pos="1018" w:val="left"/>
        </w:tabs>
        <w:numPr>
          <w:ilvl w:val="1"/>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 members of the Board who assist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66"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1"/>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“Good Reason” for Covered Officers</w:t>
      </w:r>
      <w:r>
        <w:rPr>
          <w:rFonts w:ascii="Times New Roman" w:cs="Times New Roman" w:eastAsia="Times New Roman" w:hAnsi="Times New Roman"/>
          <w:sz w:val="20"/>
          <w:szCs w:val="20"/>
          <w:color w:val="auto"/>
        </w:rPr>
        <w:t>. Any action by the Company to recoup or any recoupment of Recoverable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48"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72" w:lineRule="exact"/>
        <w:rPr>
          <w:sz w:val="20"/>
          <w:szCs w:val="20"/>
          <w:color w:val="auto"/>
        </w:rPr>
      </w:pPr>
    </w:p>
    <w:p>
      <w:pPr>
        <w:ind w:left="520" w:hanging="512"/>
        <w:spacing w:after="0"/>
        <w:tabs>
          <w:tab w:leader="none" w:pos="520"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p>
    <w:p>
      <w:pPr>
        <w:spacing w:after="0" w:line="19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62" w:lineRule="exact"/>
        <w:rPr>
          <w:sz w:val="20"/>
          <w:szCs w:val="20"/>
          <w:color w:val="auto"/>
        </w:rPr>
      </w:pPr>
    </w:p>
    <w:p>
      <w:pPr>
        <w:ind w:left="520" w:hanging="512"/>
        <w:spacing w:after="0"/>
        <w:tabs>
          <w:tab w:leader="none" w:pos="520" w:val="left"/>
        </w:tabs>
        <w:numPr>
          <w:ilvl w:val="0"/>
          <w:numId w:val="1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mpairment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emedies</w:t>
      </w:r>
    </w:p>
    <w:p>
      <w:pPr>
        <w:spacing w:after="0" w:line="20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20"/>
          <w:szCs w:val="20"/>
          <w:b w:val="1"/>
          <w:bCs w:val="1"/>
          <w:color w:val="auto"/>
        </w:rPr>
        <w:t>SOX 304</w:t>
      </w:r>
      <w:r>
        <w:rPr>
          <w:rFonts w:ascii="Times New Roman" w:cs="Times New Roman" w:eastAsia="Times New Roman" w:hAnsi="Times New Roman"/>
          <w:sz w:val="20"/>
          <w:szCs w:val="20"/>
          <w:color w:val="auto"/>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9" w:name="page190"/>
    <w:bookmarkEnd w:id="189"/>
    <w:p>
      <w:pPr>
        <w:ind w:left="520" w:hanging="512"/>
        <w:spacing w:after="0"/>
        <w:tabs>
          <w:tab w:leader="none" w:pos="520"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ermination</w:t>
      </w:r>
    </w:p>
    <w:p>
      <w:pPr>
        <w:spacing w:after="0" w:line="20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28" w:lineRule="exact"/>
        <w:rPr>
          <w:sz w:val="20"/>
          <w:szCs w:val="20"/>
          <w:color w:val="auto"/>
        </w:rPr>
      </w:pPr>
    </w:p>
    <w:p>
      <w:pPr>
        <w:ind w:left="520" w:hanging="512"/>
        <w:spacing w:after="0"/>
        <w:tabs>
          <w:tab w:leader="none" w:pos="520" w:val="left"/>
        </w:tabs>
        <w:numPr>
          <w:ilvl w:val="0"/>
          <w:numId w:val="1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uccessors</w:t>
      </w:r>
    </w:p>
    <w:p>
      <w:pPr>
        <w:spacing w:after="0" w:line="20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42" w:lineRule="exact"/>
        <w:rPr>
          <w:sz w:val="20"/>
          <w:szCs w:val="20"/>
          <w:color w:val="auto"/>
        </w:rPr>
      </w:pPr>
    </w:p>
    <w:p>
      <w:pPr>
        <w:ind w:left="400" w:hanging="392"/>
        <w:spacing w:after="0"/>
        <w:tabs>
          <w:tab w:leader="none" w:pos="400"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equired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ilings</w:t>
      </w:r>
    </w:p>
    <w:p>
      <w:pPr>
        <w:spacing w:after="0" w:line="193"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The Company shall make any disclosures and filings with respect to this Policy that are required by law, including as required by the SEC.</w:t>
      </w:r>
    </w:p>
    <w:p>
      <w:pPr>
        <w:spacing w:after="0" w:line="146" w:lineRule="exact"/>
        <w:rPr>
          <w:sz w:val="20"/>
          <w:szCs w:val="20"/>
          <w:color w:val="auto"/>
        </w:rPr>
      </w:pPr>
    </w:p>
    <w:p>
      <w:pPr>
        <w:jc w:val="center"/>
        <w:spacing w:after="0"/>
        <w:tabs>
          <w:tab w:leader="none" w:pos="280" w:val="left"/>
          <w:tab w:leader="none" w:pos="280" w:val="left"/>
          <w:tab w:leader="none" w:pos="280" w:val="left"/>
          <w:tab w:leader="none" w:pos="28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ersonalis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orm of</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xecutive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cknowledgment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 the undersigned, agree and acknowledge that I am bound by, and subject to, the Personalis, Inc. Incentive Compensation Recoupment Policy,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In the event of any inconsistency between the Policy and the terms of any employment agreement, offer letter or other individual agreement with Personalis,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2514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-10795</wp:posOffset>
            </wp:positionV>
            <wp:extent cx="13652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9">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20320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0">
                      <a:extLst>
                        <a:ext uri="{28A0092B-C50C-407E-A947-70E740481C1C}"/>
                      </a:extLst>
                    </a:blip>
                    <a:srcRect/>
                    <a:stretch>
                      <a:fillRect/>
                    </a:stretch>
                  </pic:blipFill>
                  <pic:spPr bwMode="auto">
                    <a:xfrm>
                      <a:off x="0" y="0"/>
                      <a:ext cx="20320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-10795</wp:posOffset>
            </wp:positionV>
            <wp:extent cx="1987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2">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1" w:name="page192"/>
    <w:bookmarkEnd w:id="1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
      <w:numFmt w:val="bullet"/>
      <w:start w:val="1"/>
    </w:lvl>
  </w:abstractNum>
  <w:abstractNum w:abstractNumId="4">
    <w:nsid w:val="7F01579B"/>
    <w:multiLevelType w:val="hybridMultilevel"/>
    <w:lvl w:ilvl="0">
      <w:lvlJc w:val="left"/>
      <w:lvlText w:val="•"/>
      <w:numFmt w:val="bullet"/>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
      <w:numFmt w:val="bullet"/>
      <w:start w:val="1"/>
    </w:lvl>
  </w:abstractNum>
  <w:abstractNum w:abstractNumId="26">
    <w:nsid w:val="1FBFE8E0"/>
    <w:multiLevelType w:val="hybridMultilevel"/>
    <w:lvl w:ilvl="0">
      <w:lvlJc w:val="left"/>
      <w:lvlText w:val="•"/>
      <w:numFmt w:val="bullet"/>
      <w:start w:val="1"/>
    </w:lvl>
  </w:abstractNum>
  <w:abstractNum w:abstractNumId="27">
    <w:nsid w:val="5092CA79"/>
    <w:multiLevelType w:val="hybridMultilevel"/>
    <w:lvl w:ilvl="0">
      <w:lvlJc w:val="left"/>
      <w:lvlText w:val="•"/>
      <w:numFmt w:val="bullet"/>
      <w:start w:val="1"/>
    </w:lvl>
  </w:abstractNum>
  <w:abstractNum w:abstractNumId="28">
    <w:nsid w:val="1D545C4D"/>
    <w:multiLevelType w:val="hybridMultilevel"/>
    <w:lvl w:ilvl="0">
      <w:lvlJc w:val="left"/>
      <w:lvlText w:val="•"/>
      <w:numFmt w:val="bullet"/>
      <w:start w:val="1"/>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
      <w:numFmt w:val="bullet"/>
      <w:start w:val="1"/>
    </w:lvl>
  </w:abstractNum>
  <w:abstractNum w:abstractNumId="31">
    <w:nsid w:val="2A155DBC"/>
    <w:multiLevelType w:val="hybridMultilevel"/>
    <w:lvl w:ilvl="0">
      <w:lvlJc w:val="left"/>
      <w:lvlText w:val="•"/>
      <w:numFmt w:val="bullet"/>
      <w:start w:val="1"/>
    </w:lvl>
  </w:abstractNum>
  <w:abstractNum w:abstractNumId="32">
    <w:nsid w:val="1D9F6E5F"/>
    <w:multiLevelType w:val="hybridMultilevel"/>
    <w:lvl w:ilvl="0">
      <w:lvlJc w:val="left"/>
      <w:lvlText w:val="•"/>
      <w:numFmt w:val="bullet"/>
      <w:start w:val="1"/>
    </w:lvl>
  </w:abstractNum>
  <w:abstractNum w:abstractNumId="33">
    <w:nsid w:val="97E1B4E"/>
    <w:multiLevelType w:val="hybridMultilevel"/>
    <w:lvl w:ilvl="0">
      <w:lvlJc w:val="left"/>
      <w:lvlText w:val="(%1)"/>
      <w:numFmt w:val="lowerLetter"/>
      <w:start w:val="1"/>
    </w:lvl>
  </w:abstractNum>
  <w:abstractNum w:abstractNumId="34">
    <w:nsid w:val="51088277"/>
    <w:multiLevelType w:val="hybridMultilevel"/>
    <w:lvl w:ilvl="0">
      <w:lvlJc w:val="left"/>
      <w:lvlText w:val="#"/>
      <w:numFmt w:val="bullet"/>
      <w:start w:val="1"/>
    </w:lvl>
  </w:abstractNum>
  <w:abstractNum w:abstractNumId="35">
    <w:nsid w:val="1CA0C5FA"/>
    <w:multiLevelType w:val="hybridMultilevel"/>
    <w:lvl w:ilvl="0">
      <w:lvlJc w:val="left"/>
      <w:lvlText w:val="Ω"/>
      <w:numFmt w:val="bullet"/>
      <w:start w:val="1"/>
    </w:lvl>
  </w:abstractNum>
  <w:abstractNum w:abstractNumId="36">
    <w:nsid w:val="53584BCB"/>
    <w:multiLevelType w:val="hybridMultilevel"/>
    <w:lvl w:ilvl="0">
      <w:lvlJc w:val="left"/>
      <w:lvlText w:val="‡"/>
      <w:numFmt w:val="bullet"/>
      <w:start w:val="1"/>
    </w:lvl>
  </w:abstractNum>
  <w:abstractNum w:abstractNumId="37">
    <w:nsid w:val="415E286C"/>
    <w:multiLevelType w:val="hybridMultilevel"/>
    <w:lvl w:ilvl="0">
      <w:lvlJc w:val="left"/>
      <w:lvlText w:val="%1."/>
      <w:numFmt w:val="decimal"/>
      <w:start w:val="1"/>
    </w:lvl>
    <w:lvl w:ilvl="1">
      <w:lvlJc w:val="left"/>
      <w:lvlText w:val="(%2)"/>
      <w:numFmt w:val="lowerLetter"/>
      <w:start w:val="1"/>
    </w:lvl>
  </w:abstractNum>
  <w:abstractNum w:abstractNumId="38">
    <w:nsid w:val="7C58FD05"/>
    <w:multiLevelType w:val="hybridMultilevel"/>
    <w:lvl w:ilvl="0">
      <w:lvlJc w:val="left"/>
      <w:lvlText w:val="%1"/>
      <w:numFmt w:val="decimal"/>
      <w:start w:val="1"/>
    </w:lvl>
    <w:lvl w:ilvl="1">
      <w:lvlJc w:val="left"/>
      <w:lvlText w:val="(%2)"/>
      <w:numFmt w:val="lowerLetter"/>
      <w:start w:val="3"/>
    </w:lvl>
  </w:abstractNum>
  <w:abstractNum w:abstractNumId="39">
    <w:nsid w:val="23D86AAC"/>
    <w:multiLevelType w:val="hybridMultilevel"/>
    <w:lvl w:ilvl="0">
      <w:lvlJc w:val="left"/>
      <w:lvlText w:val="%1."/>
      <w:numFmt w:val="decimal"/>
      <w:start w:val="2"/>
    </w:lvl>
    <w:lvl w:ilvl="1">
      <w:lvlJc w:val="left"/>
      <w:lvlText w:val="(%2)"/>
      <w:numFmt w:val="lowerLetter"/>
      <w:start w:val="1"/>
    </w:lvl>
  </w:abstractNum>
  <w:abstractNum w:abstractNumId="40">
    <w:nsid w:val="45E6D486"/>
    <w:multiLevelType w:val="hybridMultilevel"/>
    <w:lvl w:ilvl="0">
      <w:lvlJc w:val="left"/>
      <w:lvlText w:val="(%1)"/>
      <w:numFmt w:val="lowerRoman"/>
      <w:start w:val="1"/>
    </w:lvl>
  </w:abstractNum>
  <w:abstractNum w:abstractNumId="41">
    <w:nsid w:val="5C10FE2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42">
    <w:nsid w:val="E7FFA2B"/>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9"/>
    </w:lvl>
  </w:abstractNum>
  <w:abstractNum w:abstractNumId="43">
    <w:nsid w:val="3C5991A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4">
    <w:nsid w:val="4BD8591A"/>
    <w:multiLevelType w:val="hybridMultilevel"/>
    <w:lvl w:ilvl="0">
      <w:lvlJc w:val="left"/>
      <w:lvlText w:val="(%1)"/>
      <w:numFmt w:val="lowerRoman"/>
      <w:start w:val="2"/>
    </w:lvl>
  </w:abstractNum>
  <w:abstractNum w:abstractNumId="45">
    <w:nsid w:val="78DF6A55"/>
    <w:multiLevelType w:val="hybridMultilevel"/>
    <w:lvl w:ilvl="0">
      <w:lvlJc w:val="left"/>
      <w:lvlText w:val="%1"/>
      <w:numFmt w:val="decimal"/>
      <w:start w:val="1"/>
    </w:lvl>
    <w:lvl w:ilvl="1">
      <w:lvlJc w:val="left"/>
      <w:lvlText w:val="(%2)"/>
      <w:numFmt w:val="lowerLetter"/>
      <w:start w:val="5"/>
    </w:lvl>
  </w:abstractNum>
  <w:abstractNum w:abstractNumId="46">
    <w:nsid w:val="39B7AAA2"/>
    <w:multiLevelType w:val="hybridMultilevel"/>
    <w:lvl w:ilvl="0">
      <w:lvlJc w:val="left"/>
      <w:lvlText w:val="%1."/>
      <w:numFmt w:val="decimal"/>
      <w:start w:val="3"/>
    </w:lvl>
    <w:lvl w:ilvl="1">
      <w:lvlJc w:val="left"/>
      <w:lvlText w:val="(%2)"/>
      <w:numFmt w:val="lowerLetter"/>
      <w:start w:val="1"/>
    </w:lvl>
  </w:abstractNum>
  <w:abstractNum w:abstractNumId="47">
    <w:nsid w:val="2B0D8DBE"/>
    <w:multiLevelType w:val="hybridMultilevel"/>
    <w:lvl w:ilvl="0">
      <w:lvlJc w:val="left"/>
      <w:lvlText w:val="%1"/>
      <w:numFmt w:val="decimal"/>
      <w:start w:val="1"/>
    </w:lvl>
    <w:lvl w:ilvl="1">
      <w:lvlJc w:val="left"/>
      <w:lvlText w:val="(%2)"/>
      <w:numFmt w:val="lowerLetter"/>
      <w:start w:val="3"/>
    </w:lvl>
  </w:abstractNum>
  <w:abstractNum w:abstractNumId="48">
    <w:nsid w:val="6C80EC70"/>
    <w:multiLevelType w:val="hybridMultilevel"/>
    <w:lvl w:ilvl="0">
      <w:lvlJc w:val="left"/>
      <w:lvlText w:val="%1."/>
      <w:numFmt w:val="decimal"/>
      <w:start w:val="4"/>
    </w:lvl>
    <w:lvl w:ilvl="1">
      <w:lvlJc w:val="left"/>
      <w:lvlText w:val="(%2)"/>
      <w:numFmt w:val="lowerLetter"/>
      <w:start w:val="1"/>
    </w:lvl>
  </w:abstractNum>
  <w:abstractNum w:abstractNumId="49">
    <w:nsid w:val="379E21B5"/>
    <w:multiLevelType w:val="hybridMultilevel"/>
    <w:lvl w:ilvl="0">
      <w:lvlJc w:val="left"/>
      <w:lvlText w:val="%1."/>
      <w:numFmt w:val="decimal"/>
      <w:start w:val="5"/>
    </w:lvl>
  </w:abstractNum>
  <w:abstractNum w:abstractNumId="50">
    <w:nsid w:val="69E373"/>
    <w:multiLevelType w:val="hybridMultilevel"/>
    <w:lvl w:ilvl="0">
      <w:lvlJc w:val="left"/>
      <w:lvlText w:val="(%1)"/>
      <w:numFmt w:val="lowerLetter"/>
      <w:start w:val="1"/>
    </w:lvl>
  </w:abstractNum>
  <w:abstractNum w:abstractNumId="51">
    <w:nsid w:val="2C27173B"/>
    <w:multiLevelType w:val="hybridMultilevel"/>
    <w:lvl w:ilvl="0">
      <w:lvlJc w:val="left"/>
      <w:lvlText w:val="(%1)"/>
      <w:numFmt w:val="lowerLetter"/>
      <w:start w:val="3"/>
    </w:lvl>
    <w:lvl w:ilvl="1">
      <w:lvlJc w:val="left"/>
      <w:lvlText w:val="(%2)"/>
      <w:numFmt w:val="lowerRoman"/>
      <w:start w:val="1"/>
    </w:lvl>
  </w:abstractNum>
  <w:abstractNum w:abstractNumId="52">
    <w:nsid w:val="4C9B0904"/>
    <w:multiLevelType w:val="hybridMultilevel"/>
    <w:lvl w:ilvl="0">
      <w:lvlJc w:val="left"/>
      <w:lvlText w:val="(%1)"/>
      <w:numFmt w:val="lowerLetter"/>
      <w:start w:val="5"/>
    </w:lvl>
    <w:lvl w:ilvl="1">
      <w:lvlJc w:val="left"/>
      <w:lvlText w:val="(%2)"/>
      <w:numFmt w:val="lowerRoman"/>
      <w:start w:val="1"/>
    </w:lvl>
  </w:abstractNum>
  <w:abstractNum w:abstractNumId="53">
    <w:nsid w:val="6AA7B75C"/>
    <w:multiLevelType w:val="hybridMultilevel"/>
    <w:lvl w:ilvl="0">
      <w:lvlJc w:val="left"/>
      <w:lvlText w:val="(%1)"/>
      <w:numFmt w:val="lowerLetter"/>
      <w:start w:val="9"/>
    </w:lvl>
  </w:abstractNum>
  <w:abstractNum w:abstractNumId="54">
    <w:nsid w:val="1DF029D3"/>
    <w:multiLevelType w:val="hybridMultilevel"/>
    <w:lvl w:ilvl="0">
      <w:lvlJc w:val="left"/>
      <w:lvlText w:val="(%1)"/>
      <w:numFmt w:val="lowerLetter"/>
      <w:start w:val="12"/>
    </w:lvl>
  </w:abstractNum>
  <w:abstractNum w:abstractNumId="55">
    <w:nsid w:val="5675FF3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6">
    <w:nsid w:val="3DD15094"/>
    <w:multiLevelType w:val="hybridMultilevel"/>
    <w:lvl w:ilvl="0">
      <w:lvlJc w:val="left"/>
      <w:lvlText w:val="(%1)"/>
      <w:numFmt w:val="lowerRoman"/>
      <w:start w:val="1"/>
    </w:lvl>
  </w:abstractNum>
  <w:abstractNum w:abstractNumId="57">
    <w:nsid w:val="3DB012B3"/>
    <w:multiLevelType w:val="hybridMultilevel"/>
    <w:lvl w:ilvl="0">
      <w:lvlJc w:val="left"/>
      <w:lvlText w:val="%1"/>
      <w:numFmt w:val="lowerLetter"/>
      <w:start w:val="1"/>
    </w:lvl>
    <w:lvl w:ilvl="1">
      <w:lvlJc w:val="left"/>
      <w:lvlText w:val="(%2)"/>
      <w:numFmt w:val="lowerRoman"/>
      <w:start w:val="3"/>
    </w:lvl>
  </w:abstractNum>
  <w:abstractNum w:abstractNumId="58">
    <w:nsid w:val="2708C9AF"/>
    <w:multiLevelType w:val="hybridMultilevel"/>
    <w:lvl w:ilvl="0">
      <w:lvlJc w:val="left"/>
      <w:lvlText w:val="(%1)"/>
      <w:numFmt w:val="lowerLetter"/>
      <w:start w:val="3"/>
    </w:lvl>
    <w:lvl w:ilvl="1">
      <w:lvlJc w:val="left"/>
      <w:lvlText w:val="(%2)"/>
      <w:numFmt w:val="lowerRoman"/>
      <w:start w:val="1"/>
    </w:lvl>
  </w:abstractNum>
  <w:abstractNum w:abstractNumId="59">
    <w:nsid w:val="5B25ACE2"/>
    <w:multiLevelType w:val="hybridMultilevel"/>
    <w:lvl w:ilvl="0">
      <w:lvlJc w:val="left"/>
      <w:lvlText w:val="%1."/>
      <w:numFmt w:val="decimal"/>
      <w:start w:val="7"/>
    </w:lvl>
    <w:lvl w:ilvl="1">
      <w:lvlJc w:val="left"/>
      <w:lvlText w:val="(%2)"/>
      <w:numFmt w:val="lowerLetter"/>
      <w:start w:val="1"/>
    </w:lvl>
  </w:abstractNum>
  <w:abstractNum w:abstractNumId="60">
    <w:nsid w:val="175DFCF0"/>
    <w:multiLevelType w:val="hybridMultilevel"/>
    <w:lvl w:ilvl="0">
      <w:lvlJc w:val="left"/>
      <w:lvlText w:val="%1"/>
      <w:numFmt w:val="decimal"/>
      <w:start w:val="1"/>
    </w:lvl>
    <w:lvl w:ilvl="1">
      <w:lvlJc w:val="left"/>
      <w:lvlText w:val="(%2)"/>
      <w:numFmt w:val="lowerLetter"/>
      <w:start w:val="3"/>
    </w:lvl>
  </w:abstractNum>
  <w:abstractNum w:abstractNumId="61">
    <w:nsid w:val="4F97E3E4"/>
    <w:multiLevelType w:val="hybridMultilevel"/>
    <w:lvl w:ilvl="0">
      <w:lvlJc w:val="left"/>
      <w:lvlText w:val="%1."/>
      <w:numFmt w:val="decimal"/>
      <w:start w:val="8"/>
    </w:lvl>
    <w:lvl w:ilvl="1">
      <w:lvlJc w:val="left"/>
      <w:lvlText w:val="(%2)"/>
      <w:numFmt w:val="lowerLetter"/>
      <w:start w:val="1"/>
    </w:lvl>
  </w:abstractNum>
  <w:abstractNum w:abstractNumId="62">
    <w:nsid w:val="53B0A9E"/>
    <w:multiLevelType w:val="hybridMultilevel"/>
    <w:lvl w:ilvl="0">
      <w:lvlJc w:val="left"/>
      <w:lvlText w:val="(%1)"/>
      <w:numFmt w:val="lowerLetter"/>
      <w:start w:val="3"/>
    </w:lvl>
  </w:abstractNum>
  <w:abstractNum w:abstractNumId="63">
    <w:nsid w:val="34FD6B4F"/>
    <w:multiLevelType w:val="hybridMultilevel"/>
    <w:lvl w:ilvl="0">
      <w:lvlJc w:val="left"/>
      <w:lvlText w:val="(%1)"/>
      <w:numFmt w:val="lowerLetter"/>
      <w:start w:val="5"/>
    </w:lvl>
  </w:abstractNum>
  <w:abstractNum w:abstractNumId="64">
    <w:nsid w:val="5915FF32"/>
    <w:multiLevelType w:val="hybridMultilevel"/>
    <w:lvl w:ilvl="0">
      <w:lvlJc w:val="left"/>
      <w:lvlText w:val="%1"/>
      <w:numFmt w:val="upperLetter"/>
      <w:start w:val="1"/>
    </w:lvl>
    <w:lvl w:ilvl="1">
      <w:lvlJc w:val="left"/>
      <w:lvlText w:val="(%2)"/>
      <w:numFmt w:val="lowerLetter"/>
      <w:start w:val="6"/>
    </w:lvl>
  </w:abstractNum>
  <w:abstractNum w:abstractNumId="65">
    <w:nsid w:val="56438D15"/>
    <w:multiLevelType w:val="hybridMultilevel"/>
    <w:lvl w:ilvl="0">
      <w:lvlJc w:val="left"/>
      <w:lvlText w:val="(%1)"/>
      <w:numFmt w:val="upperLetter"/>
      <w:start w:val="1"/>
    </w:lvl>
    <w:lvl w:ilvl="1">
      <w:lvlJc w:val="left"/>
      <w:lvlText w:val="(%2)"/>
      <w:numFmt w:val="lowerLetter"/>
      <w:start w:val="7"/>
    </w:lvl>
  </w:abstractNum>
  <w:abstractNum w:abstractNumId="66">
    <w:nsid w:val="519E3149"/>
    <w:multiLevelType w:val="hybridMultilevel"/>
    <w:lvl w:ilvl="0">
      <w:lvlJc w:val="left"/>
      <w:lvlText w:val="(%1)"/>
      <w:numFmt w:val="lowerLetter"/>
      <w:start w:val="9"/>
    </w:lvl>
  </w:abstractNum>
  <w:abstractNum w:abstractNumId="67">
    <w:nsid w:val="2C6E4AFD"/>
    <w:multiLevelType w:val="hybridMultilevel"/>
    <w:lvl w:ilvl="0">
      <w:lvlJc w:val="left"/>
      <w:lvlText w:val="%1."/>
      <w:numFmt w:val="decimal"/>
      <w:start w:val="9"/>
    </w:lvl>
    <w:lvl w:ilvl="1">
      <w:lvlJc w:val="left"/>
      <w:lvlText w:val="(%2)"/>
      <w:numFmt w:val="lowerLetter"/>
      <w:start w:val="1"/>
    </w:lvl>
  </w:abstractNum>
  <w:abstractNum w:abstractNumId="68">
    <w:nsid w:val="17A1B582"/>
    <w:multiLevelType w:val="hybridMultilevel"/>
    <w:lvl w:ilvl="0">
      <w:lvlJc w:val="left"/>
      <w:lvlText w:val="(%1)"/>
      <w:numFmt w:val="lowerLetter"/>
      <w:start w:val="3"/>
    </w:lvl>
    <w:lvl w:ilvl="1">
      <w:lvlJc w:val="left"/>
      <w:lvlText w:val="(%2)"/>
      <w:numFmt w:val="lowerRoman"/>
      <w:start w:val="1"/>
    </w:lvl>
  </w:abstractNum>
  <w:abstractNum w:abstractNumId="69">
    <w:nsid w:val="4DF72E4E"/>
    <w:multiLevelType w:val="hybridMultilevel"/>
    <w:lvl w:ilvl="0">
      <w:lvlJc w:val="left"/>
      <w:lvlText w:val="%1"/>
      <w:numFmt w:val="upperLetter"/>
      <w:start w:val="1"/>
    </w:lvl>
    <w:lvl w:ilvl="1">
      <w:lvlJc w:val="left"/>
      <w:lvlText w:val="(%2)"/>
      <w:numFmt w:val="lowerRoman"/>
      <w:start w:val="4"/>
    </w:lvl>
  </w:abstractNum>
  <w:abstractNum w:abstractNumId="70">
    <w:nsid w:val="5046B5A9"/>
    <w:multiLevelType w:val="hybridMultilevel"/>
    <w:lvl w:ilvl="0">
      <w:lvlJc w:val="left"/>
      <w:lvlText w:val="(%1)"/>
      <w:numFmt w:val="upperLetter"/>
      <w:start w:val="2"/>
    </w:lvl>
    <w:lvl w:ilvl="1">
      <w:lvlJc w:val="left"/>
      <w:lvlText w:val="%2"/>
      <w:numFmt w:val="lowerRoman"/>
      <w:start w:val="1"/>
    </w:lvl>
  </w:abstractNum>
  <w:abstractNum w:abstractNumId="71">
    <w:nsid w:val="5D888A08"/>
    <w:multiLevelType w:val="hybridMultilevel"/>
    <w:lvl w:ilvl="0">
      <w:lvlJc w:val="left"/>
      <w:lvlText w:val="%1."/>
      <w:numFmt w:val="decimal"/>
      <w:start w:val="10"/>
    </w:lvl>
  </w:abstractNum>
  <w:abstractNum w:abstractNumId="72">
    <w:nsid w:val="2A082C70"/>
    <w:multiLevelType w:val="hybridMultilevel"/>
    <w:lvl w:ilvl="0">
      <w:lvlJc w:val="left"/>
      <w:lvlText w:val="%1."/>
      <w:numFmt w:val="decimal"/>
      <w:start w:val="11"/>
    </w:lvl>
  </w:abstractNum>
  <w:abstractNum w:abstractNumId="73">
    <w:nsid w:val="5EC6AFD4"/>
    <w:multiLevelType w:val="hybridMultilevel"/>
    <w:lvl w:ilvl="0">
      <w:lvlJc w:val="left"/>
      <w:lvlText w:val="%1."/>
      <w:numFmt w:val="decimal"/>
      <w:start w:val="12"/>
    </w:lvl>
  </w:abstractNum>
  <w:abstractNum w:abstractNumId="74">
    <w:nsid w:val="19E21BB2"/>
    <w:multiLevelType w:val="hybridMultilevel"/>
    <w:lvl w:ilvl="0">
      <w:lvlJc w:val="left"/>
      <w:lvlText w:val="%1."/>
      <w:numFmt w:val="decimal"/>
      <w:start w:val="13"/>
    </w:lvl>
    <w:lvl w:ilvl="1">
      <w:lvlJc w:val="left"/>
      <w:lvlText w:val="(%2)"/>
      <w:numFmt w:val="lowerLetter"/>
      <w:start w:val="1"/>
    </w:lvl>
  </w:abstractNum>
  <w:abstractNum w:abstractNumId="75">
    <w:nsid w:val="75E0858A"/>
    <w:multiLevelType w:val="hybridMultilevel"/>
    <w:lvl w:ilvl="0">
      <w:lvlJc w:val="left"/>
      <w:lvlText w:val="%1"/>
      <w:numFmt w:val="decimal"/>
      <w:start w:val="405"/>
    </w:lvl>
    <w:lvl w:ilvl="1">
      <w:lvlJc w:val="left"/>
      <w:lvlText w:val="%2"/>
      <w:numFmt w:val="lowerLetter"/>
      <w:start w:val="1"/>
    </w:lvl>
  </w:abstractNum>
  <w:abstractNum w:abstractNumId="76">
    <w:nsid w:val="57A61A29"/>
    <w:multiLevelType w:val="hybridMultilevel"/>
    <w:lvl w:ilvl="0">
      <w:lvlJc w:val="left"/>
      <w:lvlText w:val="(%1)"/>
      <w:numFmt w:val="lowerLetter"/>
      <w:start w:val="3"/>
    </w:lvl>
  </w:abstractNum>
  <w:abstractNum w:abstractNumId="77">
    <w:nsid w:val="5399C654"/>
    <w:multiLevelType w:val="hybridMultilevel"/>
    <w:lvl w:ilvl="0">
      <w:lvlJc w:val="left"/>
      <w:lvlText w:val="(%1)"/>
      <w:numFmt w:val="lowerLetter"/>
      <w:start w:val="5"/>
    </w:lvl>
    <w:lvl w:ilvl="1">
      <w:lvlJc w:val="left"/>
      <w:lvlText w:val="(%2)"/>
      <w:numFmt w:val="lowerRoman"/>
      <w:start w:val="1"/>
    </w:lvl>
  </w:abstractNum>
  <w:abstractNum w:abstractNumId="78">
    <w:nsid w:val="20EE1348"/>
    <w:multiLevelType w:val="hybridMultilevel"/>
    <w:lvl w:ilvl="0">
      <w:lvlJc w:val="left"/>
      <w:lvlText w:val="(%1)"/>
      <w:numFmt w:val="lowerRoman"/>
      <w:start w:val="3"/>
    </w:lvl>
  </w:abstractNum>
  <w:abstractNum w:abstractNumId="79">
    <w:nsid w:val="4427069A"/>
    <w:multiLevelType w:val="hybridMultilevel"/>
    <w:lvl w:ilvl="0">
      <w:lvlJc w:val="left"/>
      <w:lvlText w:val="(%1)"/>
      <w:numFmt w:val="lowerLetter"/>
      <w:start w:val="9"/>
    </w:lvl>
  </w:abstractNum>
  <w:abstractNum w:abstractNumId="80">
    <w:nsid w:val="B37E80A"/>
    <w:multiLevelType w:val="hybridMultilevel"/>
    <w:lvl w:ilvl="0">
      <w:lvlJc w:val="left"/>
      <w:lvlText w:val="(%1)"/>
      <w:numFmt w:val="lowerLetter"/>
      <w:start w:val="12"/>
    </w:lvl>
  </w:abstractNum>
  <w:abstractNum w:abstractNumId="81">
    <w:nsid w:val="2157F6BC"/>
    <w:multiLevelType w:val="hybridMultilevel"/>
    <w:lvl w:ilvl="0">
      <w:lvlJc w:val="left"/>
      <w:lvlText w:val="(%1)"/>
      <w:numFmt w:val="lowerRoman"/>
      <w:start w:val="1"/>
    </w:lvl>
  </w:abstractNum>
  <w:abstractNum w:abstractNumId="82">
    <w:nsid w:val="704E1DD5"/>
    <w:multiLevelType w:val="hybridMultilevel"/>
    <w:lvl w:ilvl="0">
      <w:lvlJc w:val="left"/>
      <w:lvlText w:val="(%1)"/>
      <w:numFmt w:val="lowerLetter"/>
      <w:start w:val="15"/>
    </w:lvl>
  </w:abstractNum>
  <w:abstractNum w:abstractNumId="83">
    <w:nsid w:val="57D2F10E"/>
    <w:multiLevelType w:val="hybridMultilevel"/>
    <w:lvl w:ilvl="0">
      <w:lvlJc w:val="left"/>
      <w:lvlText w:val="(%1)"/>
      <w:numFmt w:val="lowerLetter"/>
      <w:start w:val="18"/>
    </w:lvl>
  </w:abstractNum>
  <w:abstractNum w:abstractNumId="84">
    <w:nsid w:val="BFFAE18"/>
    <w:multiLevelType w:val="hybridMultilevel"/>
    <w:lvl w:ilvl="0">
      <w:lvlJc w:val="left"/>
      <w:lvlText w:val="(%1)"/>
      <w:numFmt w:val="lowerRoman"/>
      <w:start w:val="5"/>
    </w:lvl>
  </w:abstractNum>
  <w:abstractNum w:abstractNumId="85">
    <w:nsid w:val="E3E47A8"/>
    <w:multiLevelType w:val="hybridMultilevel"/>
    <w:lvl w:ilvl="0">
      <w:lvlJc w:val="left"/>
      <w:lvlText w:val="%1"/>
      <w:numFmt w:val="lowerLetter"/>
      <w:start w:val="1"/>
    </w:lvl>
    <w:lvl w:ilvl="1">
      <w:lvlJc w:val="left"/>
      <w:lvlText w:val="(%2)"/>
      <w:numFmt w:val="lowerRoman"/>
      <w:start w:val="1"/>
    </w:lvl>
  </w:abstractNum>
  <w:abstractNum w:abstractNumId="86">
    <w:nsid w:val="2E48F044"/>
    <w:multiLevelType w:val="hybridMultilevel"/>
    <w:lvl w:ilvl="0">
      <w:lvlJc w:val="left"/>
      <w:lvlText w:val="(%1)"/>
      <w:numFmt w:val="lowerLetter"/>
      <w:start w:val="24"/>
    </w:lvl>
    <w:lvl w:ilvl="1">
      <w:lvlJc w:val="left"/>
      <w:lvlText w:val="%2"/>
      <w:numFmt w:val="lowerRoman"/>
      <w:start w:val="1"/>
    </w:lvl>
  </w:abstractNum>
  <w:abstractNum w:abstractNumId="87">
    <w:nsid w:val="49D0FEAC"/>
    <w:multiLevelType w:val="hybridMultilevel"/>
    <w:lvl w:ilvl="0">
      <w:lvlJc w:val="left"/>
      <w:lvlText w:val="(%1)"/>
      <w:numFmt w:val="lowerRoman"/>
      <w:start w:val="16"/>
    </w:lvl>
  </w:abstractNum>
  <w:abstractNum w:abstractNumId="88">
    <w:nsid w:val="4BEE5A5B"/>
    <w:multiLevelType w:val="hybridMultilevel"/>
    <w:lvl w:ilvl="0">
      <w:lvlJc w:val="left"/>
      <w:lvlText w:val="(%1)"/>
      <w:numFmt w:val="lowerLetter"/>
      <w:start w:val="39"/>
    </w:lvl>
  </w:abstractNum>
  <w:abstractNum w:abstractNumId="89">
    <w:nsid w:val="5551B9F3"/>
    <w:multiLevelType w:val="hybridMultilevel"/>
    <w:lvl w:ilvl="0">
      <w:lvlJc w:val="left"/>
      <w:lvlText w:val="(%1)"/>
      <w:numFmt w:val="lowerLetter"/>
      <w:start w:val="42"/>
    </w:lvl>
  </w:abstractNum>
  <w:abstractNum w:abstractNumId="90">
    <w:nsid w:val="24F6AB8E"/>
    <w:multiLevelType w:val="hybridMultilevel"/>
    <w:lvl w:ilvl="0">
      <w:lvlJc w:val="left"/>
      <w:lvlText w:val="(%1)"/>
      <w:numFmt w:val="lowerLetter"/>
      <w:start w:val="48"/>
    </w:lvl>
  </w:abstractNum>
  <w:abstractNum w:abstractNumId="91">
    <w:nsid w:val="634C574C"/>
    <w:multiLevelType w:val="hybridMultilevel"/>
    <w:lvl w:ilvl="0">
      <w:lvlJc w:val="left"/>
      <w:lvlText w:val="%1."/>
      <w:numFmt w:val="decimal"/>
      <w:start w:val="1"/>
    </w:lvl>
  </w:abstractNum>
  <w:abstractNum w:abstractNumId="92">
    <w:nsid w:val="24E99DD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3">
    <w:nsid w:val="2A31B62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4">
    <w:nsid w:val="1849C29B"/>
    <w:multiLevelType w:val="hybridMultilevel"/>
    <w:lvl w:ilvl="0">
      <w:lvlJc w:val="left"/>
      <w:lvlText w:val="(%1)"/>
      <w:numFmt w:val="lowerLetter"/>
      <w:start w:val="3"/>
    </w:lvl>
  </w:abstractNum>
  <w:abstractNum w:abstractNumId="95">
    <w:nsid w:val="7DFF9D09"/>
    <w:multiLevelType w:val="hybridMultilevel"/>
    <w:lvl w:ilvl="0">
      <w:lvlJc w:val="left"/>
      <w:lvlText w:val="%1."/>
      <w:numFmt w:val="decimal"/>
      <w:start w:val="7"/>
    </w:lvl>
  </w:abstractNum>
  <w:abstractNum w:abstractNumId="96">
    <w:nsid w:val="754342"/>
    <w:multiLevelType w:val="hybridMultilevel"/>
    <w:lvl w:ilvl="0">
      <w:lvlJc w:val="left"/>
      <w:lvlText w:val="(%1)"/>
      <w:numFmt w:val="lowerLetter"/>
      <w:start w:val="1"/>
    </w:lvl>
  </w:abstractNum>
  <w:abstractNum w:abstractNumId="97">
    <w:nsid w:val="69E7F3E5"/>
    <w:multiLevelType w:val="hybridMultilevel"/>
    <w:lvl w:ilvl="0">
      <w:lvlJc w:val="left"/>
      <w:lvlText w:val="(%1)"/>
      <w:numFmt w:val="lowerLetter"/>
      <w:start w:val="1"/>
    </w:lvl>
  </w:abstractNum>
  <w:abstractNum w:abstractNumId="98">
    <w:nsid w:val="2A6DE806"/>
    <w:multiLevelType w:val="hybridMultilevel"/>
    <w:lvl w:ilvl="0">
      <w:lvlJc w:val="left"/>
      <w:lvlText w:val="(%1)"/>
      <w:numFmt w:val="lowerLetter"/>
      <w:start w:val="61"/>
    </w:lvl>
    <w:lvl w:ilvl="1">
      <w:lvlJc w:val="left"/>
      <w:lvlText w:val="(%2)"/>
      <w:numFmt w:val="lowerLetter"/>
      <w:start w:val="3"/>
    </w:lvl>
  </w:abstractNum>
  <w:abstractNum w:abstractNumId="99">
    <w:nsid w:val="1816F8C4"/>
    <w:multiLevelType w:val="hybridMultilevel"/>
    <w:lvl w:ilvl="0">
      <w:lvlJc w:val="left"/>
      <w:lvlText w:val="(%1)"/>
      <w:numFmt w:val="lowerLetter"/>
      <w:start w:val="1"/>
    </w:lvl>
  </w:abstractNum>
  <w:abstractNum w:abstractNumId="100">
    <w:nsid w:val="37DF2233"/>
    <w:multiLevelType w:val="hybridMultilevel"/>
    <w:lvl w:ilvl="0">
      <w:lvlJc w:val="left"/>
      <w:lvlText w:val="(%1)"/>
      <w:numFmt w:val="lowerLetter"/>
      <w:start w:val="2"/>
    </w:lvl>
  </w:abstractNum>
  <w:abstractNum w:abstractNumId="101">
    <w:nsid w:val="7AB49DAF"/>
    <w:multiLevelType w:val="hybridMultilevel"/>
    <w:lvl w:ilvl="0">
      <w:lvlJc w:val="left"/>
      <w:lvlText w:val=""/>
      <w:numFmt w:val="bullet"/>
      <w:start w:val="1"/>
    </w:lvl>
  </w:abstractNum>
  <w:abstractNum w:abstractNumId="102">
    <w:nsid w:val="759F82CD"/>
    <w:multiLevelType w:val="hybridMultilevel"/>
    <w:lvl w:ilvl="0">
      <w:lvlJc w:val="left"/>
      <w:lvlText w:val="%1."/>
      <w:numFmt w:val="decimal"/>
      <w:start w:val="1"/>
    </w:lvl>
  </w:abstractNum>
  <w:abstractNum w:abstractNumId="103">
    <w:nsid w:val="61E74EA3"/>
    <w:multiLevelType w:val="hybridMultilevel"/>
    <w:lvl w:ilvl="0">
      <w:lvlJc w:val="left"/>
      <w:lvlText w:val="%1."/>
      <w:numFmt w:val="decimal"/>
      <w:start w:val="4"/>
    </w:lvl>
    <w:lvl w:ilvl="1">
      <w:lvlJc w:val="left"/>
      <w:lvlText w:val="(%2)"/>
      <w:numFmt w:val="lowerLetter"/>
      <w:start w:val="1"/>
    </w:lvl>
  </w:abstractNum>
  <w:abstractNum w:abstractNumId="104">
    <w:nsid w:val="597B4D84"/>
    <w:multiLevelType w:val="hybridMultilevel"/>
    <w:lvl w:ilvl="0">
      <w:lvlJc w:val="left"/>
      <w:lvlText w:val="%1"/>
      <w:numFmt w:val="decimal"/>
      <w:start w:val="1"/>
    </w:lvl>
    <w:lvl w:ilvl="1">
      <w:lvlJc w:val="left"/>
      <w:lvlText w:val="(%2)"/>
      <w:numFmt w:val="lowerLetter"/>
      <w:start w:val="3"/>
    </w:lvl>
  </w:abstractNum>
  <w:abstractNum w:abstractNumId="105">
    <w:nsid w:val="F819E7F"/>
    <w:multiLevelType w:val="hybridMultilevel"/>
    <w:lvl w:ilvl="0">
      <w:lvlJc w:val="left"/>
      <w:lvlText w:val="%1."/>
      <w:numFmt w:val="decimal"/>
      <w:start w:val="8"/>
    </w:lvl>
    <w:lvl w:ilvl="1">
      <w:lvlJc w:val="left"/>
      <w:lvlText w:val="(%2)"/>
      <w:numFmt w:val="lowerLetter"/>
      <w:start w:val="1"/>
    </w:lvl>
  </w:abstractNum>
  <w:abstractNum w:abstractNumId="106">
    <w:nsid w:val="57C7D42D"/>
    <w:multiLevelType w:val="hybridMultilevel"/>
    <w:lvl w:ilvl="0">
      <w:lvlJc w:val="left"/>
      <w:lvlText w:val="(%1)"/>
      <w:numFmt w:val="lowerLetter"/>
      <w:start w:val="1"/>
    </w:lvl>
  </w:abstractNum>
  <w:abstractNum w:abstractNumId="107">
    <w:nsid w:val="312167AD"/>
    <w:multiLevelType w:val="hybridMultilevel"/>
    <w:lvl w:ilvl="0">
      <w:lvlJc w:val="left"/>
      <w:lvlText w:val="(%1)"/>
      <w:numFmt w:val="lowerLetter"/>
      <w:start w:val="1"/>
    </w:lvl>
  </w:abstractNum>
  <w:abstractNum w:abstractNumId="108">
    <w:nsid w:val="631B64D4"/>
    <w:multiLevelType w:val="hybridMultilevel"/>
    <w:lvl w:ilvl="0">
      <w:lvlJc w:val="left"/>
      <w:lvlText w:val="(%1)"/>
      <w:numFmt w:val="lowerLetter"/>
      <w:start w:val="1"/>
    </w:lvl>
  </w:abstractNum>
  <w:abstractNum w:abstractNumId="109">
    <w:nsid w:val="78B5E776"/>
    <w:multiLevelType w:val="hybridMultilevel"/>
    <w:lvl w:ilvl="0">
      <w:lvlJc w:val="left"/>
      <w:lvlText w:val="%1."/>
      <w:numFmt w:val="decimal"/>
      <w:start w:val="2"/>
    </w:lvl>
    <w:lvl w:ilvl="1">
      <w:lvlJc w:val="left"/>
      <w:lvlText w:val="(%2)"/>
      <w:numFmt w:val="lowerLetter"/>
      <w:start w:val="1"/>
    </w:lvl>
  </w:abstractNum>
  <w:abstractNum w:abstractNumId="110">
    <w:nsid w:val="75486E47"/>
    <w:multiLevelType w:val="hybridMultilevel"/>
    <w:lvl w:ilvl="0">
      <w:lvlJc w:val="left"/>
      <w:lvlText w:val="(%1)"/>
      <w:numFmt w:val="lowerLetter"/>
      <w:start w:val="2"/>
    </w:lvl>
  </w:abstractNum>
  <w:abstractNum w:abstractNumId="111">
    <w:nsid w:val="6E534CDE"/>
    <w:multiLevelType w:val="hybridMultilevel"/>
    <w:lvl w:ilvl="0">
      <w:lvlJc w:val="left"/>
      <w:lvlText w:val="%1."/>
      <w:numFmt w:val="decimal"/>
      <w:start w:val="3"/>
    </w:lvl>
    <w:lvl w:ilvl="1">
      <w:lvlJc w:val="left"/>
      <w:lvlText w:val="(%2)"/>
      <w:numFmt w:val="lowerLetter"/>
      <w:start w:val="1"/>
    </w:lvl>
  </w:abstractNum>
  <w:abstractNum w:abstractNumId="112">
    <w:nsid w:val="1A0DDE32"/>
    <w:multiLevelType w:val="hybridMultilevel"/>
    <w:lvl w:ilvl="0">
      <w:lvlJc w:val="left"/>
      <w:lvlText w:val="%1"/>
      <w:numFmt w:val="decimal"/>
      <w:start w:val="1"/>
    </w:lvl>
    <w:lvl w:ilvl="1">
      <w:lvlJc w:val="left"/>
      <w:lvlText w:val="(%2)"/>
      <w:numFmt w:val="lowerLetter"/>
      <w:start w:val="4"/>
    </w:lvl>
  </w:abstractNum>
  <w:abstractNum w:abstractNumId="113">
    <w:nsid w:val="65968C1C"/>
    <w:multiLevelType w:val="hybridMultilevel"/>
    <w:lvl w:ilvl="0">
      <w:lvlJc w:val="left"/>
      <w:lvlText w:val="%1."/>
      <w:numFmt w:val="decimal"/>
      <w:start w:val="4"/>
    </w:lvl>
    <w:lvl w:ilvl="1">
      <w:lvlJc w:val="left"/>
      <w:lvlText w:val="(%2)"/>
      <w:numFmt w:val="lowerLetter"/>
      <w:start w:val="1"/>
    </w:lvl>
  </w:abstractNum>
  <w:abstractNum w:abstractNumId="114">
    <w:nsid w:val="46263DEC"/>
    <w:multiLevelType w:val="hybridMultilevel"/>
    <w:lvl w:ilvl="0">
      <w:lvlJc w:val="left"/>
      <w:lvlText w:val="%1"/>
      <w:numFmt w:val="decimal"/>
      <w:start w:val="1"/>
    </w:lvl>
    <w:lvl w:ilvl="1">
      <w:lvlJc w:val="left"/>
      <w:lvlText w:val="(%2)"/>
      <w:numFmt w:val="lowerLetter"/>
      <w:start w:val="3"/>
    </w:lvl>
  </w:abstractNum>
  <w:abstractNum w:abstractNumId="115">
    <w:nsid w:val="260D8C4A"/>
    <w:multiLevelType w:val="hybridMultilevel"/>
    <w:lvl w:ilvl="0">
      <w:lvlJc w:val="left"/>
      <w:lvlText w:val="%1."/>
      <w:numFmt w:val="decimal"/>
      <w:start w:val="5"/>
    </w:lvl>
    <w:lvl w:ilvl="1">
      <w:lvlJc w:val="left"/>
      <w:lvlText w:val="(%2)"/>
      <w:numFmt w:val="lowerLetter"/>
      <w:start w:val="1"/>
    </w:lvl>
  </w:abstractNum>
  <w:abstractNum w:abstractNumId="116">
    <w:nsid w:val="73D4D3C4"/>
    <w:multiLevelType w:val="hybridMultilevel"/>
    <w:lvl w:ilvl="0">
      <w:lvlJc w:val="left"/>
      <w:lvlText w:val="(%1)"/>
      <w:numFmt w:val="lowerLetter"/>
      <w:start w:val="2"/>
    </w:lvl>
  </w:abstractNum>
  <w:abstractNum w:abstractNumId="117">
    <w:nsid w:val="746F2E30"/>
    <w:multiLevelType w:val="hybridMultilevel"/>
    <w:lvl w:ilvl="0">
      <w:lvlJc w:val="left"/>
      <w:lvlText w:val="%1."/>
      <w:numFmt w:val="decimal"/>
      <w:start w:val="7"/>
    </w:lvl>
  </w:abstractNum>
  <w:abstractNum w:abstractNumId="118">
    <w:nsid w:val="6FDE8AF6"/>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abstractNum>
  <w:abstractNum w:abstractNumId="119">
    <w:nsid w:val="3FC32E20"/>
    <w:multiLevelType w:val="hybridMultilevel"/>
    <w:lvl w:ilvl="0">
      <w:lvlJc w:val="left"/>
      <w:lvlText w:val="(%1)"/>
      <w:numFmt w:val="lowerLetter"/>
      <w:start w:val="3"/>
    </w:lvl>
  </w:abstractNum>
  <w:abstractNum w:abstractNumId="120">
    <w:nsid w:val="49C0E823"/>
    <w:multiLevelType w:val="hybridMultilevel"/>
    <w:lvl w:ilvl="0">
      <w:lvlJc w:val="left"/>
      <w:lvlText w:val="%1."/>
      <w:numFmt w:val="upperLetter"/>
      <w:start w:val="1"/>
    </w:lvl>
  </w:abstractNum>
  <w:abstractNum w:abstractNumId="121">
    <w:nsid w:val="14D53685"/>
    <w:multiLevelType w:val="hybridMultilevel"/>
    <w:lvl w:ilvl="0">
      <w:lvlJc w:val="left"/>
      <w:lvlText w:val="%1."/>
      <w:numFmt w:val="decimal"/>
      <w:start w:val="1"/>
    </w:lvl>
    <w:lvl w:ilvl="1">
      <w:lvlJc w:val="left"/>
      <w:lvlText w:val="(%2)"/>
      <w:numFmt w:val="lowerLetter"/>
      <w:start w:val="1"/>
    </w:lvl>
  </w:abstractNum>
  <w:abstractNum w:abstractNumId="122">
    <w:nsid w:val="230F856C"/>
    <w:multiLevelType w:val="hybridMultilevel"/>
    <w:lvl w:ilvl="0">
      <w:lvlJc w:val="left"/>
      <w:lvlText w:val="(%1)"/>
      <w:numFmt w:val="lowerRoman"/>
      <w:start w:val="1"/>
    </w:lvl>
  </w:abstractNum>
  <w:abstractNum w:abstractNumId="123">
    <w:nsid w:val="6EAA85FB"/>
    <w:multiLevelType w:val="hybridMultilevel"/>
    <w:lvl w:ilvl="0">
      <w:lvlJc w:val="left"/>
      <w:lvlText w:val="(%1)"/>
      <w:numFmt w:val="lowerLetter"/>
      <w:start w:val="2"/>
    </w:lvl>
  </w:abstractNum>
  <w:abstractNum w:abstractNumId="124">
    <w:nsid w:val="3F06E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5">
    <w:nsid w:val="3B59480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6">
    <w:nsid w:val="6CAA2304"/>
    <w:multiLevelType w:val="hybridMultilevel"/>
    <w:lvl w:ilvl="0">
      <w:lvlJc w:val="left"/>
      <w:lvlText w:val="(%1)"/>
      <w:numFmt w:val="lowerLetter"/>
      <w:start w:val="4"/>
    </w:lvl>
  </w:abstractNum>
  <w:abstractNum w:abstractNumId="127">
    <w:nsid w:val="3F7C2FF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28">
    <w:nsid w:val="25413B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9">
    <w:nsid w:val="17180B0B"/>
    <w:multiLevelType w:val="hybridMultilevel"/>
    <w:lvl w:ilvl="0">
      <w:lvlJc w:val="left"/>
      <w:lvlText w:val="%1"/>
      <w:numFmt w:val="decimal"/>
      <w:start w:val="1"/>
    </w:lvl>
    <w:lvl w:ilvl="1">
      <w:lvlJc w:val="left"/>
      <w:lvlText w:val="(%2)"/>
      <w:numFmt w:val="lowerLetter"/>
      <w:start w:val="3"/>
    </w:lvl>
  </w:abstractNum>
  <w:abstractNum w:abstractNumId="130">
    <w:nsid w:val="579328B9"/>
    <w:multiLevelType w:val="hybridMultilevel"/>
    <w:lvl w:ilvl="0">
      <w:lvlJc w:val="left"/>
      <w:lvlText w:val="%1."/>
      <w:numFmt w:val="decimal"/>
      <w:start w:val="5"/>
    </w:lvl>
    <w:lvl w:ilvl="1">
      <w:lvlJc w:val="left"/>
      <w:lvlText w:val="(%2)"/>
      <w:numFmt w:val="lowerLetter"/>
      <w:start w:val="1"/>
    </w:lvl>
  </w:abstractNum>
  <w:abstractNum w:abstractNumId="131">
    <w:nsid w:val="5D205E20"/>
    <w:multiLevelType w:val="hybridMultilevel"/>
    <w:lvl w:ilvl="0">
      <w:lvlJc w:val="left"/>
      <w:lvlText w:val="%1"/>
      <w:numFmt w:val="decimal"/>
      <w:start w:val="1"/>
    </w:lvl>
    <w:lvl w:ilvl="1">
      <w:lvlJc w:val="left"/>
      <w:lvlText w:val="(%2)"/>
      <w:numFmt w:val="lowerLetter"/>
      <w:start w:val="2"/>
    </w:lvl>
  </w:abstractNum>
  <w:abstractNum w:abstractNumId="132">
    <w:nsid w:val="11CCA8BA"/>
    <w:multiLevelType w:val="hybridMultilevel"/>
    <w:lvl w:ilvl="0">
      <w:lvlJc w:val="left"/>
      <w:lvlText w:val="%1."/>
      <w:numFmt w:val="decimal"/>
      <w:start w:val="6"/>
    </w:lvl>
    <w:lvl w:ilvl="1">
      <w:lvlJc w:val="left"/>
      <w:lvlText w:val="%2"/>
      <w:numFmt w:val="lowerLetter"/>
      <w:start w:val="1"/>
    </w:lvl>
  </w:abstractNum>
  <w:abstractNum w:abstractNumId="133">
    <w:nsid w:val="4D32AB86"/>
    <w:multiLevelType w:val="hybridMultilevel"/>
    <w:lvl w:ilvl="0">
      <w:lvlJc w:val="left"/>
      <w:lvlText w:val="(%1)"/>
      <w:numFmt w:val="lowerLetter"/>
      <w:start w:val="1"/>
    </w:lvl>
  </w:abstractNum>
  <w:abstractNum w:abstractNumId="134">
    <w:nsid w:val="3F07ACC3"/>
    <w:multiLevelType w:val="hybridMultilevel"/>
    <w:lvl w:ilvl="0">
      <w:lvlJc w:val="left"/>
      <w:lvlText w:val="%1."/>
      <w:numFmt w:val="decimal"/>
      <w:start w:val="8"/>
    </w:lvl>
    <w:lvl w:ilvl="1">
      <w:lvlJc w:val="left"/>
      <w:lvlText w:val="(%2)"/>
      <w:numFmt w:val="lowerLetter"/>
      <w:start w:val="1"/>
    </w:lvl>
  </w:abstractNum>
  <w:abstractNum w:abstractNumId="135">
    <w:nsid w:val="6B47F63E"/>
    <w:multiLevelType w:val="hybridMultilevel"/>
    <w:lvl w:ilvl="0">
      <w:lvlJc w:val="left"/>
      <w:lvlText w:val="(%1)"/>
      <w:numFmt w:val="lowerLetter"/>
      <w:start w:val="8"/>
    </w:lvl>
  </w:abstractNum>
  <w:abstractNum w:abstractNumId="136">
    <w:nsid w:val="5CB44A05"/>
    <w:multiLevelType w:val="hybridMultilevel"/>
    <w:lvl w:ilvl="0">
      <w:lvlJc w:val="left"/>
      <w:lvlText w:val="%1."/>
      <w:numFmt w:val="upperLetter"/>
      <w:start w:val="1"/>
    </w:lvl>
  </w:abstractNum>
  <w:abstractNum w:abstractNumId="137">
    <w:nsid w:val="16CF80F1"/>
    <w:multiLevelType w:val="hybridMultilevel"/>
    <w:lvl w:ilvl="0">
      <w:lvlJc w:val="left"/>
      <w:lvlText w:val="%1."/>
      <w:numFmt w:val="decimal"/>
      <w:start w:val="1"/>
    </w:lvl>
    <w:lvl w:ilvl="1">
      <w:lvlJc w:val="left"/>
      <w:lvlText w:val="(%2)"/>
      <w:numFmt w:val="lowerLetter"/>
      <w:start w:val="1"/>
    </w:lvl>
  </w:abstractNum>
  <w:abstractNum w:abstractNumId="138">
    <w:nsid w:val="1C695DEC"/>
    <w:multiLevelType w:val="hybridMultilevel"/>
    <w:lvl w:ilvl="0">
      <w:lvlJc w:val="left"/>
      <w:lvlText w:val="(%1)"/>
      <w:numFmt w:val="lowerRoman"/>
      <w:start w:val="1"/>
    </w:lvl>
  </w:abstractNum>
  <w:abstractNum w:abstractNumId="139">
    <w:nsid w:val="3FCFAED9"/>
    <w:multiLevelType w:val="hybridMultilevel"/>
    <w:lvl w:ilvl="0">
      <w:lvlJc w:val="left"/>
      <w:lvlText w:val="(%1)"/>
      <w:numFmt w:val="lowerLetter"/>
      <w:start w:val="2"/>
    </w:lvl>
  </w:abstractNum>
  <w:abstractNum w:abstractNumId="140">
    <w:nsid w:val="F8568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1">
    <w:nsid w:val="11B1CC3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2">
    <w:nsid w:val="2E22FBB7"/>
    <w:multiLevelType w:val="hybridMultilevel"/>
    <w:lvl w:ilvl="0">
      <w:lvlJc w:val="left"/>
      <w:lvlText w:val="(%1)"/>
      <w:numFmt w:val="lowerLetter"/>
      <w:start w:val="4"/>
    </w:lvl>
  </w:abstractNum>
  <w:abstractNum w:abstractNumId="143">
    <w:nsid w:val="29934699"/>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44">
    <w:nsid w:val="7748585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5">
    <w:nsid w:val="744939A3"/>
    <w:multiLevelType w:val="hybridMultilevel"/>
    <w:lvl w:ilvl="0">
      <w:lvlJc w:val="left"/>
      <w:lvlText w:val="%1"/>
      <w:numFmt w:val="decimal"/>
      <w:start w:val="1"/>
    </w:lvl>
    <w:lvl w:ilvl="1">
      <w:lvlJc w:val="left"/>
      <w:lvlText w:val="(%2)"/>
      <w:numFmt w:val="lowerLetter"/>
      <w:start w:val="3"/>
    </w:lvl>
  </w:abstractNum>
  <w:abstractNum w:abstractNumId="146">
    <w:nsid w:val="4FA0D2E3"/>
    <w:multiLevelType w:val="hybridMultilevel"/>
    <w:lvl w:ilvl="0">
      <w:lvlJc w:val="left"/>
      <w:lvlText w:val="%1."/>
      <w:numFmt w:val="decimal"/>
      <w:start w:val="5"/>
    </w:lvl>
    <w:lvl w:ilvl="1">
      <w:lvlJc w:val="left"/>
      <w:lvlText w:val="(%2)"/>
      <w:numFmt w:val="lowerLetter"/>
      <w:start w:val="1"/>
    </w:lvl>
  </w:abstractNum>
  <w:abstractNum w:abstractNumId="147">
    <w:nsid w:val="6B1D2C14"/>
    <w:multiLevelType w:val="hybridMultilevel"/>
    <w:lvl w:ilvl="0">
      <w:lvlJc w:val="left"/>
      <w:lvlText w:val="%1"/>
      <w:numFmt w:val="decimal"/>
      <w:start w:val="1"/>
    </w:lvl>
    <w:lvl w:ilvl="1">
      <w:lvlJc w:val="left"/>
      <w:lvlText w:val="(%2)"/>
      <w:numFmt w:val="lowerLetter"/>
      <w:start w:val="2"/>
    </w:lvl>
  </w:abstractNum>
  <w:abstractNum w:abstractNumId="148">
    <w:nsid w:val="68B867D3"/>
    <w:multiLevelType w:val="hybridMultilevel"/>
    <w:lvl w:ilvl="0">
      <w:lvlJc w:val="left"/>
      <w:lvlText w:val="%1."/>
      <w:numFmt w:val="decimal"/>
      <w:start w:val="6"/>
    </w:lvl>
    <w:lvl w:ilvl="1">
      <w:lvlJc w:val="left"/>
      <w:lvlText w:val="%2"/>
      <w:numFmt w:val="lowerLetter"/>
      <w:start w:val="1"/>
    </w:lvl>
  </w:abstractNum>
  <w:abstractNum w:abstractNumId="149">
    <w:nsid w:val="3F7F5DD9"/>
    <w:multiLevelType w:val="hybridMultilevel"/>
    <w:lvl w:ilvl="0">
      <w:lvlJc w:val="left"/>
      <w:lvlText w:val="(%1)"/>
      <w:numFmt w:val="lowerLetter"/>
      <w:start w:val="1"/>
    </w:lvl>
  </w:abstractNum>
  <w:abstractNum w:abstractNumId="150">
    <w:nsid w:val="2AE05A34"/>
    <w:multiLevelType w:val="hybridMultilevel"/>
    <w:lvl w:ilvl="0">
      <w:lvlJc w:val="left"/>
      <w:lvlText w:val="%1."/>
      <w:numFmt w:val="decimal"/>
      <w:start w:val="8"/>
    </w:lvl>
    <w:lvl w:ilvl="1">
      <w:lvlJc w:val="left"/>
      <w:lvlText w:val="(%2)"/>
      <w:numFmt w:val="lowerLetter"/>
      <w:start w:val="1"/>
    </w:lvl>
  </w:abstractNum>
  <w:abstractNum w:abstractNumId="151">
    <w:nsid w:val="32794FF7"/>
    <w:multiLevelType w:val="hybridMultilevel"/>
    <w:lvl w:ilvl="0">
      <w:lvlJc w:val="left"/>
      <w:lvlText w:val="(%1)"/>
      <w:numFmt w:val="lowerLetter"/>
      <w:start w:val="8"/>
    </w:lvl>
  </w:abstractNum>
  <w:abstractNum w:abstractNumId="152">
    <w:nsid w:val="5454945E"/>
    <w:multiLevelType w:val="hybridMultilevel"/>
    <w:lvl w:ilvl="0">
      <w:lvlJc w:val="left"/>
      <w:lvlText w:val="%1."/>
      <w:numFmt w:val="upperLetter"/>
      <w:start w:val="1"/>
    </w:lvl>
  </w:abstractNum>
  <w:abstractNum w:abstractNumId="153">
    <w:nsid w:val="4DEFDFA0"/>
    <w:multiLevelType w:val="hybridMultilevel"/>
    <w:lvl w:ilvl="0">
      <w:lvlJc w:val="left"/>
      <w:lvlText w:val="%1."/>
      <w:numFmt w:val="decimal"/>
      <w:start w:val="1"/>
    </w:lvl>
    <w:lvl w:ilvl="1">
      <w:lvlJc w:val="left"/>
      <w:lvlText w:val="(%2)"/>
      <w:numFmt w:val="lowerLetter"/>
      <w:start w:val="1"/>
    </w:lvl>
  </w:abstractNum>
  <w:abstractNum w:abstractNumId="154">
    <w:nsid w:val="2123D5F2"/>
    <w:multiLevelType w:val="hybridMultilevel"/>
    <w:lvl w:ilvl="0">
      <w:lvlJc w:val="left"/>
      <w:lvlText w:val="(%1)"/>
      <w:numFmt w:val="lowerRoman"/>
      <w:start w:val="1"/>
    </w:lvl>
  </w:abstractNum>
  <w:abstractNum w:abstractNumId="155">
    <w:nsid w:val="135B8110"/>
    <w:multiLevelType w:val="hybridMultilevel"/>
    <w:lvl w:ilvl="0">
      <w:lvlJc w:val="left"/>
      <w:lvlText w:val="(%1)"/>
      <w:numFmt w:val="lowerLetter"/>
      <w:start w:val="2"/>
    </w:lvl>
  </w:abstractNum>
  <w:abstractNum w:abstractNumId="156">
    <w:nsid w:val="9492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7">
    <w:nsid w:val="DCDF8F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8">
    <w:nsid w:val="52D7B105"/>
    <w:multiLevelType w:val="hybridMultilevel"/>
    <w:lvl w:ilvl="0">
      <w:lvlJc w:val="left"/>
      <w:lvlText w:val="(%1)"/>
      <w:numFmt w:val="lowerLetter"/>
      <w:start w:val="4"/>
    </w:lvl>
  </w:abstractNum>
  <w:abstractNum w:abstractNumId="159">
    <w:nsid w:val="2E8A639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60">
    <w:nsid w:val="24E6040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1">
    <w:nsid w:val="2A6AD9BE"/>
    <w:multiLevelType w:val="hybridMultilevel"/>
    <w:lvl w:ilvl="0">
      <w:lvlJc w:val="left"/>
      <w:lvlText w:val="%1"/>
      <w:numFmt w:val="decimal"/>
      <w:start w:val="1"/>
    </w:lvl>
    <w:lvl w:ilvl="1">
      <w:lvlJc w:val="left"/>
      <w:lvlText w:val="(%2)"/>
      <w:numFmt w:val="lowerLetter"/>
      <w:start w:val="3"/>
    </w:lvl>
  </w:abstractNum>
  <w:abstractNum w:abstractNumId="162">
    <w:nsid w:val="BAAC1B4"/>
    <w:multiLevelType w:val="hybridMultilevel"/>
    <w:lvl w:ilvl="0">
      <w:lvlJc w:val="left"/>
      <w:lvlText w:val="%1."/>
      <w:numFmt w:val="decimal"/>
      <w:start w:val="5"/>
    </w:lvl>
    <w:lvl w:ilvl="1">
      <w:lvlJc w:val="left"/>
      <w:lvlText w:val="(%2)"/>
      <w:numFmt w:val="lowerLetter"/>
      <w:start w:val="1"/>
    </w:lvl>
  </w:abstractNum>
  <w:abstractNum w:abstractNumId="163">
    <w:nsid w:val="36B2ACBC"/>
    <w:multiLevelType w:val="hybridMultilevel"/>
    <w:lvl w:ilvl="0">
      <w:lvlJc w:val="left"/>
      <w:lvlText w:val="%1"/>
      <w:numFmt w:val="decimal"/>
      <w:start w:val="1"/>
    </w:lvl>
    <w:lvl w:ilvl="1">
      <w:lvlJc w:val="left"/>
      <w:lvlText w:val="(%2)"/>
      <w:numFmt w:val="lowerLetter"/>
      <w:start w:val="2"/>
    </w:lvl>
  </w:abstractNum>
  <w:abstractNum w:abstractNumId="164">
    <w:nsid w:val="779D8544"/>
    <w:multiLevelType w:val="hybridMultilevel"/>
    <w:lvl w:ilvl="0">
      <w:lvlJc w:val="left"/>
      <w:lvlText w:val="%1."/>
      <w:numFmt w:val="decimal"/>
      <w:start w:val="6"/>
    </w:lvl>
    <w:lvl w:ilvl="1">
      <w:lvlJc w:val="left"/>
      <w:lvlText w:val="%2"/>
      <w:numFmt w:val="lowerLetter"/>
      <w:start w:val="1"/>
    </w:lvl>
  </w:abstractNum>
  <w:abstractNum w:abstractNumId="165">
    <w:nsid w:val="4AB26E78"/>
    <w:multiLevelType w:val="hybridMultilevel"/>
    <w:lvl w:ilvl="0">
      <w:lvlJc w:val="left"/>
      <w:lvlText w:val="%1"/>
      <w:numFmt w:val="decimal"/>
      <w:start w:val="1"/>
    </w:lvl>
    <w:lvl w:ilvl="1">
      <w:lvlJc w:val="left"/>
      <w:lvlText w:val="(%2)"/>
      <w:numFmt w:val="lowerLetter"/>
      <w:start w:val="1"/>
    </w:lvl>
  </w:abstractNum>
  <w:abstractNum w:abstractNumId="166">
    <w:nsid w:val="21FAA2FA"/>
    <w:multiLevelType w:val="hybridMultilevel"/>
    <w:lvl w:ilvl="0">
      <w:lvlJc w:val="left"/>
      <w:lvlText w:val="%1."/>
      <w:numFmt w:val="decimal"/>
      <w:start w:val="8"/>
    </w:lvl>
    <w:lvl w:ilvl="1">
      <w:lvlJc w:val="left"/>
      <w:lvlText w:val="%2"/>
      <w:numFmt w:val="lowerLetter"/>
      <w:start w:val="1"/>
    </w:lvl>
  </w:abstractNum>
  <w:abstractNum w:abstractNumId="167">
    <w:nsid w:val="5451CF49"/>
    <w:multiLevelType w:val="hybridMultilevel"/>
    <w:lvl w:ilvl="0">
      <w:lvlJc w:val="left"/>
      <w:lvlText w:val="(%1)"/>
      <w:numFmt w:val="lowerLetter"/>
      <w:start w:val="1"/>
    </w:lvl>
  </w:abstractNum>
  <w:abstractNum w:abstractNumId="168">
    <w:nsid w:val="6181EF69"/>
    <w:multiLevelType w:val="hybridMultilevel"/>
    <w:lvl w:ilvl="0">
      <w:lvlJc w:val="left"/>
      <w:lvlText w:val="(%1)"/>
      <w:numFmt w:val="lowerLetter"/>
      <w:start w:val="8"/>
    </w:lvl>
  </w:abstractNum>
  <w:abstractNum w:abstractNumId="169">
    <w:nsid w:val="3E6400E6"/>
    <w:multiLevelType w:val="hybridMultilevel"/>
    <w:lvl w:ilvl="0">
      <w:lvlJc w:val="left"/>
      <w:lvlText w:val="%1."/>
      <w:numFmt w:val="decimal"/>
      <w:start w:val="1"/>
    </w:lvl>
    <w:lvl w:ilvl="1">
      <w:lvlJc w:val="left"/>
      <w:lvlText w:val="(%2)"/>
      <w:numFmt w:val="lowerLetter"/>
      <w:start w:val="1"/>
    </w:lvl>
  </w:abstractNum>
  <w:abstractNum w:abstractNumId="170">
    <w:nsid w:val="14217E23"/>
    <w:multiLevelType w:val="hybridMultilevel"/>
    <w:lvl w:ilvl="0">
      <w:lvlJc w:val="left"/>
      <w:lvlText w:val="%1."/>
      <w:numFmt w:val="decimal"/>
      <w:start w:val="1"/>
    </w:lvl>
    <w:lvl w:ilvl="1">
      <w:lvlJc w:val="left"/>
      <w:lvlText w:val="(%2)"/>
      <w:numFmt w:val="lowerLetter"/>
      <w:start w:val="1"/>
    </w:lvl>
  </w:abstractNum>
  <w:abstractNum w:abstractNumId="171">
    <w:nsid w:val="710757D0"/>
    <w:multiLevelType w:val="hybridMultilevel"/>
    <w:lvl w:ilvl="0">
      <w:lvlJc w:val="left"/>
      <w:lvlText w:val="(%1)"/>
      <w:numFmt w:val="decimal"/>
      <w:start w:val="1"/>
    </w:lvl>
  </w:abstractNum>
  <w:abstractNum w:abstractNumId="172">
    <w:nsid w:val="5015CD1A"/>
    <w:multiLevelType w:val="hybridMultilevel"/>
    <w:lvl w:ilvl="0">
      <w:lvlJc w:val="left"/>
      <w:lvlText w:val="(%1)"/>
      <w:numFmt w:val="decimal"/>
      <w:start w:val="1"/>
    </w:lvl>
  </w:abstractNum>
  <w:abstractNum w:abstractNumId="173">
    <w:nsid w:val="424479DA"/>
    <w:multiLevelType w:val="hybridMultilevel"/>
    <w:lvl w:ilvl="0">
      <w:lvlJc w:val="left"/>
      <w:lvlText w:val="%1."/>
      <w:numFmt w:val="decimal"/>
      <w:start w:val="1"/>
    </w:lvl>
  </w:abstractNum>
  <w:abstractNum w:abstractNumId="174">
    <w:nsid w:val="1A9A9E69"/>
    <w:multiLevelType w:val="hybridMultilevel"/>
    <w:lvl w:ilvl="0">
      <w:lvlJc w:val="left"/>
      <w:lvlText w:val="%1."/>
      <w:numFmt w:val="decimal"/>
      <w:start w:val="2"/>
    </w:lvl>
  </w:abstractNum>
  <w:abstractNum w:abstractNumId="175">
    <w:nsid w:val="475E256A"/>
    <w:multiLevelType w:val="hybridMultilevel"/>
    <w:lvl w:ilvl="0">
      <w:lvlJc w:val="left"/>
      <w:lvlText w:val="%1."/>
      <w:numFmt w:val="decimal"/>
      <w:start w:val="3"/>
    </w:lvl>
  </w:abstractNum>
  <w:abstractNum w:abstractNumId="176">
    <w:nsid w:val="368DB37E"/>
    <w:multiLevelType w:val="hybridMultilevel"/>
    <w:lvl w:ilvl="0">
      <w:lvlJc w:val="left"/>
      <w:lvlText w:val="%1."/>
      <w:numFmt w:val="decimal"/>
      <w:start w:val="4"/>
    </w:lvl>
    <w:lvl w:ilvl="1">
      <w:lvlJc w:val="left"/>
      <w:lvlText w:val="(%2)"/>
      <w:numFmt w:val="lowerLetter"/>
      <w:start w:val="1"/>
    </w:lvl>
  </w:abstractNum>
  <w:abstractNum w:abstractNumId="177">
    <w:nsid w:val="6A3B714C"/>
    <w:multiLevelType w:val="hybridMultilevel"/>
    <w:lvl w:ilvl="0">
      <w:lvlJc w:val="left"/>
      <w:lvlText w:val="(%1)"/>
      <w:numFmt w:val="lowerLetter"/>
      <w:start w:val="2"/>
    </w:lvl>
    <w:lvl w:ilvl="1">
      <w:lvlJc w:val="left"/>
      <w:lvlText w:val="(%2)"/>
      <w:numFmt w:val="lowerRoman"/>
      <w:start w:val="1"/>
    </w:lvl>
  </w:abstractNum>
  <w:abstractNum w:abstractNumId="178">
    <w:nsid w:val="327B517E"/>
    <w:multiLevelType w:val="hybridMultilevel"/>
    <w:lvl w:ilvl="0">
      <w:lvlJc w:val="left"/>
      <w:lvlText w:val="%1"/>
      <w:numFmt w:val="decimal"/>
      <w:start w:val="1"/>
    </w:lvl>
    <w:lvl w:ilvl="1">
      <w:lvlJc w:val="left"/>
      <w:lvlText w:val="(%2)"/>
      <w:numFmt w:val="lowerLetter"/>
      <w:start w:val="6"/>
    </w:lvl>
  </w:abstractNum>
  <w:abstractNum w:abstractNumId="179">
    <w:nsid w:val="1F461B51"/>
    <w:multiLevelType w:val="hybridMultilevel"/>
    <w:lvl w:ilvl="0">
      <w:lvlJc w:val="left"/>
      <w:lvlText w:val="%1."/>
      <w:numFmt w:val="decimal"/>
      <w:start w:val="5"/>
    </w:lvl>
    <w:lvl w:ilvl="1">
      <w:lvlJc w:val="left"/>
      <w:lvlText w:val="%2"/>
      <w:numFmt w:val="lowerLetter"/>
      <w:start w:val="1"/>
    </w:lvl>
  </w:abstractNum>
  <w:abstractNum w:abstractNumId="180">
    <w:nsid w:val="29BACF25"/>
    <w:multiLevelType w:val="hybridMultilevel"/>
    <w:lvl w:ilvl="0">
      <w:lvlJc w:val="left"/>
      <w:lvlText w:val="%1."/>
      <w:numFmt w:val="decimal"/>
      <w:start w:val="6"/>
    </w:lvl>
  </w:abstractNum>
  <w:abstractNum w:abstractNumId="181">
    <w:nsid w:val="5D5BABB3"/>
    <w:multiLevelType w:val="hybridMultilevel"/>
    <w:lvl w:ilvl="0">
      <w:lvlJc w:val="left"/>
      <w:lvlText w:val="%1."/>
      <w:numFmt w:val="decimal"/>
      <w:start w:val="7"/>
    </w:lvl>
  </w:abstractNum>
  <w:abstractNum w:abstractNumId="182">
    <w:nsid w:val="51BF6B48"/>
    <w:multiLevelType w:val="hybridMultilevel"/>
    <w:lvl w:ilvl="0">
      <w:lvlJc w:val="left"/>
      <w:lvlText w:val="%1."/>
      <w:numFmt w:val="decimal"/>
      <w:start w:val="8"/>
    </w:lvl>
  </w:abstractNum>
  <w:abstractNum w:abstractNumId="183">
    <w:nsid w:val="7E0F6384"/>
    <w:multiLevelType w:val="hybridMultilevel"/>
    <w:lvl w:ilvl="0">
      <w:lvlJc w:val="left"/>
      <w:lvlText w:val="%1."/>
      <w:numFmt w:val="decimal"/>
      <w:start w:val="9"/>
    </w:lvl>
  </w:abstractNum>
  <w:abstractNum w:abstractNumId="184">
    <w:nsid w:val="2B4B8B5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93" Type="http://schemas.openxmlformats.org/officeDocument/2006/relationships/image" Target="media/image364.png"/><Relationship Id="rId394" Type="http://schemas.openxmlformats.org/officeDocument/2006/relationships/image" Target="media/image365.png"/><Relationship Id="rId395" Type="http://schemas.openxmlformats.org/officeDocument/2006/relationships/image" Target="media/image366.png"/><Relationship Id="rId396" Type="http://schemas.openxmlformats.org/officeDocument/2006/relationships/image" Target="media/image367.png"/><Relationship Id="rId397" Type="http://schemas.openxmlformats.org/officeDocument/2006/relationships/image" Target="media/image368.png"/><Relationship Id="rId398" Type="http://schemas.openxmlformats.org/officeDocument/2006/relationships/image" Target="media/image369.png"/><Relationship Id="rId399" Type="http://schemas.openxmlformats.org/officeDocument/2006/relationships/image" Target="media/image370.png"/><Relationship Id="rId400" Type="http://schemas.openxmlformats.org/officeDocument/2006/relationships/image" Target="media/image371.png"/><Relationship Id="rId401" Type="http://schemas.openxmlformats.org/officeDocument/2006/relationships/image" Target="media/image372.png"/><Relationship Id="rId402" Type="http://schemas.openxmlformats.org/officeDocument/2006/relationships/image" Target="media/image373.png"/><Relationship Id="rId403" Type="http://schemas.openxmlformats.org/officeDocument/2006/relationships/image" Target="media/image374.png"/><Relationship Id="rId404" Type="http://schemas.openxmlformats.org/officeDocument/2006/relationships/image" Target="media/image375.png"/><Relationship Id="rId405" Type="http://schemas.openxmlformats.org/officeDocument/2006/relationships/image" Target="media/image376.png"/><Relationship Id="rId406" Type="http://schemas.openxmlformats.org/officeDocument/2006/relationships/image" Target="media/image377.png"/><Relationship Id="rId407" Type="http://schemas.openxmlformats.org/officeDocument/2006/relationships/image" Target="media/image378.png"/><Relationship Id="rId408" Type="http://schemas.openxmlformats.org/officeDocument/2006/relationships/image" Target="media/image379.png"/><Relationship Id="rId409" Type="http://schemas.openxmlformats.org/officeDocument/2006/relationships/image" Target="media/image380.png"/><Relationship Id="rId410" Type="http://schemas.openxmlformats.org/officeDocument/2006/relationships/image" Target="media/image381.png"/><Relationship Id="rId411" Type="http://schemas.openxmlformats.org/officeDocument/2006/relationships/image" Target="media/image382.png"/><Relationship Id="rId412" Type="http://schemas.openxmlformats.org/officeDocument/2006/relationships/image" Target="media/image383.png"/><Relationship Id="rId413" Type="http://schemas.openxmlformats.org/officeDocument/2006/relationships/image" Target="media/image384.png"/><Relationship Id="rId414" Type="http://schemas.openxmlformats.org/officeDocument/2006/relationships/image" Target="media/image385.png"/><Relationship Id="rId415" Type="http://schemas.openxmlformats.org/officeDocument/2006/relationships/image" Target="media/image386.png"/><Relationship Id="rId416" Type="http://schemas.openxmlformats.org/officeDocument/2006/relationships/image" Target="media/image387.png"/><Relationship Id="rId417" Type="http://schemas.openxmlformats.org/officeDocument/2006/relationships/image" Target="media/image388.png"/><Relationship Id="rId418" Type="http://schemas.openxmlformats.org/officeDocument/2006/relationships/image" Target="media/image389.png"/><Relationship Id="rId419" Type="http://schemas.openxmlformats.org/officeDocument/2006/relationships/image" Target="media/image390.png"/><Relationship Id="rId420" Type="http://schemas.openxmlformats.org/officeDocument/2006/relationships/image" Target="media/image391.png"/><Relationship Id="rId421" Type="http://schemas.openxmlformats.org/officeDocument/2006/relationships/image" Target="media/image392.png"/><Relationship Id="rId422" Type="http://schemas.openxmlformats.org/officeDocument/2006/relationships/image" Target="media/image393.png"/><Relationship Id="rId423" Type="http://schemas.openxmlformats.org/officeDocument/2006/relationships/image" Target="media/image394.png"/><Relationship Id="rId424" Type="http://schemas.openxmlformats.org/officeDocument/2006/relationships/image" Target="media/image395.png"/><Relationship Id="rId425" Type="http://schemas.openxmlformats.org/officeDocument/2006/relationships/image" Target="media/image396.png"/><Relationship Id="rId426" Type="http://schemas.openxmlformats.org/officeDocument/2006/relationships/image" Target="media/image397.png"/><Relationship Id="rId427" Type="http://schemas.openxmlformats.org/officeDocument/2006/relationships/image" Target="media/image398.png"/><Relationship Id="rId428" Type="http://schemas.openxmlformats.org/officeDocument/2006/relationships/image" Target="media/image399.png"/><Relationship Id="rId429" Type="http://schemas.openxmlformats.org/officeDocument/2006/relationships/image" Target="media/image400.png"/><Relationship Id="rId430" Type="http://schemas.openxmlformats.org/officeDocument/2006/relationships/image" Target="media/image401.png"/><Relationship Id="rId431" Type="http://schemas.openxmlformats.org/officeDocument/2006/relationships/image" Target="media/image402.png"/><Relationship Id="rId432" Type="http://schemas.openxmlformats.org/officeDocument/2006/relationships/image" Target="media/image403.png"/><Relationship Id="rId433" Type="http://schemas.openxmlformats.org/officeDocument/2006/relationships/image" Target="media/image404.png"/><Relationship Id="rId434" Type="http://schemas.openxmlformats.org/officeDocument/2006/relationships/image" Target="media/image405.png"/><Relationship Id="rId435" Type="http://schemas.openxmlformats.org/officeDocument/2006/relationships/image" Target="media/image406.png"/><Relationship Id="rId436" Type="http://schemas.openxmlformats.org/officeDocument/2006/relationships/image" Target="media/image407.png"/><Relationship Id="rId437" Type="http://schemas.openxmlformats.org/officeDocument/2006/relationships/image" Target="media/image408.png"/><Relationship Id="rId438" Type="http://schemas.openxmlformats.org/officeDocument/2006/relationships/image" Target="media/image409.png"/><Relationship Id="rId439" Type="http://schemas.openxmlformats.org/officeDocument/2006/relationships/image" Target="media/image410.png"/><Relationship Id="rId440" Type="http://schemas.openxmlformats.org/officeDocument/2006/relationships/image" Target="media/image411.png"/><Relationship Id="rId441" Type="http://schemas.openxmlformats.org/officeDocument/2006/relationships/image" Target="media/image412.png"/><Relationship Id="rId442" Type="http://schemas.openxmlformats.org/officeDocument/2006/relationships/image" Target="media/image413.png"/><Relationship Id="rId443" Type="http://schemas.openxmlformats.org/officeDocument/2006/relationships/image" Target="media/image414.png"/><Relationship Id="rId444" Type="http://schemas.openxmlformats.org/officeDocument/2006/relationships/image" Target="media/image415.png"/><Relationship Id="rId445" Type="http://schemas.openxmlformats.org/officeDocument/2006/relationships/image" Target="media/image416.png"/><Relationship Id="rId446" Type="http://schemas.openxmlformats.org/officeDocument/2006/relationships/image" Target="media/image417.png"/><Relationship Id="rId447" Type="http://schemas.openxmlformats.org/officeDocument/2006/relationships/image" Target="media/image418.png"/><Relationship Id="rId448" Type="http://schemas.openxmlformats.org/officeDocument/2006/relationships/image" Target="media/image419.png"/><Relationship Id="rId449" Type="http://schemas.openxmlformats.org/officeDocument/2006/relationships/image" Target="media/image420.png"/><Relationship Id="rId450" Type="http://schemas.openxmlformats.org/officeDocument/2006/relationships/image" Target="media/image421.png"/><Relationship Id="rId451" Type="http://schemas.openxmlformats.org/officeDocument/2006/relationships/image" Target="media/image422.png"/><Relationship Id="rId452" Type="http://schemas.openxmlformats.org/officeDocument/2006/relationships/image" Target="media/image423.png"/><Relationship Id="rId453" Type="http://schemas.openxmlformats.org/officeDocument/2006/relationships/image" Target="media/image424.png"/><Relationship Id="rId454" Type="http://schemas.openxmlformats.org/officeDocument/2006/relationships/image" Target="media/image425.png"/><Relationship Id="rId455" Type="http://schemas.openxmlformats.org/officeDocument/2006/relationships/image" Target="media/image426.png"/><Relationship Id="rId456" Type="http://schemas.openxmlformats.org/officeDocument/2006/relationships/image" Target="media/image427.png"/><Relationship Id="rId457" Type="http://schemas.openxmlformats.org/officeDocument/2006/relationships/image" Target="media/image428.png"/><Relationship Id="rId458" Type="http://schemas.openxmlformats.org/officeDocument/2006/relationships/image" Target="media/image429.png"/><Relationship Id="rId459" Type="http://schemas.openxmlformats.org/officeDocument/2006/relationships/image" Target="media/image430.png"/><Relationship Id="rId460" Type="http://schemas.openxmlformats.org/officeDocument/2006/relationships/image" Target="media/image431.png"/><Relationship Id="rId461" Type="http://schemas.openxmlformats.org/officeDocument/2006/relationships/image" Target="media/image432.png"/><Relationship Id="rId462" Type="http://schemas.openxmlformats.org/officeDocument/2006/relationships/image" Target="media/image433.png"/><Relationship Id="rId463" Type="http://schemas.openxmlformats.org/officeDocument/2006/relationships/image" Target="media/image434.png"/><Relationship Id="rId464" Type="http://schemas.openxmlformats.org/officeDocument/2006/relationships/image" Target="media/image435.png"/><Relationship Id="rId465" Type="http://schemas.openxmlformats.org/officeDocument/2006/relationships/image" Target="media/image436.png"/><Relationship Id="rId466" Type="http://schemas.openxmlformats.org/officeDocument/2006/relationships/image" Target="media/image437.png"/><Relationship Id="rId467" Type="http://schemas.openxmlformats.org/officeDocument/2006/relationships/image" Target="media/image438.png"/><Relationship Id="rId468" Type="http://schemas.openxmlformats.org/officeDocument/2006/relationships/image" Target="media/image439.png"/><Relationship Id="rId469" Type="http://schemas.openxmlformats.org/officeDocument/2006/relationships/image" Target="media/image440.png"/><Relationship Id="rId470" Type="http://schemas.openxmlformats.org/officeDocument/2006/relationships/image" Target="media/image441.png"/><Relationship Id="rId471" Type="http://schemas.openxmlformats.org/officeDocument/2006/relationships/image" Target="media/image442.png"/><Relationship Id="rId472" Type="http://schemas.openxmlformats.org/officeDocument/2006/relationships/image" Target="media/image443.png"/><Relationship Id="rId473" Type="http://schemas.openxmlformats.org/officeDocument/2006/relationships/image" Target="media/image444.png"/><Relationship Id="rId474" Type="http://schemas.openxmlformats.org/officeDocument/2006/relationships/image" Target="media/image445.png"/><Relationship Id="rId475" Type="http://schemas.openxmlformats.org/officeDocument/2006/relationships/image" Target="media/image446.png"/><Relationship Id="rId476" Type="http://schemas.openxmlformats.org/officeDocument/2006/relationships/image" Target="media/image447.png"/><Relationship Id="rId477" Type="http://schemas.openxmlformats.org/officeDocument/2006/relationships/image" Target="media/image448.png"/><Relationship Id="rId478" Type="http://schemas.openxmlformats.org/officeDocument/2006/relationships/image" Target="media/image449.png"/><Relationship Id="rId479" Type="http://schemas.openxmlformats.org/officeDocument/2006/relationships/image" Target="media/image450.png"/><Relationship Id="rId480" Type="http://schemas.openxmlformats.org/officeDocument/2006/relationships/image" Target="media/image451.png"/><Relationship Id="rId481" Type="http://schemas.openxmlformats.org/officeDocument/2006/relationships/image" Target="media/image452.png"/><Relationship Id="rId482" Type="http://schemas.openxmlformats.org/officeDocument/2006/relationships/image" Target="media/image453.png"/><Relationship Id="rId483" Type="http://schemas.openxmlformats.org/officeDocument/2006/relationships/image" Target="media/image454.png"/><Relationship Id="rId484" Type="http://schemas.openxmlformats.org/officeDocument/2006/relationships/image" Target="media/image455.png"/><Relationship Id="rId485" Type="http://schemas.openxmlformats.org/officeDocument/2006/relationships/image" Target="media/image456.png"/><Relationship Id="rId486" Type="http://schemas.openxmlformats.org/officeDocument/2006/relationships/image" Target="media/image457.png"/><Relationship Id="rId487" Type="http://schemas.openxmlformats.org/officeDocument/2006/relationships/image" Target="media/image458.png"/><Relationship Id="rId488" Type="http://schemas.openxmlformats.org/officeDocument/2006/relationships/image" Target="media/image459.png"/><Relationship Id="rId489" Type="http://schemas.openxmlformats.org/officeDocument/2006/relationships/image" Target="media/image460.png"/><Relationship Id="rId490" Type="http://schemas.openxmlformats.org/officeDocument/2006/relationships/image" Target="media/image461.png"/><Relationship Id="rId491" Type="http://schemas.openxmlformats.org/officeDocument/2006/relationships/image" Target="media/image462.png"/><Relationship Id="rId492" Type="http://schemas.openxmlformats.org/officeDocument/2006/relationships/image" Target="media/image463.png"/><Relationship Id="rId493" Type="http://schemas.openxmlformats.org/officeDocument/2006/relationships/image" Target="media/image464.png"/><Relationship Id="rId494" Type="http://schemas.openxmlformats.org/officeDocument/2006/relationships/image" Target="media/image465.png"/><Relationship Id="rId495" Type="http://schemas.openxmlformats.org/officeDocument/2006/relationships/image" Target="media/image466.png"/><Relationship Id="rId496" Type="http://schemas.openxmlformats.org/officeDocument/2006/relationships/image" Target="media/image467.png"/><Relationship Id="rId497" Type="http://schemas.openxmlformats.org/officeDocument/2006/relationships/image" Target="media/image468.png"/><Relationship Id="rId498" Type="http://schemas.openxmlformats.org/officeDocument/2006/relationships/image" Target="media/image469.png"/><Relationship Id="rId499" Type="http://schemas.openxmlformats.org/officeDocument/2006/relationships/image" Target="media/image470.png"/><Relationship Id="rId500" Type="http://schemas.openxmlformats.org/officeDocument/2006/relationships/image" Target="media/image471.png"/><Relationship Id="rId501" Type="http://schemas.openxmlformats.org/officeDocument/2006/relationships/image" Target="media/image472.png"/><Relationship Id="rId502" Type="http://schemas.openxmlformats.org/officeDocument/2006/relationships/image" Target="media/image473.png"/><Relationship Id="rId503" Type="http://schemas.openxmlformats.org/officeDocument/2006/relationships/image" Target="media/image474.png"/><Relationship Id="rId504" Type="http://schemas.openxmlformats.org/officeDocument/2006/relationships/image" Target="media/image475.png"/><Relationship Id="rId505" Type="http://schemas.openxmlformats.org/officeDocument/2006/relationships/image" Target="media/image476.png"/><Relationship Id="rId506" Type="http://schemas.openxmlformats.org/officeDocument/2006/relationships/image" Target="media/image477.png"/><Relationship Id="rId507" Type="http://schemas.openxmlformats.org/officeDocument/2006/relationships/image" Target="media/image478.png"/><Relationship Id="rId508" Type="http://schemas.openxmlformats.org/officeDocument/2006/relationships/image" Target="media/image479.png"/><Relationship Id="rId509" Type="http://schemas.openxmlformats.org/officeDocument/2006/relationships/image" Target="media/image480.png"/><Relationship Id="rId510" Type="http://schemas.openxmlformats.org/officeDocument/2006/relationships/image" Target="media/image481.png"/><Relationship Id="rId511" Type="http://schemas.openxmlformats.org/officeDocument/2006/relationships/image" Target="media/image482.png"/><Relationship Id="rId512" Type="http://schemas.openxmlformats.org/officeDocument/2006/relationships/image" Target="media/image483.png"/><Relationship Id="rId513" Type="http://schemas.openxmlformats.org/officeDocument/2006/relationships/image" Target="media/image484.png"/><Relationship Id="rId514" Type="http://schemas.openxmlformats.org/officeDocument/2006/relationships/image" Target="media/image485.png"/><Relationship Id="rId515" Type="http://schemas.openxmlformats.org/officeDocument/2006/relationships/image" Target="media/image486.png"/><Relationship Id="rId516" Type="http://schemas.openxmlformats.org/officeDocument/2006/relationships/image" Target="media/image487.png"/><Relationship Id="rId517" Type="http://schemas.openxmlformats.org/officeDocument/2006/relationships/image" Target="media/image488.png"/><Relationship Id="rId518" Type="http://schemas.openxmlformats.org/officeDocument/2006/relationships/image" Target="media/image489.png"/><Relationship Id="rId519" Type="http://schemas.openxmlformats.org/officeDocument/2006/relationships/image" Target="media/image490.png"/><Relationship Id="rId520" Type="http://schemas.openxmlformats.org/officeDocument/2006/relationships/image" Target="media/image491.png"/><Relationship Id="rId521" Type="http://schemas.openxmlformats.org/officeDocument/2006/relationships/image" Target="media/image492.png"/><Relationship Id="rId522" Type="http://schemas.openxmlformats.org/officeDocument/2006/relationships/image" Target="media/image493.png"/><Relationship Id="rId523" Type="http://schemas.openxmlformats.org/officeDocument/2006/relationships/image" Target="media/image494.png"/><Relationship Id="rId524" Type="http://schemas.openxmlformats.org/officeDocument/2006/relationships/image" Target="media/image495.png"/><Relationship Id="rId525" Type="http://schemas.openxmlformats.org/officeDocument/2006/relationships/image" Target="media/image496.png"/><Relationship Id="rId526" Type="http://schemas.openxmlformats.org/officeDocument/2006/relationships/image" Target="media/image497.png"/><Relationship Id="rId527" Type="http://schemas.openxmlformats.org/officeDocument/2006/relationships/image" Target="media/image498.png"/><Relationship Id="rId528" Type="http://schemas.openxmlformats.org/officeDocument/2006/relationships/image" Target="media/image499.png"/><Relationship Id="rId529" Type="http://schemas.openxmlformats.org/officeDocument/2006/relationships/image" Target="media/image500.png"/><Relationship Id="rId530" Type="http://schemas.openxmlformats.org/officeDocument/2006/relationships/image" Target="media/image501.png"/><Relationship Id="rId531" Type="http://schemas.openxmlformats.org/officeDocument/2006/relationships/image" Target="media/image502.png"/><Relationship Id="rId532" Type="http://schemas.openxmlformats.org/officeDocument/2006/relationships/image" Target="media/image503.png"/><Relationship Id="rId533" Type="http://schemas.openxmlformats.org/officeDocument/2006/relationships/image" Target="media/image504.png"/><Relationship Id="rId534" Type="http://schemas.openxmlformats.org/officeDocument/2006/relationships/image" Target="media/image505.png"/><Relationship Id="rId535" Type="http://schemas.openxmlformats.org/officeDocument/2006/relationships/image" Target="media/image506.png"/><Relationship Id="rId536" Type="http://schemas.openxmlformats.org/officeDocument/2006/relationships/image" Target="media/image507.png"/><Relationship Id="rId537" Type="http://schemas.openxmlformats.org/officeDocument/2006/relationships/image" Target="media/image508.png"/><Relationship Id="rId538" Type="http://schemas.openxmlformats.org/officeDocument/2006/relationships/image" Target="media/image509.png"/><Relationship Id="rId539" Type="http://schemas.openxmlformats.org/officeDocument/2006/relationships/image" Target="media/image510.png"/><Relationship Id="rId540" Type="http://schemas.openxmlformats.org/officeDocument/2006/relationships/image" Target="media/image511.png"/><Relationship Id="rId541" Type="http://schemas.openxmlformats.org/officeDocument/2006/relationships/image" Target="media/image512.png"/><Relationship Id="rId542" Type="http://schemas.openxmlformats.org/officeDocument/2006/relationships/image" Target="media/image513.png"/><Relationship Id="rId371" Type="http://schemas.openxmlformats.org/officeDocument/2006/relationships/hyperlink" Target="https://www.sec.gov/Archives/edgar/data/0001527753/000119312519180246/d750323dex31.htm" TargetMode="External"/><Relationship Id="rId372" Type="http://schemas.openxmlformats.org/officeDocument/2006/relationships/hyperlink" Target="https://www.sec.gov/Archives/edgar/data/1527753/000095017022020631/psnl-ex3_1.htm" TargetMode="External"/><Relationship Id="rId373" Type="http://schemas.openxmlformats.org/officeDocument/2006/relationships/hyperlink" Target="https://www.sec.gov/Archives/edgar/data/1527753/000156459021008848/psnl-ex41_300.htm" TargetMode="External"/><Relationship Id="rId374" Type="http://schemas.openxmlformats.org/officeDocument/2006/relationships/hyperlink" Target="https://www.sec.gov/Archives/edgar/data/0001527753/000119312519167583/d677649dex41.htm" TargetMode="External"/><Relationship Id="rId375" Type="http://schemas.openxmlformats.org/officeDocument/2006/relationships/hyperlink" Target="https://www.sec.gov/Archives/edgar/data/1527753/000095017023066458/psnl-ex4_1.htm" TargetMode="External"/><Relationship Id="rId376" Type="http://schemas.openxmlformats.org/officeDocument/2006/relationships/hyperlink" Target="https://www.sec.gov/Archives/edgar/data/1527753/000095017023066458/psnl-ex4_2.htm" TargetMode="External"/><Relationship Id="rId377" Type="http://schemas.openxmlformats.org/officeDocument/2006/relationships/hyperlink" Target="https://www.sec.gov/Archives/edgar/data/0001527753/000119312519155338/d677649dex101.htm" TargetMode="External"/><Relationship Id="rId378" Type="http://schemas.openxmlformats.org/officeDocument/2006/relationships/hyperlink" Target="https://www.sec.gov/Archives/edgar/data/0001527753/000119312519167583/d677649dex102.htm" TargetMode="External"/><Relationship Id="rId379" Type="http://schemas.openxmlformats.org/officeDocument/2006/relationships/hyperlink" Target="https://www.sec.gov/Archives/edgar/data/0001527753/000119312519167583/d677649dex103.htm" TargetMode="External"/><Relationship Id="rId380" Type="http://schemas.openxmlformats.org/officeDocument/2006/relationships/hyperlink" Target="https://www.sec.gov/Archives/edgar/data/0001527753/000119312519167583/d677649dex104.htm" TargetMode="External"/><Relationship Id="rId381" Type="http://schemas.openxmlformats.org/officeDocument/2006/relationships/hyperlink" Target="https://www.sec.gov/Archives/edgar/data/1527753/000095017023017182/psnl-ex10_1.htm" TargetMode="External"/><Relationship Id="rId382" Type="http://schemas.openxmlformats.org/officeDocument/2006/relationships/hyperlink" Target="https://www.sec.gov/Archives/edgar/data/1527753/000119312523064524/d285289dex101.htm" TargetMode="External"/><Relationship Id="rId383" Type="http://schemas.openxmlformats.org/officeDocument/2006/relationships/hyperlink" Target="https://www.sec.gov/Archives/edgar/data/1527753/000119312523064524/d285289dex102.htm" TargetMode="External"/><Relationship Id="rId384" Type="http://schemas.openxmlformats.org/officeDocument/2006/relationships/hyperlink" Target="https://www.sec.gov/Archives/edgar/data/1527753/000119312523064524/d285289dex103.htm" TargetMode="External"/><Relationship Id="rId385" Type="http://schemas.openxmlformats.org/officeDocument/2006/relationships/hyperlink" Target="https://www.sec.gov/Archives/edgar/data/1527753/000095017023066458/psnl-ex10_1.htm" TargetMode="External"/><Relationship Id="rId386" Type="http://schemas.openxmlformats.org/officeDocument/2006/relationships/hyperlink" Target="https://www.sec.gov/Archives/edgar/data/0001527753/000119312519155338/d677649dex109.htm" TargetMode="External"/><Relationship Id="rId387" Type="http://schemas.openxmlformats.org/officeDocument/2006/relationships/hyperlink" Target="https://www.sec.gov/Archives/edgar/data/1527753/000156459020037746/psnl-ex101_178.htm" TargetMode="External"/><Relationship Id="rId388" Type="http://schemas.openxmlformats.org/officeDocument/2006/relationships/hyperlink" Target="https://www.sec.gov/Archives/edgar/data/1527753/000156459021054262/psnl-ex101_67.htm" TargetMode="External"/><Relationship Id="rId389" Type="http://schemas.openxmlformats.org/officeDocument/2006/relationships/hyperlink" Target="https://www.sec.gov/Archives/edgar/data/1527753/000156459022006722/psnl-ex1016_256.htm" TargetMode="External"/><Relationship Id="rId390" Type="http://schemas.openxmlformats.org/officeDocument/2006/relationships/hyperlink" Target="https://www.sec.gov/Archives/edgar/data/1527753/000156459022027773/psnl-ex101_102.htm" TargetMode="External"/><Relationship Id="rId391" Type="http://schemas.openxmlformats.org/officeDocument/2006/relationships/hyperlink" Target="https://www.sec.gov/Archives/edgar/data/1527753/000095017023004139/psnl-ex10_19.htm" TargetMode="External"/><Relationship Id="rId392" Type="http://schemas.openxmlformats.org/officeDocument/2006/relationships/hyperlink" Target="https://www.sec.gov/Archives/edgar/data/1527753/000095017022021272/psnl-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2024-02-28T17:19:57Z</dcterms:created>
  <dcterms:modified xsi:type="dcterms:W3CDTF">2024-02-28T17:19:57Z</dcterms:modified>
</cp:coreProperties>
</file>