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snl-20230630.htm"/>
      <w:bookmarkStart w:id="1" w:name="kspsnl20230630"/>
      <w:bookmarkEnd w:id="0"/>
      <w:bookmarkEnd w:id="1"/>
      <w:r>
        <w:rPr/>
        <w:t> </w:t>
      </w:r>
    </w:p>
    <w:p>
      <w:pPr>
        <w:pStyle w:val="TextBody"/>
        <w:pBdr>
          <w:top w:val="double" w:sz="6" w:space="1" w:color="000000"/>
        </w:pBdr>
        <w:bidi w:val="0"/>
        <w:spacing w:before="120" w:after="0"/>
        <w:jc w:val="left"/>
        <w:rPr/>
      </w:pPr>
      <w:r>
        <w:rPr/>
        <w:t> </w:t>
      </w:r>
    </w:p>
    <w:p>
      <w:pPr>
        <w:pStyle w:val="TextBody"/>
        <w:bidi w:val="0"/>
        <w:spacing w:before="40" w:after="0"/>
        <w:jc w:val="center"/>
        <w:rPr>
          <w:rFonts w:ascii="Arial;sans-serif" w:hAnsi="Arial;sans-serif"/>
          <w:b/>
          <w:sz w:val="28"/>
        </w:rPr>
      </w:pPr>
      <w:r>
        <w:rPr>
          <w:rFonts w:ascii="Arial;sans-serif" w:hAnsi="Arial;sans-serif"/>
          <w:b/>
          <w:sz w:val="28"/>
        </w:rPr>
        <w:t>UNITED STATES</w:t>
      </w:r>
    </w:p>
    <w:p>
      <w:pPr>
        <w:pStyle w:val="TextBody"/>
        <w:bidi w:val="0"/>
        <w:spacing w:before="0" w:after="0"/>
        <w:jc w:val="center"/>
        <w:rPr>
          <w:rFonts w:ascii="Arial;sans-serif" w:hAnsi="Arial;sans-serif"/>
          <w:b/>
          <w:sz w:val="28"/>
        </w:rPr>
      </w:pPr>
      <w:r>
        <w:rPr>
          <w:rFonts w:ascii="Arial;sans-serif" w:hAnsi="Arial;sans-serif"/>
          <w:b/>
          <w:sz w:val="28"/>
        </w:rPr>
        <w:t>SECURITIES AND EXCHANGE COMMISSION</w:t>
      </w:r>
    </w:p>
    <w:p>
      <w:pPr>
        <w:pStyle w:val="TextBody"/>
        <w:bidi w:val="0"/>
        <w:spacing w:before="0" w:after="0"/>
        <w:jc w:val="center"/>
        <w:rPr>
          <w:rFonts w:ascii="Arial;sans-serif" w:hAnsi="Arial;sans-serif"/>
          <w:b/>
          <w:sz w:val="18"/>
        </w:rPr>
      </w:pPr>
      <w:r>
        <w:rPr>
          <w:rFonts w:ascii="Arial;sans-serif" w:hAnsi="Arial;sans-serif"/>
          <w:b/>
          <w:sz w:val="18"/>
        </w:rPr>
        <w:t>WASHINGTON, DC 20549</w:t>
      </w:r>
    </w:p>
    <w:p>
      <w:pPr>
        <w:pStyle w:val="TextBody"/>
        <w:pBdr>
          <w:bottom w:val="single" w:sz="4" w:space="1" w:color="000000"/>
        </w:pBdr>
        <w:bidi w:val="0"/>
        <w:spacing w:before="0" w:after="0"/>
        <w:jc w:val="left"/>
        <w:rPr/>
      </w:pPr>
      <w:r>
        <w:rPr/>
        <w:t> </w:t>
      </w:r>
    </w:p>
    <w:p>
      <w:pPr>
        <w:pStyle w:val="TextBody"/>
        <w:bidi w:val="0"/>
        <w:spacing w:before="0" w:after="0"/>
        <w:jc w:val="center"/>
        <w:rPr>
          <w:rFonts w:ascii="Arial;sans-serif" w:hAnsi="Arial;sans-serif"/>
          <w:b/>
          <w:sz w:val="36"/>
        </w:rPr>
      </w:pPr>
      <w:r>
        <w:rPr>
          <w:rFonts w:ascii="Arial;sans-serif" w:hAnsi="Arial;sans-serif"/>
          <w:b/>
          <w:sz w:val="36"/>
        </w:rPr>
        <w:t>FORM 10-Q</w:t>
      </w:r>
    </w:p>
    <w:p>
      <w:pPr>
        <w:pStyle w:val="TextBody"/>
        <w:pBdr>
          <w:bottom w:val="single" w:sz="4"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xml:space="preserve">☒ </w:t>
      </w:r>
      <w:r>
        <w:rPr>
          <w:rFonts w:ascii="Arial;sans-serif" w:hAnsi="Arial;sans-serif"/>
          <w:b/>
          <w:sz w:val="18"/>
        </w:rPr>
        <w:t>QUARTERLY REPORT PURSUANT TO SECTION 13 OR 15(d) OF THE SECURITIES EXCHANGE ACT OF 1934</w:t>
      </w:r>
    </w:p>
    <w:p>
      <w:pPr>
        <w:pStyle w:val="TextBody"/>
        <w:bidi w:val="0"/>
        <w:spacing w:before="120" w:after="0"/>
        <w:jc w:val="center"/>
        <w:rPr>
          <w:rFonts w:ascii="Arial;sans-serif" w:hAnsi="Arial;sans-serif"/>
          <w:b/>
          <w:sz w:val="18"/>
        </w:rPr>
      </w:pPr>
      <w:r>
        <w:rPr>
          <w:rFonts w:ascii="Arial;sans-serif" w:hAnsi="Arial;sans-serif"/>
          <w:b/>
          <w:sz w:val="18"/>
        </w:rPr>
        <w:t>For the quarterly period ended June 30, 2023</w:t>
      </w:r>
    </w:p>
    <w:p>
      <w:pPr>
        <w:pStyle w:val="TextBody"/>
        <w:bidi w:val="0"/>
        <w:spacing w:before="120" w:after="0"/>
        <w:jc w:val="center"/>
        <w:rPr>
          <w:rFonts w:ascii="Arial;sans-serif" w:hAnsi="Arial;sans-serif"/>
          <w:b/>
          <w:sz w:val="18"/>
        </w:rPr>
      </w:pPr>
      <w:r>
        <w:rPr>
          <w:rFonts w:ascii="Arial;sans-serif" w:hAnsi="Arial;sans-serif"/>
          <w:b/>
          <w:sz w:val="18"/>
        </w:rPr>
        <w:t>OR</w:t>
      </w:r>
    </w:p>
    <w:p>
      <w:pPr>
        <w:pStyle w:val="TextBody"/>
        <w:bidi w:val="0"/>
        <w:spacing w:before="120" w:after="0"/>
        <w:jc w:val="left"/>
        <w:rPr/>
      </w:pPr>
      <w:r>
        <w:rPr/>
        <w:t xml:space="preserve">☐ </w:t>
      </w:r>
      <w:r>
        <w:rPr>
          <w:rFonts w:ascii="Arial;sans-serif" w:hAnsi="Arial;sans-serif"/>
          <w:b/>
          <w:sz w:val="18"/>
        </w:rPr>
        <w:t>TRANSITION REPORT PURSUANT TO SECTION 13 OR 15(d) OF THE SECURITIES EXCHANGE ACT OF 1934</w:t>
      </w:r>
    </w:p>
    <w:p>
      <w:pPr>
        <w:pStyle w:val="TextBody"/>
        <w:bidi w:val="0"/>
        <w:spacing w:before="120" w:after="0"/>
        <w:jc w:val="center"/>
        <w:rPr>
          <w:rFonts w:ascii="Arial;sans-serif" w:hAnsi="Arial;sans-serif"/>
          <w:b/>
          <w:sz w:val="18"/>
        </w:rPr>
      </w:pPr>
      <w:r>
        <w:rPr>
          <w:rFonts w:ascii="Arial;sans-serif" w:hAnsi="Arial;sans-serif"/>
          <w:b/>
          <w:sz w:val="18"/>
        </w:rPr>
        <w:t>For the transition period from ________ to ________</w:t>
      </w:r>
    </w:p>
    <w:p>
      <w:pPr>
        <w:pStyle w:val="TextBody"/>
        <w:bidi w:val="0"/>
        <w:spacing w:before="120" w:after="0"/>
        <w:jc w:val="center"/>
        <w:rPr>
          <w:rFonts w:ascii="Arial;sans-serif" w:hAnsi="Arial;sans-serif"/>
          <w:b/>
          <w:sz w:val="18"/>
        </w:rPr>
      </w:pPr>
      <w:r>
        <w:rPr>
          <w:rFonts w:ascii="Arial;sans-serif" w:hAnsi="Arial;sans-serif"/>
          <w:b/>
          <w:sz w:val="18"/>
        </w:rPr>
        <w:t>Commission File Number: 001-38943</w:t>
      </w:r>
    </w:p>
    <w:p>
      <w:pPr>
        <w:pStyle w:val="TextBody"/>
        <w:pBdr>
          <w:bottom w:val="single" w:sz="4" w:space="1" w:color="000000"/>
        </w:pBdr>
        <w:bidi w:val="0"/>
        <w:spacing w:before="0" w:after="0"/>
        <w:jc w:val="center"/>
        <w:rPr/>
      </w:pPr>
      <w:r>
        <w:rPr/>
        <w:t> </w:t>
      </w:r>
    </w:p>
    <w:p>
      <w:pPr>
        <w:pStyle w:val="TextBody"/>
        <w:bidi w:val="0"/>
        <w:spacing w:before="120" w:after="0"/>
        <w:jc w:val="center"/>
        <w:rPr/>
      </w:pPr>
      <w:r>
        <w:rPr/>
        <w:drawing>
          <wp:inline distT="0" distB="0" distL="0" distR="0">
            <wp:extent cx="26765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638175"/>
                    </a:xfrm>
                    <a:prstGeom prst="rect">
                      <a:avLst/>
                    </a:prstGeom>
                  </pic:spPr>
                </pic:pic>
              </a:graphicData>
            </a:graphic>
          </wp:inline>
        </w:drawing>
      </w:r>
      <w:r>
        <w:rPr/>
        <w:t> </w:t>
      </w:r>
    </w:p>
    <w:p>
      <w:pPr>
        <w:pStyle w:val="TextBody"/>
        <w:bidi w:val="0"/>
        <w:spacing w:before="40" w:after="0"/>
        <w:jc w:val="center"/>
        <w:rPr>
          <w:rFonts w:ascii="Arial;sans-serif" w:hAnsi="Arial;sans-serif"/>
          <w:b/>
          <w:sz w:val="44"/>
        </w:rPr>
      </w:pPr>
      <w:r>
        <w:rPr>
          <w:rFonts w:ascii="Arial;sans-serif" w:hAnsi="Arial;sans-serif"/>
          <w:b/>
          <w:sz w:val="44"/>
        </w:rPr>
        <w:t>Personalis, Inc.</w:t>
      </w:r>
    </w:p>
    <w:p>
      <w:pPr>
        <w:pStyle w:val="TextBody"/>
        <w:bidi w:val="0"/>
        <w:spacing w:before="0" w:after="0"/>
        <w:jc w:val="center"/>
        <w:rPr>
          <w:rFonts w:ascii="Arial;sans-serif" w:hAnsi="Arial;sans-serif"/>
          <w:b w:val="false"/>
          <w:sz w:val="16"/>
        </w:rPr>
      </w:pPr>
      <w:r>
        <w:rPr>
          <w:rFonts w:ascii="Arial;sans-serif" w:hAnsi="Arial;sans-serif"/>
          <w:b w:val="false"/>
          <w:sz w:val="16"/>
        </w:rPr>
        <w:t>(Exact Name of registrant as specified in its charter)</w:t>
      </w:r>
    </w:p>
    <w:p>
      <w:pPr>
        <w:pStyle w:val="TextBody"/>
        <w:pBdr>
          <w:bottom w:val="single" w:sz="4" w:space="3" w:color="000000"/>
        </w:pBdr>
        <w:bidi w:val="0"/>
        <w:spacing w:before="0" w:after="0"/>
        <w:jc w:val="center"/>
        <w:rPr/>
      </w:pPr>
      <w:r>
        <w:rPr/>
        <w:t> </w:t>
      </w:r>
    </w:p>
    <w:p>
      <w:pPr>
        <w:pStyle w:val="TextBody"/>
        <w:bidi w:val="0"/>
        <w:spacing w:before="0" w:after="0"/>
        <w:jc w:val="left"/>
        <w:rPr/>
      </w:pPr>
      <w:r>
        <w:rPr/>
        <w:t> </w:t>
      </w:r>
    </w:p>
    <w:tbl>
      <w:tblPr>
        <w:tblW w:w="4367" w:type="dxa"/>
        <w:jc w:val="left"/>
        <w:tblInd w:w="0" w:type="dxa"/>
        <w:tblLayout w:type="fixed"/>
        <w:tblCellMar>
          <w:top w:w="28" w:type="dxa"/>
          <w:left w:w="28" w:type="dxa"/>
          <w:bottom w:w="28" w:type="dxa"/>
          <w:right w:w="28" w:type="dxa"/>
        </w:tblCellMar>
      </w:tblPr>
      <w:tblGrid>
        <w:gridCol w:w="2956"/>
        <w:gridCol w:w="1411"/>
      </w:tblGrid>
      <w:tr>
        <w:trPr/>
        <w:tc>
          <w:tcPr>
            <w:tcW w:w="29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Delaware</w:t>
            </w:r>
          </w:p>
        </w:tc>
        <w:tc>
          <w:tcPr>
            <w:tcW w:w="1411" w:type="dxa"/>
            <w:tcBorders/>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27-5411038</w:t>
            </w:r>
          </w:p>
        </w:tc>
      </w:tr>
      <w:tr>
        <w:trPr/>
        <w:tc>
          <w:tcPr>
            <w:tcW w:w="295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(State or other jurisdiction of</w:t>
            </w:r>
          </w:p>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incorporation or organization)</w:t>
            </w:r>
          </w:p>
        </w:tc>
        <w:tc>
          <w:tcPr>
            <w:tcW w:w="141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(I.R.S. Employer</w:t>
            </w:r>
          </w:p>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Identification No.)</w:t>
            </w:r>
          </w:p>
        </w:tc>
      </w:tr>
      <w:tr>
        <w:trPr/>
        <w:tc>
          <w:tcPr>
            <w:tcW w:w="2956" w:type="dxa"/>
            <w:tcBorders/>
            <w:vAlign w:val="center"/>
          </w:tcPr>
          <w:p>
            <w:pPr>
              <w:pStyle w:val="TableContents"/>
              <w:bidi w:val="0"/>
              <w:spacing w:before="0" w:after="0"/>
              <w:ind w:left="0" w:right="0" w:hanging="0"/>
              <w:jc w:val="center"/>
              <w:rPr/>
            </w:pPr>
            <w:r>
              <w:rPr/>
              <w:t> </w:t>
            </w:r>
          </w:p>
        </w:tc>
        <w:tc>
          <w:tcPr>
            <w:tcW w:w="1411" w:type="dxa"/>
            <w:tcBorders/>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6600 Dumbarton Circle</w:t>
            </w:r>
          </w:p>
          <w:p>
            <w:pPr>
              <w:pStyle w:val="TableContents"/>
              <w:bidi w:val="0"/>
              <w:spacing w:before="0" w:after="0"/>
              <w:ind w:left="0" w:right="0" w:hanging="0"/>
              <w:jc w:val="center"/>
              <w:rPr>
                <w:rFonts w:ascii="Arial;sans-serif" w:hAnsi="Arial;sans-serif"/>
                <w:b/>
                <w:sz w:val="18"/>
              </w:rPr>
            </w:pPr>
            <w:r>
              <w:rPr>
                <w:rFonts w:ascii="Arial;sans-serif" w:hAnsi="Arial;sans-serif"/>
                <w:b/>
                <w:sz w:val="18"/>
              </w:rPr>
              <w:t>Fremont, California</w:t>
            </w:r>
          </w:p>
        </w:tc>
        <w:tc>
          <w:tcPr>
            <w:tcW w:w="1411" w:type="dxa"/>
            <w:tcBorders/>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94555</w:t>
            </w:r>
          </w:p>
        </w:tc>
      </w:tr>
      <w:tr>
        <w:trPr/>
        <w:tc>
          <w:tcPr>
            <w:tcW w:w="2956"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(Address of principal executive offices)</w:t>
            </w:r>
          </w:p>
        </w:tc>
        <w:tc>
          <w:tcPr>
            <w:tcW w:w="1411" w:type="dxa"/>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(Zip Code)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Arial;sans-serif" w:hAnsi="Arial;sans-serif"/>
          <w:b w:val="false"/>
          <w:sz w:val="16"/>
        </w:rPr>
        <w:t>Registrant’s telephone number, including area code:</w:t>
      </w:r>
      <w:r>
        <w:rPr>
          <w:rFonts w:ascii="Times New Roman" w:hAnsi="Times New Roman"/>
          <w:sz w:val="20"/>
        </w:rPr>
        <w:t xml:space="preserve"> </w:t>
      </w:r>
      <w:r>
        <w:rPr>
          <w:rFonts w:ascii="Arial;sans-serif" w:hAnsi="Arial;sans-serif"/>
          <w:b/>
          <w:sz w:val="18"/>
        </w:rPr>
        <w:t>(650) 752-1300</w:t>
      </w:r>
    </w:p>
    <w:p>
      <w:pPr>
        <w:pStyle w:val="TextBody"/>
        <w:pBdr>
          <w:bottom w:val="single" w:sz="4" w:space="1" w:color="000000"/>
        </w:pBdr>
        <w:bidi w:val="0"/>
        <w:spacing w:before="0" w:after="0"/>
        <w:jc w:val="center"/>
        <w:rPr/>
      </w:pPr>
      <w:r>
        <w:rPr/>
        <w:t> </w:t>
      </w:r>
    </w:p>
    <w:p>
      <w:pPr>
        <w:pStyle w:val="TextBody"/>
        <w:bidi w:val="0"/>
        <w:spacing w:before="120" w:after="0"/>
        <w:jc w:val="left"/>
        <w:rPr>
          <w:rFonts w:ascii="Times New Roman" w:hAnsi="Times New Roman"/>
          <w:sz w:val="20"/>
        </w:rPr>
      </w:pPr>
      <w:r>
        <w:rPr>
          <w:rFonts w:ascii="Arial;sans-serif" w:hAnsi="Arial;sans-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155" w:type="dxa"/>
        <w:jc w:val="left"/>
        <w:tblInd w:w="0" w:type="dxa"/>
        <w:tblLayout w:type="fixed"/>
        <w:tblCellMar>
          <w:top w:w="28" w:type="dxa"/>
          <w:left w:w="28" w:type="dxa"/>
          <w:bottom w:w="28" w:type="dxa"/>
          <w:right w:w="28" w:type="dxa"/>
        </w:tblCellMar>
      </w:tblPr>
      <w:tblGrid>
        <w:gridCol w:w="2941"/>
        <w:gridCol w:w="146"/>
        <w:gridCol w:w="976"/>
        <w:gridCol w:w="146"/>
        <w:gridCol w:w="394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Trading</w:t>
            </w:r>
          </w:p>
          <w:p>
            <w:pPr>
              <w:pStyle w:val="TableContents"/>
              <w:bidi w:val="0"/>
              <w:spacing w:before="0" w:after="0"/>
              <w:ind w:left="0" w:right="0" w:hanging="0"/>
              <w:jc w:val="center"/>
              <w:rPr>
                <w:rFonts w:ascii="Arial;sans-serif" w:hAnsi="Arial;sans-serif"/>
                <w:b/>
                <w:sz w:val="18"/>
              </w:rPr>
            </w:pPr>
            <w:r>
              <w:rPr>
                <w:rFonts w:ascii="Arial;sans-serif" w:hAnsi="Arial;sans-serif"/>
                <w:b/>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Name of each exchange on which registered</w:t>
            </w:r>
          </w:p>
        </w:tc>
      </w:tr>
      <w:tr>
        <w:trPr/>
        <w:tc>
          <w:tcPr>
            <w:tcW w:w="294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Common Stock, par value $0.0001</w:t>
            </w:r>
          </w:p>
        </w:tc>
        <w:tc>
          <w:tcPr>
            <w:tcW w:w="14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PSNL</w:t>
            </w:r>
          </w:p>
        </w:tc>
        <w:tc>
          <w:tcPr>
            <w:tcW w:w="146" w:type="dxa"/>
            <w:tcBorders/>
            <w:vAlign w:val="center"/>
          </w:tcPr>
          <w:p>
            <w:pPr>
              <w:pStyle w:val="TableContents"/>
              <w:bidi w:val="0"/>
              <w:spacing w:before="0" w:after="0"/>
              <w:ind w:left="0" w:right="0" w:hanging="0"/>
              <w:jc w:val="center"/>
              <w:rPr/>
            </w:pPr>
            <w:r>
              <w:rPr/>
              <w:t> </w:t>
            </w:r>
          </w:p>
        </w:tc>
        <w:tc>
          <w:tcPr>
            <w:tcW w:w="3946"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The Nasdaq Global Market</w:t>
            </w:r>
          </w:p>
        </w:tc>
      </w:tr>
    </w:tbl>
    <w:p>
      <w:pPr>
        <w:pStyle w:val="TextBody"/>
        <w:bidi w:val="0"/>
        <w:spacing w:before="120" w:after="0"/>
        <w:jc w:val="left"/>
        <w:rPr>
          <w:rFonts w:ascii="Times New Roman" w:hAnsi="Times New Roman"/>
          <w:sz w:val="20"/>
        </w:rPr>
      </w:pPr>
      <w:r>
        <w:rPr>
          <w:rFonts w:ascii="Arial;sans-serif" w:hAnsi="Arial;sans-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18"/>
        </w:rPr>
        <w:t>No ☐</w:t>
      </w:r>
    </w:p>
    <w:p>
      <w:pPr>
        <w:pStyle w:val="TextBody"/>
        <w:bidi w:val="0"/>
        <w:spacing w:before="120" w:after="0"/>
        <w:jc w:val="left"/>
        <w:rPr>
          <w:rFonts w:ascii="Times New Roman" w:hAnsi="Times New Roman"/>
          <w:sz w:val="20"/>
        </w:rPr>
      </w:pPr>
      <w:r>
        <w:rPr>
          <w:rFonts w:ascii="Arial;sans-serif" w:hAnsi="Arial;sans-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18"/>
        </w:rPr>
        <w:t>No ☐</w:t>
      </w:r>
    </w:p>
    <w:p>
      <w:pPr>
        <w:pStyle w:val="TextBody"/>
        <w:bidi w:val="0"/>
        <w:spacing w:before="120" w:after="120"/>
        <w:jc w:val="left"/>
        <w:rPr>
          <w:rFonts w:ascii="Arial;sans-serif" w:hAnsi="Arial;sans-serif"/>
          <w:b w:val="false"/>
          <w:sz w:val="18"/>
        </w:rPr>
      </w:pPr>
      <w:r>
        <w:rPr>
          <w:rFonts w:ascii="Arial;sans-serif" w:hAnsi="Arial;sans-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555"/>
        <w:gridCol w:w="146"/>
        <w:gridCol w:w="316"/>
        <w:gridCol w:w="1203"/>
        <w:gridCol w:w="146"/>
        <w:gridCol w:w="316"/>
        <w:gridCol w:w="1548"/>
        <w:gridCol w:w="146"/>
        <w:gridCol w:w="316"/>
        <w:gridCol w:w="1746"/>
        <w:gridCol w:w="146"/>
        <w:gridCol w:w="361"/>
        <w:gridCol w:w="1750"/>
        <w:gridCol w:w="146"/>
        <w:gridCol w:w="364"/>
      </w:tblGrid>
      <w:tr>
        <w:trPr/>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555"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Large 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203"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548"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Non-accelerated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Smaller reporting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xml:space="preserve">☒ </w:t>
            </w:r>
          </w:p>
        </w:tc>
        <w:tc>
          <w:tcPr>
            <w:tcW w:w="1750"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Emerging growth company</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w:t>
            </w:r>
          </w:p>
        </w:tc>
      </w:tr>
    </w:tbl>
    <w:p>
      <w:pPr>
        <w:pStyle w:val="TextBody"/>
        <w:bidi w:val="0"/>
        <w:spacing w:before="120" w:after="0"/>
        <w:jc w:val="left"/>
        <w:rPr>
          <w:rFonts w:ascii="Arial;sans-serif" w:hAnsi="Arial;sans-serif"/>
          <w:b w:val="false"/>
          <w:sz w:val="18"/>
        </w:rPr>
      </w:pPr>
      <w:r>
        <w:rPr>
          <w:rFonts w:ascii="Arial;sans-serif" w:hAnsi="Arial;sans-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jc w:val="left"/>
        <w:rPr>
          <w:rFonts w:ascii="Times New Roman" w:hAnsi="Times New Roman"/>
          <w:sz w:val="20"/>
        </w:rPr>
      </w:pPr>
      <w:r>
        <w:rPr>
          <w:rFonts w:ascii="Arial;sans-serif" w:hAnsi="Arial;sans-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120" w:after="0"/>
        <w:jc w:val="left"/>
        <w:rPr>
          <w:rFonts w:ascii="Arial;sans-serif" w:hAnsi="Arial;sans-serif"/>
          <w:b w:val="false"/>
          <w:sz w:val="18"/>
        </w:rPr>
      </w:pPr>
      <w:r>
        <w:rPr>
          <w:rFonts w:ascii="Arial;sans-serif" w:hAnsi="Arial;sans-serif"/>
          <w:b w:val="false"/>
          <w:sz w:val="18"/>
        </w:rPr>
        <w:t>The number of shares of registrant’s Common Stock outstanding as of August 1, 2023 was 48,518,901.</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Arial;sans-serif" w:hAnsi="Arial;sans-serif"/>
          <w:b/>
          <w:sz w:val="18"/>
        </w:rPr>
      </w:pPr>
      <w:r>
        <w:rPr>
          <w:rFonts w:ascii="Arial;sans-serif" w:hAnsi="Arial;sans-serif"/>
          <w:b/>
          <w:sz w:val="18"/>
        </w:rPr>
        <w:t>PERSONALIS, INC.</w:t>
      </w:r>
    </w:p>
    <w:p>
      <w:pPr>
        <w:pStyle w:val="TextBody"/>
        <w:bidi w:val="0"/>
        <w:spacing w:before="0" w:after="0"/>
        <w:jc w:val="center"/>
        <w:rPr/>
      </w:pPr>
      <w:r>
        <w:rPr/>
        <w:t> </w:t>
      </w:r>
    </w:p>
    <w:p>
      <w:pPr>
        <w:pStyle w:val="TextBody"/>
        <w:bidi w:val="0"/>
        <w:spacing w:before="0" w:after="0"/>
        <w:jc w:val="center"/>
        <w:rPr>
          <w:rFonts w:ascii="Arial;sans-serif" w:hAnsi="Arial;sans-serif"/>
          <w:b/>
          <w:sz w:val="18"/>
        </w:rPr>
      </w:pPr>
      <w:r>
        <w:rPr>
          <w:rFonts w:ascii="Arial;sans-serif" w:hAnsi="Arial;sans-serif"/>
          <w:b/>
          <w:sz w:val="18"/>
        </w:rPr>
        <w:t>Form 10-Q</w:t>
      </w:r>
    </w:p>
    <w:p>
      <w:pPr>
        <w:pStyle w:val="TextBody"/>
        <w:bidi w:val="0"/>
        <w:spacing w:before="0" w:after="0"/>
        <w:jc w:val="center"/>
        <w:rPr>
          <w:rFonts w:ascii="Arial;sans-serif" w:hAnsi="Arial;sans-serif"/>
          <w:b/>
          <w:sz w:val="18"/>
        </w:rPr>
      </w:pPr>
      <w:r>
        <w:rPr>
          <w:rFonts w:ascii="Arial;sans-serif" w:hAnsi="Arial;sans-serif"/>
          <w:b/>
          <w:sz w:val="18"/>
        </w:rPr>
        <w:t>For the Quarterly Period Ended June 30, 2023</w:t>
      </w:r>
    </w:p>
    <w:p>
      <w:pPr>
        <w:pStyle w:val="TextBody"/>
        <w:bidi w:val="0"/>
        <w:spacing w:before="0" w:after="0"/>
        <w:jc w:val="center"/>
        <w:rPr/>
      </w:pPr>
      <w:r>
        <w:rPr/>
        <w:t> </w:t>
      </w:r>
    </w:p>
    <w:p>
      <w:pPr>
        <w:pStyle w:val="TextBody"/>
        <w:bidi w:val="0"/>
        <w:spacing w:before="0" w:after="0"/>
        <w:jc w:val="center"/>
        <w:rPr>
          <w:rFonts w:ascii="Arial;sans-serif" w:hAnsi="Arial;sans-serif"/>
          <w:b/>
          <w:sz w:val="18"/>
        </w:rPr>
      </w:pPr>
      <w:bookmarkStart w:id="2" w:name="table_of_contents"/>
      <w:bookmarkEnd w:id="2"/>
      <w:r>
        <w:rPr>
          <w:rFonts w:ascii="Arial;sans-serif" w:hAnsi="Arial;sans-serif"/>
          <w:b/>
          <w:sz w:val="18"/>
        </w:rPr>
        <w:t>TABLE OF CONTENTS</w:t>
      </w:r>
    </w:p>
    <w:p>
      <w:pPr>
        <w:pStyle w:val="TextBody"/>
        <w:bidi w:val="0"/>
        <w:spacing w:before="0" w:after="0"/>
        <w:jc w:val="center"/>
        <w:rPr/>
      </w:pPr>
      <w:r>
        <w:rPr/>
        <w:t> </w:t>
      </w:r>
    </w:p>
    <w:tbl>
      <w:tblPr>
        <w:tblW w:w="8718" w:type="dxa"/>
        <w:jc w:val="left"/>
        <w:tblInd w:w="0" w:type="dxa"/>
        <w:tblLayout w:type="fixed"/>
        <w:tblCellMar>
          <w:top w:w="28" w:type="dxa"/>
          <w:left w:w="28" w:type="dxa"/>
          <w:bottom w:w="28" w:type="dxa"/>
          <w:right w:w="28" w:type="dxa"/>
        </w:tblCellMar>
      </w:tblPr>
      <w:tblGrid>
        <w:gridCol w:w="781"/>
        <w:gridCol w:w="7351"/>
        <w:gridCol w:w="586"/>
      </w:tblGrid>
      <w:tr>
        <w:trPr/>
        <w:tc>
          <w:tcPr>
            <w:tcW w:w="78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78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Page</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pecial_note_forward_looking_statements">
              <w:r>
                <w:rPr>
                  <w:rStyle w:val="InternetLink"/>
                  <w:rFonts w:ascii="Arial;sans-serif" w:hAnsi="Arial;sans-serif"/>
                  <w:b w:val="false"/>
                  <w:sz w:val="18"/>
                  <w:u w:val="single"/>
                </w:rPr>
                <w:t>Note Regarding Forward-Looking Statements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718" w:type="dxa"/>
            <w:gridSpan w:val="3"/>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financial_information">
              <w:r>
                <w:rPr>
                  <w:rStyle w:val="InternetLink"/>
                  <w:rFonts w:ascii="Arial;sans-serif" w:hAnsi="Arial;sans-serif"/>
                  <w:b/>
                  <w:sz w:val="18"/>
                  <w:u w:val="single"/>
                </w:rPr>
                <w:t>PART I—FINANCIAL INFORMATION</w:t>
              </w:r>
            </w:hyperlink>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1.</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Arial;sans-serif" w:hAnsi="Arial;sans-serif"/>
                  <w:b w:val="false"/>
                  <w:sz w:val="18"/>
                  <w:u w:val="single"/>
                </w:rPr>
                <w:t>Financial Statements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condensed_consolidated_balance_sheets_un">
              <w:r>
                <w:rPr>
                  <w:rStyle w:val="InternetLink"/>
                  <w:rFonts w:ascii="Arial;sans-serif" w:hAnsi="Arial;sans-serif"/>
                  <w:b w:val="false"/>
                  <w:sz w:val="18"/>
                  <w:u w:val="single"/>
                </w:rPr>
                <w:t>Condensed Consolidated Balance Sheets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condensed_consolidated_statements_ops">
              <w:r>
                <w:rPr>
                  <w:rStyle w:val="InternetLink"/>
                  <w:rFonts w:ascii="Arial;sans-serif" w:hAnsi="Arial;sans-serif"/>
                  <w:b w:val="false"/>
                  <w:sz w:val="18"/>
                  <w:u w:val="single"/>
                </w:rPr>
                <w:t>Condensed Consolidated Statements of Operations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5</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condensed_consolidated_statements_compre">
              <w:r>
                <w:rPr>
                  <w:rStyle w:val="InternetLink"/>
                  <w:rFonts w:ascii="Arial;sans-serif" w:hAnsi="Arial;sans-serif"/>
                  <w:b w:val="false"/>
                  <w:sz w:val="18"/>
                  <w:u w:val="single"/>
                </w:rPr>
                <w:t>Condensed Consolidated Statements of Comprehensive Loss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6</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condensed_consolidated_equity_statement">
              <w:r>
                <w:rPr>
                  <w:rStyle w:val="InternetLink"/>
                  <w:rFonts w:ascii="Arial;sans-serif" w:hAnsi="Arial;sans-serif"/>
                  <w:b w:val="false"/>
                  <w:sz w:val="18"/>
                  <w:u w:val="single"/>
                </w:rPr>
                <w:t>Condensed Consolidated Statements of Stockholders’ Equity</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condensed_consolidated_statements_cash_f">
              <w:r>
                <w:rPr>
                  <w:rStyle w:val="InternetLink"/>
                  <w:rFonts w:ascii="Arial;sans-serif" w:hAnsi="Arial;sans-serif"/>
                  <w:b w:val="false"/>
                  <w:sz w:val="18"/>
                  <w:u w:val="single"/>
                </w:rPr>
                <w:t>Condensed Consolidated Statements of Cash Flows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9</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index_to_notes">
              <w:r>
                <w:rPr>
                  <w:rStyle w:val="InternetLink"/>
                  <w:rFonts w:ascii="Arial;sans-serif" w:hAnsi="Arial;sans-serif"/>
                  <w:b w:val="false"/>
                  <w:sz w:val="18"/>
                  <w:u w:val="single"/>
                </w:rPr>
                <w:t>Index to Notes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0"/>
              <w:ind w:left="274" w:right="0" w:hanging="0"/>
              <w:jc w:val="left"/>
              <w:rPr/>
            </w:pPr>
            <w:hyperlink w:anchor="noates_to_financials">
              <w:r>
                <w:rPr>
                  <w:rStyle w:val="InternetLink"/>
                  <w:rFonts w:ascii="Arial;sans-serif" w:hAnsi="Arial;sans-serif"/>
                  <w:b w:val="false"/>
                  <w:sz w:val="18"/>
                  <w:u w:val="single"/>
                </w:rPr>
                <w:t>Notes to Unaudited Condensed Consolidated Financial Statements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11</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2.</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Arial;sans-serif" w:hAnsi="Arial;sans-serif"/>
                  <w:b w:val="false"/>
                  <w:sz w:val="18"/>
                  <w:u w:val="single"/>
                </w:rPr>
                <w:t>Management’s Discussion and Analysis of Financial Condition and Results of Operations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3.</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Arial;sans-serif" w:hAnsi="Arial;sans-serif"/>
                  <w:b w:val="false"/>
                  <w:sz w:val="18"/>
                  <w:u w:val="single"/>
                </w:rPr>
                <w:t>Quantitative and Qualitative Disclosures About Market Risk</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28</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4.</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Arial;sans-serif" w:hAnsi="Arial;sans-serif"/>
                  <w:b w:val="false"/>
                  <w:sz w:val="18"/>
                  <w:u w:val="single"/>
                </w:rPr>
                <w:t>Controls and Procedures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28</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718" w:type="dxa"/>
            <w:gridSpan w:val="3"/>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ior_information">
              <w:r>
                <w:rPr>
                  <w:rStyle w:val="InternetLink"/>
                  <w:rFonts w:ascii="Arial;sans-serif" w:hAnsi="Arial;sans-serif"/>
                  <w:b/>
                  <w:sz w:val="18"/>
                  <w:u w:val="single"/>
                </w:rPr>
                <w:t>PART II—OTHER INFORMATION</w:t>
              </w:r>
            </w:hyperlink>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1.</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Arial;sans-serif" w:hAnsi="Arial;sans-serif"/>
                  <w:b w:val="false"/>
                  <w:sz w:val="18"/>
                  <w:u w:val="single"/>
                </w:rPr>
                <w:t>Legal Proceedings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29</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1A.</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Arial;sans-serif" w:hAnsi="Arial;sans-serif"/>
                  <w:b w:val="false"/>
                  <w:sz w:val="18"/>
                  <w:u w:val="single"/>
                </w:rPr>
                <w:t>Risk Factors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29</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2.</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Arial;sans-serif" w:hAnsi="Arial;sans-serif"/>
                  <w:b w:val="false"/>
                  <w:sz w:val="18"/>
                  <w:u w:val="single"/>
                </w:rPr>
                <w:t>Unregistered Sales of Equity Securities and Use of Proceeds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70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3.</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Arial;sans-serif" w:hAnsi="Arial;sans-serif"/>
                  <w:b w:val="false"/>
                  <w:sz w:val="18"/>
                  <w:u w:val="single"/>
                </w:rPr>
                <w:t>Defaults Upon Senior Securities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70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4.</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Arial;sans-serif" w:hAnsi="Arial;sans-serif"/>
                  <w:b w:val="false"/>
                  <w:sz w:val="18"/>
                  <w:u w:val="single"/>
                </w:rPr>
                <w:t>Mine Safety Disclosures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70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5.</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ther_information">
              <w:r>
                <w:rPr>
                  <w:rStyle w:val="InternetLink"/>
                  <w:rFonts w:ascii="Arial;sans-serif" w:hAnsi="Arial;sans-serif"/>
                  <w:b w:val="false"/>
                  <w:sz w:val="18"/>
                  <w:u w:val="single"/>
                </w:rPr>
                <w:t>Other Information</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70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Item 6.</w:t>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Arial;sans-serif" w:hAnsi="Arial;sans-serif"/>
                  <w:b w:val="false"/>
                  <w:sz w:val="18"/>
                  <w:u w:val="single"/>
                </w:rPr>
                <w:t>Exhibits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71</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5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Arial;sans-serif" w:hAnsi="Arial;sans-serif"/>
                  <w:b w:val="false"/>
                  <w:sz w:val="18"/>
                  <w:u w:val="single"/>
                </w:rPr>
                <w:t>Signatures</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72</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18"/>
        </w:rPr>
      </w:pPr>
      <w:r>
        <w:rPr>
          <w:rFonts w:ascii="Arial;sans-serif" w:hAnsi="Arial;sans-serif"/>
          <w:b w:val="false"/>
          <w:sz w:val="18"/>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3" w:name="special_note_forward_looking_statements"/>
      <w:bookmarkEnd w:id="3"/>
      <w:r>
        <w:rPr>
          <w:rFonts w:ascii="Arial;sans-serif" w:hAnsi="Arial;sans-serif"/>
          <w:b/>
          <w:sz w:val="18"/>
        </w:rPr>
        <w:t>NOTE REGARDING</w:t>
      </w:r>
      <w:r>
        <w:rPr>
          <w:rFonts w:ascii="Times New Roman" w:hAnsi="Times New Roman"/>
          <w:sz w:val="20"/>
        </w:rPr>
        <w:t xml:space="preserve"> </w:t>
      </w:r>
      <w:r>
        <w:rPr>
          <w:rFonts w:ascii="Arial;sans-serif" w:hAnsi="Arial;sans-serif"/>
          <w:b/>
          <w:sz w:val="18"/>
        </w:rPr>
        <w:t>FORWARD-LOOKING STATEMENTS</w:t>
      </w:r>
    </w:p>
    <w:p>
      <w:pPr>
        <w:pStyle w:val="TextBody"/>
        <w:bidi w:val="0"/>
        <w:spacing w:before="200" w:after="200"/>
        <w:jc w:val="both"/>
        <w:rPr>
          <w:rFonts w:ascii="Arial;sans-serif" w:hAnsi="Arial;sans-serif"/>
          <w:b w:val="false"/>
          <w:sz w:val="18"/>
        </w:rPr>
      </w:pPr>
      <w:r>
        <w:rPr>
          <w:rFonts w:ascii="Arial;sans-serif" w:hAnsi="Arial;sans-serif"/>
          <w:b w:val="false"/>
          <w:sz w:val="18"/>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the evolution of cancer therapies and market adoption of our services and products;</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estimates of our total addressable market, future revenue and the timing thereof, expenses, use of cash and other resources, cost savings, capital requirements, and our needs for additional financing;</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future reimbursement and reimbursement rulings;</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ability to enter into and compete in new markets;</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the impact our collaboration agreements and key opinion leaders may have on the broader use of our platform in the future;</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the potential impacts of inflation, macroeconomic conditions, and geopolitical conflicts on our business and operations;</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the benefits of our products and services, including their ability to increase the probability of clinical trial success;</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ability to compete effectively with existing competitors and new market entrants;</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business strategies, including our aim to focus on certain indications and the timing thereof;</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planned closure of our operations in China and the timing thereof;</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ability to benefit from the scaling of our infrastructure and new facility in Fremont;</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ability to manage and grow our business by expanding our sales to existing customers or introducing our services and products to new customers;</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ability to establish and maintain intellectual property protection for our services and products or avoid claims of infringement;</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success in defending and enforcing our intellectual property rights, including patents;</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potential effects of extensive government regulation;</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 xml:space="preserve">our ability to hire and retain key personnel; </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ability to obtain financing when needed;</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 xml:space="preserve">our belief that approval of personalized cancer therapies by the U.S. Food and Drug Administration may drive benefits to our business; </w:t>
      </w:r>
    </w:p>
    <w:p>
      <w:pPr>
        <w:pStyle w:val="TextBody"/>
        <w:bidi w:val="0"/>
        <w:spacing w:before="0" w:after="0"/>
        <w:jc w:val="both"/>
        <w:rPr/>
      </w:pPr>
      <w:r>
        <w:rPr/>
        <w:t>•</w:t>
      </w:r>
    </w:p>
    <w:p>
      <w:pPr>
        <w:pStyle w:val="TextBody"/>
        <w:bidi w:val="0"/>
        <w:spacing w:before="0" w:after="0"/>
        <w:jc w:val="both"/>
        <w:rPr>
          <w:rFonts w:ascii="Arial;sans-serif" w:hAnsi="Arial;sans-serif"/>
          <w:b w:val="false"/>
          <w:sz w:val="18"/>
        </w:rPr>
      </w:pPr>
      <w:r>
        <w:rPr>
          <w:rFonts w:ascii="Arial;sans-serif" w:hAnsi="Arial;sans-serif"/>
          <w:b w:val="false"/>
          <w:sz w:val="18"/>
        </w:rPr>
        <w:t>our future business with the U.S. Department of Veterans Affairs' Million Veteran Program ("VA MVP"), Natera, Inc., and other collaboration partners and customers; and</w:t>
      </w:r>
    </w:p>
    <w:p>
      <w:pPr>
        <w:pStyle w:val="TextBody"/>
        <w:bidi w:val="0"/>
        <w:spacing w:before="0" w:after="0"/>
        <w:jc w:val="both"/>
        <w:rPr/>
      </w:pPr>
      <w:r>
        <w:rPr/>
        <w:t>•</w:t>
      </w:r>
    </w:p>
    <w:p>
      <w:pPr>
        <w:pStyle w:val="TextBody"/>
        <w:bidi w:val="0"/>
        <w:jc w:val="both"/>
        <w:rPr>
          <w:rFonts w:ascii="Arial;sans-serif" w:hAnsi="Arial;sans-serif"/>
          <w:b w:val="false"/>
          <w:sz w:val="18"/>
        </w:rPr>
      </w:pPr>
      <w:r>
        <w:rPr>
          <w:rFonts w:ascii="Arial;sans-serif" w:hAnsi="Arial;sans-serif"/>
          <w:b w:val="false"/>
          <w:sz w:val="18"/>
        </w:rPr>
        <w:t>our ability to maintain proper and effective internal controls.</w:t>
      </w:r>
    </w:p>
    <w:p>
      <w:pPr>
        <w:pStyle w:val="TextBody"/>
        <w:bidi w:val="0"/>
        <w:spacing w:before="200" w:after="0"/>
        <w:jc w:val="both"/>
        <w:rPr>
          <w:rFonts w:ascii="Arial;sans-serif" w:hAnsi="Arial;sans-serif"/>
          <w:b w:val="false"/>
          <w:sz w:val="18"/>
        </w:rPr>
      </w:pPr>
      <w:r>
        <w:rPr>
          <w:rFonts w:ascii="Arial;sans-serif" w:hAnsi="Arial;sans-serif"/>
          <w:b w:val="false"/>
          <w:sz w:val="18"/>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00" w:after="0"/>
        <w:jc w:val="both"/>
        <w:rPr>
          <w:rFonts w:ascii="Arial;sans-serif" w:hAnsi="Arial;sans-serif"/>
          <w:b w:val="false"/>
          <w:sz w:val="18"/>
        </w:rPr>
      </w:pPr>
      <w:r>
        <w:rPr>
          <w:rFonts w:ascii="Arial;sans-serif" w:hAnsi="Arial;sans-serif"/>
          <w:b w:val="false"/>
          <w:sz w:val="18"/>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00" w:after="0"/>
        <w:jc w:val="both"/>
        <w:rPr>
          <w:rFonts w:ascii="Times New Roman" w:hAnsi="Times New Roman"/>
          <w:sz w:val="20"/>
        </w:rPr>
      </w:pPr>
      <w:r>
        <w:rPr>
          <w:rFonts w:ascii="Arial;sans-serif" w:hAnsi="Arial;sans-serif"/>
          <w:b w:val="false"/>
          <w:i/>
          <w:sz w:val="18"/>
        </w:rPr>
        <w:t>Unless the context otherwise requires, references in this Quarterly Report on Form 10-Q to the “company,” “Personalis,” “we,” “us” and “our” refer to Personalis, Inc.</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4" w:name="part_ifinancial_information"/>
      <w:bookmarkEnd w:id="4"/>
      <w:r>
        <w:rPr>
          <w:rFonts w:ascii="Arial;sans-serif" w:hAnsi="Arial;sans-serif"/>
          <w:b/>
          <w:sz w:val="18"/>
        </w:rPr>
        <w:t>PART I—FINANCIAL</w:t>
      </w:r>
      <w:r>
        <w:rPr>
          <w:rFonts w:ascii="Times New Roman" w:hAnsi="Times New Roman"/>
          <w:sz w:val="20"/>
        </w:rPr>
        <w:t xml:space="preserve"> </w:t>
      </w:r>
      <w:r>
        <w:rPr>
          <w:rFonts w:ascii="Arial;sans-serif" w:hAnsi="Arial;sans-serif"/>
          <w:b/>
          <w:sz w:val="18"/>
        </w:rPr>
        <w:t>INFORMATION</w:t>
      </w:r>
    </w:p>
    <w:p>
      <w:pPr>
        <w:pStyle w:val="TextBody"/>
        <w:bidi w:val="0"/>
        <w:spacing w:before="240" w:after="0"/>
        <w:jc w:val="left"/>
        <w:rPr>
          <w:rFonts w:ascii="Arial;sans-serif" w:hAnsi="Arial;sans-serif"/>
          <w:b/>
          <w:sz w:val="18"/>
        </w:rPr>
      </w:pPr>
      <w:bookmarkStart w:id="5" w:name="item_1_financial_statements"/>
      <w:bookmarkEnd w:id="5"/>
      <w:r>
        <w:rPr>
          <w:rFonts w:ascii="Arial;sans-serif" w:hAnsi="Arial;sans-serif"/>
          <w:b/>
          <w:sz w:val="18"/>
        </w:rPr>
        <w:t>Item 1. Financial Statements</w:t>
      </w:r>
    </w:p>
    <w:p>
      <w:pPr>
        <w:pStyle w:val="TextBody"/>
        <w:bidi w:val="0"/>
        <w:spacing w:before="200" w:after="0"/>
        <w:jc w:val="center"/>
        <w:rPr>
          <w:rFonts w:ascii="Arial;sans-serif" w:hAnsi="Arial;sans-serif"/>
          <w:b/>
          <w:sz w:val="18"/>
        </w:rPr>
      </w:pPr>
      <w:r>
        <w:rPr>
          <w:rFonts w:ascii="Arial;sans-serif" w:hAnsi="Arial;sans-serif"/>
          <w:b/>
          <w:sz w:val="18"/>
        </w:rPr>
        <w:t>PERSONALIS, INC.</w:t>
      </w:r>
    </w:p>
    <w:p>
      <w:pPr>
        <w:pStyle w:val="TextBody"/>
        <w:bidi w:val="0"/>
        <w:spacing w:before="0" w:after="0"/>
        <w:jc w:val="center"/>
        <w:rPr>
          <w:rFonts w:ascii="Arial;sans-serif" w:hAnsi="Arial;sans-serif"/>
          <w:b/>
          <w:sz w:val="18"/>
        </w:rPr>
      </w:pPr>
      <w:bookmarkStart w:id="6" w:name="condensed_consolidated_balance_sheets_un"/>
      <w:bookmarkEnd w:id="6"/>
      <w:r>
        <w:rPr>
          <w:rFonts w:ascii="Arial;sans-serif" w:hAnsi="Arial;sans-serif"/>
          <w:b/>
          <w:sz w:val="18"/>
        </w:rPr>
        <w:t>CONDENSED CONSOLIDATED BALANCE SHEETS (unaudited)</w:t>
      </w:r>
    </w:p>
    <w:p>
      <w:pPr>
        <w:pStyle w:val="TextBody"/>
        <w:bidi w:val="0"/>
        <w:spacing w:before="0" w:after="0"/>
        <w:jc w:val="center"/>
        <w:rPr>
          <w:rFonts w:ascii="Arial;sans-serif" w:hAnsi="Arial;sans-serif"/>
          <w:b w:val="false"/>
          <w:sz w:val="18"/>
        </w:rPr>
      </w:pPr>
      <w:r>
        <w:rPr>
          <w:rFonts w:ascii="Arial;sans-serif" w:hAnsi="Arial;sans-serif"/>
          <w:b w:val="false"/>
          <w:sz w:val="18"/>
        </w:rPr>
        <w:t>(in thousands, except share and per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6606"/>
        <w:gridCol w:w="146"/>
        <w:gridCol w:w="219"/>
        <w:gridCol w:w="874"/>
        <w:gridCol w:w="166"/>
        <w:gridCol w:w="146"/>
        <w:gridCol w:w="247"/>
        <w:gridCol w:w="987"/>
        <w:gridCol w:w="814"/>
      </w:tblGrid>
      <w:tr>
        <w:trPr/>
        <w:tc>
          <w:tcPr>
            <w:tcW w:w="6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6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Assets</w:t>
            </w:r>
          </w:p>
        </w:tc>
        <w:tc>
          <w:tcPr>
            <w:tcW w:w="146" w:type="dxa"/>
            <w:tcBorders/>
            <w:vAlign w:val="center"/>
          </w:tcPr>
          <w:p>
            <w:pPr>
              <w:pStyle w:val="TableContents"/>
              <w:bidi w:val="0"/>
              <w:spacing w:before="0" w:after="0"/>
              <w:ind w:left="0" w:right="0" w:hanging="0"/>
              <w:jc w:val="left"/>
              <w:rPr/>
            </w:pPr>
            <w:r>
              <w:rPr/>
              <w:t> </w:t>
            </w:r>
          </w:p>
        </w:tc>
        <w:tc>
          <w:tcPr>
            <w:tcW w:w="109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hanging="0"/>
              <w:jc w:val="righ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Current assets</w:t>
            </w:r>
          </w:p>
        </w:tc>
        <w:tc>
          <w:tcPr>
            <w:tcW w:w="146" w:type="dxa"/>
            <w:tcBorders/>
            <w:vAlign w:val="center"/>
          </w:tcPr>
          <w:p>
            <w:pPr>
              <w:pStyle w:val="TableContents"/>
              <w:bidi w:val="0"/>
              <w:spacing w:before="0" w:after="0"/>
              <w:ind w:left="0" w:right="0" w:hanging="0"/>
              <w:jc w:val="left"/>
              <w:rPr/>
            </w:pPr>
            <w:r>
              <w:rPr/>
              <w:t> </w:t>
            </w:r>
          </w:p>
        </w:tc>
        <w:tc>
          <w:tcPr>
            <w:tcW w:w="109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firstLine="200"/>
              <w:jc w:val="right"/>
              <w:rPr/>
            </w:pPr>
            <w:r>
              <w:rPr/>
              <w:t> </w:t>
            </w:r>
          </w:p>
        </w:tc>
      </w:tr>
      <w:tr>
        <w:trPr/>
        <w:tc>
          <w:tcPr>
            <w:tcW w:w="660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97,195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89,128</w:t>
            </w:r>
          </w:p>
        </w:tc>
        <w:tc>
          <w:tcPr>
            <w:tcW w:w="814" w:type="dxa"/>
            <w:tcBorders/>
            <w:vAlign w:val="center"/>
          </w:tcPr>
          <w:p>
            <w:pPr>
              <w:pStyle w:val="TableContents"/>
              <w:bidi w:val="0"/>
              <w:spacing w:before="0" w:after="0"/>
              <w:ind w:left="0" w:right="0" w:firstLine="200"/>
              <w:jc w:val="left"/>
              <w:rPr/>
            </w:pPr>
            <w:r>
              <w:rPr/>
              <w:t> </w:t>
            </w:r>
          </w:p>
        </w:tc>
      </w:tr>
      <w:tr>
        <w:trPr/>
        <w:tc>
          <w:tcPr>
            <w:tcW w:w="660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Short-term investments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40,012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78,530</w:t>
            </w:r>
          </w:p>
        </w:tc>
        <w:tc>
          <w:tcPr>
            <w:tcW w:w="814" w:type="dxa"/>
            <w:tcBorders/>
            <w:vAlign w:val="center"/>
          </w:tcPr>
          <w:p>
            <w:pPr>
              <w:pStyle w:val="TableContents"/>
              <w:bidi w:val="0"/>
              <w:spacing w:before="0" w:after="0"/>
              <w:ind w:left="0" w:right="0" w:firstLine="200"/>
              <w:jc w:val="left"/>
              <w:rPr/>
            </w:pPr>
            <w:r>
              <w:rPr/>
              <w:t> </w:t>
            </w:r>
          </w:p>
        </w:tc>
      </w:tr>
      <w:tr>
        <w:trPr/>
        <w:tc>
          <w:tcPr>
            <w:tcW w:w="660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Accounts receivable, net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10,132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16,642</w:t>
            </w:r>
          </w:p>
        </w:tc>
        <w:tc>
          <w:tcPr>
            <w:tcW w:w="814" w:type="dxa"/>
            <w:tcBorders/>
            <w:vAlign w:val="center"/>
          </w:tcPr>
          <w:p>
            <w:pPr>
              <w:pStyle w:val="TableContents"/>
              <w:bidi w:val="0"/>
              <w:spacing w:before="0" w:after="0"/>
              <w:ind w:left="0" w:right="0" w:firstLine="200"/>
              <w:jc w:val="left"/>
              <w:rPr/>
            </w:pPr>
            <w:r>
              <w:rPr/>
              <w:t> </w:t>
            </w:r>
          </w:p>
        </w:tc>
      </w:tr>
      <w:tr>
        <w:trPr/>
        <w:tc>
          <w:tcPr>
            <w:tcW w:w="660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Inventory and other deferred costs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8,140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8,591</w:t>
            </w:r>
          </w:p>
        </w:tc>
        <w:tc>
          <w:tcPr>
            <w:tcW w:w="814" w:type="dxa"/>
            <w:tcBorders/>
            <w:vAlign w:val="center"/>
          </w:tcPr>
          <w:p>
            <w:pPr>
              <w:pStyle w:val="TableContents"/>
              <w:bidi w:val="0"/>
              <w:spacing w:before="0" w:after="0"/>
              <w:ind w:left="0" w:right="0" w:firstLine="200"/>
              <w:jc w:val="left"/>
              <w:rPr/>
            </w:pPr>
            <w:r>
              <w:rPr/>
              <w:t> </w:t>
            </w:r>
          </w:p>
        </w:tc>
      </w:tr>
      <w:tr>
        <w:trPr/>
        <w:tc>
          <w:tcPr>
            <w:tcW w:w="660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5,476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6,808</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606"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Total current assets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160,955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199,699</w:t>
            </w:r>
          </w:p>
        </w:tc>
        <w:tc>
          <w:tcPr>
            <w:tcW w:w="814" w:type="dxa"/>
            <w:tcBorders/>
            <w:vAlign w:val="center"/>
          </w:tcPr>
          <w:p>
            <w:pPr>
              <w:pStyle w:val="TableContents"/>
              <w:bidi w:val="0"/>
              <w:spacing w:before="0" w:after="0"/>
              <w:ind w:left="0" w:right="0" w:hanging="0"/>
              <w:jc w:val="lef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59,486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61,935</w:t>
            </w:r>
          </w:p>
        </w:tc>
        <w:tc>
          <w:tcPr>
            <w:tcW w:w="814" w:type="dxa"/>
            <w:tcBorders/>
            <w:vAlign w:val="center"/>
          </w:tcPr>
          <w:p>
            <w:pPr>
              <w:pStyle w:val="TableContents"/>
              <w:bidi w:val="0"/>
              <w:spacing w:before="0" w:after="0"/>
              <w:ind w:left="0" w:right="0" w:hanging="0"/>
              <w:jc w:val="lef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24,660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26,480</w:t>
            </w:r>
          </w:p>
        </w:tc>
        <w:tc>
          <w:tcPr>
            <w:tcW w:w="814" w:type="dxa"/>
            <w:tcBorders/>
            <w:vAlign w:val="center"/>
          </w:tcPr>
          <w:p>
            <w:pPr>
              <w:pStyle w:val="TableContents"/>
              <w:bidi w:val="0"/>
              <w:spacing w:before="0" w:after="0"/>
              <w:ind w:left="0" w:right="0" w:hanging="0"/>
              <w:jc w:val="lef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Other long-term assets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4,586</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606"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Total assets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249,038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292,700</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9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hanging="0"/>
              <w:jc w:val="righ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Current liabilities</w:t>
            </w:r>
          </w:p>
        </w:tc>
        <w:tc>
          <w:tcPr>
            <w:tcW w:w="146" w:type="dxa"/>
            <w:tcBorders/>
            <w:vAlign w:val="center"/>
          </w:tcPr>
          <w:p>
            <w:pPr>
              <w:pStyle w:val="TableContents"/>
              <w:bidi w:val="0"/>
              <w:spacing w:before="0" w:after="0"/>
              <w:ind w:left="0" w:right="0" w:hanging="0"/>
              <w:jc w:val="left"/>
              <w:rPr/>
            </w:pPr>
            <w:r>
              <w:rPr/>
              <w:t> </w:t>
            </w:r>
          </w:p>
        </w:tc>
        <w:tc>
          <w:tcPr>
            <w:tcW w:w="109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firstLine="200"/>
              <w:jc w:val="right"/>
              <w:rPr/>
            </w:pPr>
            <w:r>
              <w:rPr/>
              <w:t> </w:t>
            </w:r>
          </w:p>
        </w:tc>
      </w:tr>
      <w:tr>
        <w:trPr/>
        <w:tc>
          <w:tcPr>
            <w:tcW w:w="660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Accounts payable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8,847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12,854</w:t>
            </w:r>
          </w:p>
        </w:tc>
        <w:tc>
          <w:tcPr>
            <w:tcW w:w="814" w:type="dxa"/>
            <w:tcBorders/>
            <w:vAlign w:val="center"/>
          </w:tcPr>
          <w:p>
            <w:pPr>
              <w:pStyle w:val="TableContents"/>
              <w:bidi w:val="0"/>
              <w:spacing w:before="0" w:after="0"/>
              <w:ind w:left="0" w:right="0" w:firstLine="200"/>
              <w:jc w:val="left"/>
              <w:rPr/>
            </w:pPr>
            <w:r>
              <w:rPr/>
              <w:t> </w:t>
            </w:r>
          </w:p>
        </w:tc>
      </w:tr>
      <w:tr>
        <w:trPr/>
        <w:tc>
          <w:tcPr>
            <w:tcW w:w="660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16,408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19,013</w:t>
            </w:r>
          </w:p>
        </w:tc>
        <w:tc>
          <w:tcPr>
            <w:tcW w:w="814" w:type="dxa"/>
            <w:tcBorders/>
            <w:vAlign w:val="center"/>
          </w:tcPr>
          <w:p>
            <w:pPr>
              <w:pStyle w:val="TableContents"/>
              <w:bidi w:val="0"/>
              <w:spacing w:before="0" w:after="0"/>
              <w:ind w:left="0" w:right="0" w:firstLine="200"/>
              <w:jc w:val="left"/>
              <w:rPr/>
            </w:pPr>
            <w:r>
              <w:rPr/>
              <w:t> </w:t>
            </w:r>
          </w:p>
        </w:tc>
      </w:tr>
      <w:tr>
        <w:trPr/>
        <w:tc>
          <w:tcPr>
            <w:tcW w:w="660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Contract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1,264</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606"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28,592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33,131</w:t>
            </w:r>
          </w:p>
        </w:tc>
        <w:tc>
          <w:tcPr>
            <w:tcW w:w="814" w:type="dxa"/>
            <w:tcBorders/>
            <w:vAlign w:val="center"/>
          </w:tcPr>
          <w:p>
            <w:pPr>
              <w:pStyle w:val="TableContents"/>
              <w:bidi w:val="0"/>
              <w:spacing w:before="0" w:after="0"/>
              <w:ind w:left="0" w:right="0" w:hanging="0"/>
              <w:jc w:val="lef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41,041</w:t>
            </w:r>
          </w:p>
        </w:tc>
        <w:tc>
          <w:tcPr>
            <w:tcW w:w="814" w:type="dxa"/>
            <w:tcBorders/>
            <w:vAlign w:val="center"/>
          </w:tcPr>
          <w:p>
            <w:pPr>
              <w:pStyle w:val="TableContents"/>
              <w:bidi w:val="0"/>
              <w:spacing w:before="0" w:after="0"/>
              <w:ind w:left="0" w:right="0" w:hanging="0"/>
              <w:jc w:val="lef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389</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606"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Total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72,952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74,561</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Commitments and contingencies (Note 9)</w:t>
            </w:r>
          </w:p>
        </w:tc>
        <w:tc>
          <w:tcPr>
            <w:tcW w:w="146" w:type="dxa"/>
            <w:tcBorders/>
            <w:vAlign w:val="center"/>
          </w:tcPr>
          <w:p>
            <w:pPr>
              <w:pStyle w:val="TableContents"/>
              <w:bidi w:val="0"/>
              <w:spacing w:before="0" w:after="0"/>
              <w:ind w:left="0" w:right="0" w:hanging="0"/>
              <w:jc w:val="left"/>
              <w:rPr/>
            </w:pPr>
            <w:r>
              <w:rPr/>
              <w:t> </w:t>
            </w:r>
          </w:p>
        </w:tc>
        <w:tc>
          <w:tcPr>
            <w:tcW w:w="109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hanging="0"/>
              <w:jc w:val="right"/>
              <w:rPr/>
            </w:pPr>
            <w:r>
              <w:rPr/>
              <w:t> </w:t>
            </w:r>
          </w:p>
        </w:tc>
      </w:tr>
      <w:tr>
        <w:trPr/>
        <w:tc>
          <w:tcPr>
            <w:tcW w:w="660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Stockholders’ equity</w:t>
            </w:r>
          </w:p>
        </w:tc>
        <w:tc>
          <w:tcPr>
            <w:tcW w:w="146" w:type="dxa"/>
            <w:tcBorders/>
            <w:vAlign w:val="center"/>
          </w:tcPr>
          <w:p>
            <w:pPr>
              <w:pStyle w:val="TableContents"/>
              <w:bidi w:val="0"/>
              <w:spacing w:before="0" w:after="0"/>
              <w:ind w:left="0" w:right="0" w:hanging="0"/>
              <w:jc w:val="left"/>
              <w:rPr/>
            </w:pPr>
            <w:r>
              <w:rPr/>
              <w:t> </w:t>
            </w:r>
          </w:p>
        </w:tc>
        <w:tc>
          <w:tcPr>
            <w:tcW w:w="109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34"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firstLine="400"/>
              <w:jc w:val="right"/>
              <w:rPr/>
            </w:pPr>
            <w:r>
              <w:rPr/>
              <w:t> </w:t>
            </w:r>
          </w:p>
        </w:tc>
      </w:tr>
      <w:tr>
        <w:trPr/>
        <w:tc>
          <w:tcPr>
            <w:tcW w:w="6606" w:type="dxa"/>
            <w:tcBorders/>
            <w:vAlign w:val="center"/>
          </w:tcPr>
          <w:p>
            <w:pPr>
              <w:pStyle w:val="TableContents"/>
              <w:bidi w:val="0"/>
              <w:spacing w:before="0" w:after="0"/>
              <w:ind w:left="400" w:right="0" w:hanging="0"/>
              <w:jc w:val="left"/>
              <w:rPr>
                <w:rFonts w:ascii="Times New Roman" w:hAnsi="Times New Roman"/>
                <w:sz w:val="20"/>
              </w:rPr>
            </w:pPr>
            <w:r>
              <w:rPr>
                <w:rFonts w:ascii="Arial;sans-serif" w:hAnsi="Arial;sans-serif"/>
                <w:b w:val="false"/>
                <w:sz w:val="18"/>
              </w:rPr>
              <w:t>Preferred stock, $0.0001</w:t>
            </w:r>
            <w:r>
              <w:rPr>
                <w:rFonts w:ascii="Times New Roman" w:hAnsi="Times New Roman"/>
                <w:sz w:val="20"/>
              </w:rPr>
              <w:t> </w:t>
            </w:r>
            <w:r>
              <w:rPr>
                <w:rFonts w:ascii="Arial;sans-serif" w:hAnsi="Arial;sans-serif"/>
                <w:b w:val="false"/>
                <w:sz w:val="18"/>
              </w:rPr>
              <w:t>par value — 10,000,000</w:t>
            </w:r>
            <w:r>
              <w:rPr>
                <w:rFonts w:ascii="Times New Roman" w:hAnsi="Times New Roman"/>
                <w:sz w:val="20"/>
              </w:rPr>
              <w:t> </w:t>
            </w:r>
            <w:r>
              <w:rPr>
                <w:rFonts w:ascii="Arial;sans-serif" w:hAnsi="Arial;sans-serif"/>
                <w:b w:val="false"/>
                <w:sz w:val="18"/>
              </w:rPr>
              <w:t>shares authorized; none</w:t>
            </w:r>
            <w:r>
              <w:rPr>
                <w:rFonts w:ascii="Times New Roman" w:hAnsi="Times New Roman"/>
                <w:sz w:val="20"/>
              </w:rPr>
              <w:t> </w:t>
            </w:r>
            <w:r>
              <w:rPr>
                <w:rFonts w:ascii="Arial;sans-serif" w:hAnsi="Arial;sans-serif"/>
                <w:b w:val="false"/>
                <w:sz w:val="18"/>
              </w:rPr>
              <w:t>issued</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pPr>
            <w:r>
              <w:rPr/>
              <w:t>—</w:t>
            </w:r>
          </w:p>
        </w:tc>
        <w:tc>
          <w:tcPr>
            <w:tcW w:w="814" w:type="dxa"/>
            <w:tcBorders/>
            <w:vAlign w:val="center"/>
          </w:tcPr>
          <w:p>
            <w:pPr>
              <w:pStyle w:val="TableContents"/>
              <w:bidi w:val="0"/>
              <w:spacing w:before="0" w:after="0"/>
              <w:ind w:left="0" w:right="0" w:firstLine="400"/>
              <w:jc w:val="left"/>
              <w:rPr/>
            </w:pPr>
            <w:r>
              <w:rPr/>
              <w:t> </w:t>
            </w:r>
          </w:p>
        </w:tc>
      </w:tr>
      <w:tr>
        <w:trPr/>
        <w:tc>
          <w:tcPr>
            <w:tcW w:w="6606" w:type="dxa"/>
            <w:tcBorders/>
            <w:vAlign w:val="center"/>
          </w:tcPr>
          <w:p>
            <w:pPr>
              <w:pStyle w:val="TableContents"/>
              <w:bidi w:val="0"/>
              <w:spacing w:before="0" w:after="0"/>
              <w:ind w:left="400" w:right="0" w:hanging="0"/>
              <w:jc w:val="left"/>
              <w:rPr>
                <w:rFonts w:ascii="Times New Roman" w:hAnsi="Times New Roman"/>
                <w:sz w:val="20"/>
              </w:rPr>
            </w:pPr>
            <w:r>
              <w:rPr>
                <w:rFonts w:ascii="Arial;sans-serif" w:hAnsi="Arial;sans-serif"/>
                <w:b w:val="false"/>
                <w:sz w:val="18"/>
              </w:rPr>
              <w:t>Common stock, $0.0001</w:t>
            </w:r>
            <w:r>
              <w:rPr>
                <w:rFonts w:ascii="Times New Roman" w:hAnsi="Times New Roman"/>
                <w:sz w:val="20"/>
              </w:rPr>
              <w:t> </w:t>
            </w:r>
            <w:r>
              <w:rPr>
                <w:rFonts w:ascii="Arial;sans-serif" w:hAnsi="Arial;sans-serif"/>
                <w:b w:val="false"/>
                <w:sz w:val="18"/>
              </w:rPr>
              <w:t>par value — 200,000,000</w:t>
            </w:r>
            <w:r>
              <w:rPr>
                <w:rFonts w:ascii="Times New Roman" w:hAnsi="Times New Roman"/>
                <w:sz w:val="20"/>
              </w:rPr>
              <w:t> </w:t>
            </w:r>
            <w:r>
              <w:rPr>
                <w:rFonts w:ascii="Arial;sans-serif" w:hAnsi="Arial;sans-serif"/>
                <w:b w:val="false"/>
                <w:sz w:val="18"/>
              </w:rPr>
              <w:t>shares authorized; 48,507,101</w:t>
            </w:r>
            <w:r>
              <w:rPr>
                <w:rFonts w:ascii="Times New Roman" w:hAnsi="Times New Roman"/>
                <w:sz w:val="20"/>
              </w:rPr>
              <w:t> </w:t>
            </w:r>
            <w:r>
              <w:rPr>
                <w:rFonts w:ascii="Arial;sans-serif" w:hAnsi="Arial;sans-serif"/>
                <w:b w:val="false"/>
                <w:sz w:val="18"/>
              </w:rPr>
              <w:t>and 46,707,084</w:t>
            </w:r>
            <w:r>
              <w:rPr>
                <w:rFonts w:ascii="Times New Roman" w:hAnsi="Times New Roman"/>
                <w:sz w:val="20"/>
              </w:rPr>
              <w:t> </w:t>
            </w:r>
            <w:r>
              <w:rPr>
                <w:rFonts w:ascii="Arial;sans-serif" w:hAnsi="Arial;sans-serif"/>
                <w:b w:val="false"/>
                <w:sz w:val="18"/>
              </w:rPr>
              <w:t>shares issued and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814" w:type="dxa"/>
            <w:tcBorders/>
            <w:vAlign w:val="center"/>
          </w:tcPr>
          <w:p>
            <w:pPr>
              <w:pStyle w:val="TableContents"/>
              <w:bidi w:val="0"/>
              <w:spacing w:before="0" w:after="0"/>
              <w:ind w:left="0" w:right="0" w:firstLine="400"/>
              <w:jc w:val="left"/>
              <w:rPr/>
            </w:pPr>
            <w:r>
              <w:rPr/>
              <w:t> </w:t>
            </w:r>
          </w:p>
        </w:tc>
      </w:tr>
      <w:tr>
        <w:trPr/>
        <w:tc>
          <w:tcPr>
            <w:tcW w:w="660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589,418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579,456</w:t>
            </w:r>
          </w:p>
        </w:tc>
        <w:tc>
          <w:tcPr>
            <w:tcW w:w="814" w:type="dxa"/>
            <w:tcBorders/>
            <w:vAlign w:val="center"/>
          </w:tcPr>
          <w:p>
            <w:pPr>
              <w:pStyle w:val="TableContents"/>
              <w:bidi w:val="0"/>
              <w:spacing w:before="0" w:after="0"/>
              <w:ind w:left="0" w:right="0" w:firstLine="400"/>
              <w:jc w:val="left"/>
              <w:rPr/>
            </w:pPr>
            <w:r>
              <w:rPr/>
              <w:t> </w:t>
            </w:r>
          </w:p>
        </w:tc>
      </w:tr>
      <w:tr>
        <w:trPr/>
        <w:tc>
          <w:tcPr>
            <w:tcW w:w="660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(313</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98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(912</w:t>
            </w:r>
          </w:p>
        </w:tc>
        <w:tc>
          <w:tcPr>
            <w:tcW w:w="814"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60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Accumulated deficit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(413,024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(360,410</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Arial;sans-serif" w:hAnsi="Arial;sans-serif"/>
                <w:b w:val="false"/>
                <w:sz w:val="18"/>
              </w:rPr>
            </w:pPr>
            <w:r>
              <w:rPr>
                <w:rFonts w:ascii="Arial;sans-serif" w:hAnsi="Arial;sans-serif"/>
                <w:b w:val="false"/>
                <w:sz w:val="18"/>
              </w:rPr>
              <w:t>)</w:t>
            </w:r>
          </w:p>
        </w:tc>
      </w:tr>
      <w:tr>
        <w:trPr/>
        <w:tc>
          <w:tcPr>
            <w:tcW w:w="6606"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176,086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218,139</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606"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249,038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292,700</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bidi w:val="0"/>
        <w:spacing w:before="240" w:after="0"/>
        <w:jc w:val="center"/>
        <w:rPr>
          <w:rFonts w:ascii="Arial;sans-serif" w:hAnsi="Arial;sans-serif"/>
          <w:b w:val="false"/>
          <w:sz w:val="18"/>
        </w:rPr>
      </w:pPr>
      <w:r>
        <w:rPr>
          <w:rFonts w:ascii="Arial;sans-serif" w:hAnsi="Arial;sans-serif"/>
          <w:b w:val="false"/>
          <w:sz w:val="18"/>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Arial;sans-serif" w:hAnsi="Arial;sans-serif"/>
          <w:b/>
          <w:sz w:val="18"/>
        </w:rPr>
      </w:pPr>
      <w:r>
        <w:rPr>
          <w:rFonts w:ascii="Arial;sans-serif" w:hAnsi="Arial;sans-serif"/>
          <w:b/>
          <w:sz w:val="18"/>
        </w:rPr>
        <w:t>PERSONALIS, INC.</w:t>
      </w:r>
    </w:p>
    <w:p>
      <w:pPr>
        <w:pStyle w:val="TextBody"/>
        <w:bidi w:val="0"/>
        <w:spacing w:before="0" w:after="0"/>
        <w:jc w:val="center"/>
        <w:rPr>
          <w:rFonts w:ascii="Arial;sans-serif" w:hAnsi="Arial;sans-serif"/>
          <w:b/>
          <w:sz w:val="18"/>
        </w:rPr>
      </w:pPr>
      <w:bookmarkStart w:id="7" w:name="condensed_consolidated_statements_ops"/>
      <w:bookmarkEnd w:id="7"/>
      <w:r>
        <w:rPr>
          <w:rFonts w:ascii="Arial;sans-serif" w:hAnsi="Arial;sans-serif"/>
          <w:b/>
          <w:sz w:val="18"/>
        </w:rPr>
        <w:t>CONDENSED CONSOLIDATED STATEMENTS OF OPERATIONS (unaudited)</w:t>
      </w:r>
    </w:p>
    <w:p>
      <w:pPr>
        <w:pStyle w:val="TextBody"/>
        <w:bidi w:val="0"/>
        <w:spacing w:before="0" w:after="0"/>
        <w:jc w:val="center"/>
        <w:rPr>
          <w:rFonts w:ascii="Arial;sans-serif" w:hAnsi="Arial;sans-serif"/>
          <w:b w:val="false"/>
          <w:sz w:val="18"/>
        </w:rPr>
      </w:pPr>
      <w:r>
        <w:rPr>
          <w:rFonts w:ascii="Arial;sans-serif" w:hAnsi="Arial;sans-serif"/>
          <w:b w:val="false"/>
          <w:sz w:val="18"/>
        </w:rPr>
        <w:t>(in thousands, except share and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16,699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35,559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33,467</w:t>
            </w:r>
          </w:p>
        </w:tc>
        <w:tc>
          <w:tcPr>
            <w:tcW w:w="791" w:type="dxa"/>
            <w:tcBorders/>
            <w:vAlign w:val="center"/>
          </w:tcPr>
          <w:p>
            <w:pPr>
              <w:pStyle w:val="TableContents"/>
              <w:bidi w:val="0"/>
              <w:spacing w:before="0" w:after="0"/>
              <w:ind w:left="0" w:right="0" w:hanging="0"/>
              <w:jc w:val="left"/>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Costs and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3344"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11,907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26,037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24,908</w:t>
            </w:r>
          </w:p>
        </w:tc>
        <w:tc>
          <w:tcPr>
            <w:tcW w:w="791" w:type="dxa"/>
            <w:tcBorders/>
            <w:vAlign w:val="center"/>
          </w:tcPr>
          <w:p>
            <w:pPr>
              <w:pStyle w:val="TableContents"/>
              <w:bidi w:val="0"/>
              <w:spacing w:before="0" w:after="0"/>
              <w:ind w:left="0" w:right="0" w:firstLine="200"/>
              <w:jc w:val="left"/>
              <w:rPr/>
            </w:pPr>
            <w:r>
              <w:rPr/>
              <w:t> </w:t>
            </w:r>
          </w:p>
        </w:tc>
      </w:tr>
      <w:tr>
        <w:trPr/>
        <w:tc>
          <w:tcPr>
            <w:tcW w:w="3344"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17,852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16,288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34,425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33,386</w:t>
            </w:r>
          </w:p>
        </w:tc>
        <w:tc>
          <w:tcPr>
            <w:tcW w:w="791" w:type="dxa"/>
            <w:tcBorders/>
            <w:vAlign w:val="center"/>
          </w:tcPr>
          <w:p>
            <w:pPr>
              <w:pStyle w:val="TableContents"/>
              <w:bidi w:val="0"/>
              <w:spacing w:before="0" w:after="0"/>
              <w:ind w:left="0" w:right="0" w:firstLine="200"/>
              <w:jc w:val="left"/>
              <w:rPr/>
            </w:pPr>
            <w:r>
              <w:rPr/>
              <w:t> </w:t>
            </w:r>
          </w:p>
        </w:tc>
      </w:tr>
      <w:tr>
        <w:trPr/>
        <w:tc>
          <w:tcPr>
            <w:tcW w:w="3344"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15,874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26,231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31,360</w:t>
            </w:r>
          </w:p>
        </w:tc>
        <w:tc>
          <w:tcPr>
            <w:tcW w:w="791" w:type="dxa"/>
            <w:tcBorders/>
            <w:vAlign w:val="center"/>
          </w:tcPr>
          <w:p>
            <w:pPr>
              <w:pStyle w:val="TableContents"/>
              <w:bidi w:val="0"/>
              <w:spacing w:before="0" w:after="0"/>
              <w:ind w:left="0" w:right="0" w:firstLine="200"/>
              <w:jc w:val="left"/>
              <w:rPr/>
            </w:pPr>
            <w:r>
              <w:rPr/>
              <w:t> </w:t>
            </w:r>
          </w:p>
        </w:tc>
      </w:tr>
      <w:tr>
        <w:trPr/>
        <w:tc>
          <w:tcPr>
            <w:tcW w:w="3344"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Restructuring and other charges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344"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Total costs and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42,045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46,121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90,730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89,654</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(25,346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(27,881</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(55,171</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(56,187</w:t>
            </w:r>
          </w:p>
        </w:tc>
        <w:tc>
          <w:tcPr>
            <w:tcW w:w="79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493</w:t>
            </w:r>
          </w:p>
        </w:tc>
        <w:tc>
          <w:tcPr>
            <w:tcW w:w="791" w:type="dxa"/>
            <w:tcBorders/>
            <w:vAlign w:val="center"/>
          </w:tcPr>
          <w:p>
            <w:pPr>
              <w:pStyle w:val="TableContents"/>
              <w:bidi w:val="0"/>
              <w:spacing w:before="0" w:after="0"/>
              <w:ind w:left="0" w:right="0" w:hanging="0"/>
              <w:jc w:val="left"/>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(109</w:t>
            </w:r>
          </w:p>
        </w:tc>
        <w:tc>
          <w:tcPr>
            <w:tcW w:w="79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69</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(23,919</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(27,532</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(52,564</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(55,734</w:t>
            </w:r>
          </w:p>
        </w:tc>
        <w:tc>
          <w:tcPr>
            <w:tcW w:w="79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344"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(23,955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(27,546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(52,614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(55,755</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(0.50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(0.60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(1.23</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Weighted-average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47,669,513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45,637,838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47,204,891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45,316,795</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bidi w:val="0"/>
        <w:spacing w:before="240" w:after="0"/>
        <w:jc w:val="center"/>
        <w:rPr>
          <w:rFonts w:ascii="Arial;sans-serif" w:hAnsi="Arial;sans-serif"/>
          <w:b w:val="false"/>
          <w:sz w:val="18"/>
        </w:rPr>
      </w:pPr>
      <w:r>
        <w:rPr>
          <w:rFonts w:ascii="Arial;sans-serif" w:hAnsi="Arial;sans-serif"/>
          <w:b w:val="false"/>
          <w:sz w:val="18"/>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Arial;sans-serif" w:hAnsi="Arial;sans-serif"/>
          <w:b/>
          <w:sz w:val="18"/>
        </w:rPr>
      </w:pPr>
      <w:r>
        <w:rPr>
          <w:rFonts w:ascii="Arial;sans-serif" w:hAnsi="Arial;sans-serif"/>
          <w:b/>
          <w:sz w:val="18"/>
        </w:rPr>
        <w:t>PERSONALIS, INC.</w:t>
      </w:r>
    </w:p>
    <w:p>
      <w:pPr>
        <w:pStyle w:val="TextBody"/>
        <w:bidi w:val="0"/>
        <w:spacing w:before="0" w:after="0"/>
        <w:jc w:val="center"/>
        <w:rPr>
          <w:rFonts w:ascii="Times New Roman" w:hAnsi="Times New Roman"/>
          <w:sz w:val="20"/>
        </w:rPr>
      </w:pPr>
      <w:bookmarkStart w:id="8" w:name="condensed_consolidated_statements_compre"/>
      <w:bookmarkEnd w:id="8"/>
      <w:r>
        <w:rPr>
          <w:rFonts w:ascii="Arial;sans-serif" w:hAnsi="Arial;sans-serif"/>
          <w:b/>
          <w:sz w:val="18"/>
        </w:rPr>
        <w:t>CONDENSED CONSOLIDATED STATEMENTS</w:t>
      </w:r>
      <w:r>
        <w:rPr>
          <w:rFonts w:ascii="Times New Roman" w:hAnsi="Times New Roman"/>
          <w:sz w:val="20"/>
        </w:rPr>
        <w:t xml:space="preserve"> </w:t>
      </w:r>
      <w:r>
        <w:rPr>
          <w:rFonts w:ascii="Arial;sans-serif" w:hAnsi="Arial;sans-serif"/>
          <w:b/>
          <w:sz w:val="18"/>
        </w:rPr>
        <w:t>OF COMPREHENSIVE LOSS (unaudited)</w:t>
      </w:r>
    </w:p>
    <w:p>
      <w:pPr>
        <w:pStyle w:val="TextBody"/>
        <w:bidi w:val="0"/>
        <w:spacing w:before="0" w:after="0"/>
        <w:jc w:val="center"/>
        <w:rPr>
          <w:rFonts w:ascii="Arial;sans-serif" w:hAnsi="Arial;sans-serif"/>
          <w:b w:val="false"/>
          <w:sz w:val="18"/>
        </w:rPr>
      </w:pPr>
      <w:r>
        <w:rPr>
          <w:rFonts w:ascii="Arial;sans-serif" w:hAnsi="Arial;sans-serif"/>
          <w:b w:val="false"/>
          <w:sz w:val="18"/>
        </w:rPr>
        <w:t>(in thousands)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701"/>
        <w:gridCol w:w="146"/>
        <w:gridCol w:w="229"/>
        <w:gridCol w:w="799"/>
        <w:gridCol w:w="180"/>
        <w:gridCol w:w="158"/>
        <w:gridCol w:w="229"/>
        <w:gridCol w:w="799"/>
        <w:gridCol w:w="166"/>
        <w:gridCol w:w="146"/>
        <w:gridCol w:w="214"/>
        <w:gridCol w:w="747"/>
        <w:gridCol w:w="168"/>
        <w:gridCol w:w="147"/>
        <w:gridCol w:w="214"/>
        <w:gridCol w:w="747"/>
        <w:gridCol w:w="415"/>
      </w:tblGrid>
      <w:tr>
        <w:trPr/>
        <w:tc>
          <w:tcPr>
            <w:tcW w:w="4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3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9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(23,955</w:t>
            </w:r>
          </w:p>
        </w:tc>
        <w:tc>
          <w:tcPr>
            <w:tcW w:w="18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9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(27,546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(52,614</w:t>
            </w:r>
          </w:p>
        </w:tc>
        <w:tc>
          <w:tcPr>
            <w:tcW w:w="168"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(55,755</w:t>
            </w:r>
          </w:p>
        </w:tc>
        <w:tc>
          <w:tcPr>
            <w:tcW w:w="41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0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1028" w:type="dxa"/>
            <w:gridSpan w:val="2"/>
            <w:tcBorders/>
            <w:vAlign w:val="center"/>
          </w:tcPr>
          <w:p>
            <w:pPr>
              <w:pStyle w:val="TableContents"/>
              <w:bidi w:val="0"/>
              <w:spacing w:before="0" w:after="0"/>
              <w:ind w:left="0" w:right="0" w:hanging="0"/>
              <w:jc w:val="right"/>
              <w:rPr/>
            </w:pPr>
            <w:r>
              <w:rPr/>
              <w:t> </w:t>
            </w:r>
          </w:p>
        </w:tc>
        <w:tc>
          <w:tcPr>
            <w:tcW w:w="180"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 </w:t>
            </w:r>
          </w:p>
        </w:tc>
        <w:tc>
          <w:tcPr>
            <w:tcW w:w="102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415" w:type="dxa"/>
            <w:tcBorders/>
            <w:vAlign w:val="center"/>
          </w:tcPr>
          <w:p>
            <w:pPr>
              <w:pStyle w:val="TableContents"/>
              <w:bidi w:val="0"/>
              <w:spacing w:before="0" w:after="0"/>
              <w:ind w:left="0" w:right="0" w:firstLine="200"/>
              <w:jc w:val="right"/>
              <w:rPr/>
            </w:pPr>
            <w:r>
              <w:rPr/>
              <w:t> </w:t>
            </w:r>
          </w:p>
        </w:tc>
      </w:tr>
      <w:tr>
        <w:trPr/>
        <w:tc>
          <w:tcPr>
            <w:tcW w:w="470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w:t>
            </w:r>
          </w:p>
        </w:tc>
        <w:tc>
          <w:tcPr>
            <w:tcW w:w="18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8"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(194</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w:t>
            </w:r>
          </w:p>
        </w:tc>
        <w:tc>
          <w:tcPr>
            <w:tcW w:w="168"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7"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w:t>
            </w:r>
          </w:p>
        </w:tc>
        <w:tc>
          <w:tcPr>
            <w:tcW w:w="415" w:type="dxa"/>
            <w:tcBorders/>
            <w:vAlign w:val="center"/>
          </w:tcPr>
          <w:p>
            <w:pPr>
              <w:pStyle w:val="TableContents"/>
              <w:bidi w:val="0"/>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470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Change in unrealized gain (loss) on available-for-sale debt securities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179</w:t>
            </w:r>
          </w:p>
        </w:tc>
        <w:tc>
          <w:tcPr>
            <w:tcW w:w="1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608</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(896</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70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Comprehensive loss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(23,813</w:t>
            </w:r>
          </w:p>
        </w:tc>
        <w:tc>
          <w:tcPr>
            <w:tcW w:w="1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(27,935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(52,015</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(56,853</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bidi w:val="0"/>
        <w:spacing w:before="0" w:after="0"/>
        <w:jc w:val="both"/>
        <w:rPr/>
      </w:pPr>
      <w:r>
        <w:rPr/>
        <w:t> </w:t>
      </w:r>
    </w:p>
    <w:p>
      <w:pPr>
        <w:pStyle w:val="TextBody"/>
        <w:bidi w:val="0"/>
        <w:spacing w:before="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bidi w:val="0"/>
        <w:spacing w:before="240" w:after="0"/>
        <w:jc w:val="center"/>
        <w:rPr>
          <w:rFonts w:ascii="Arial;sans-serif" w:hAnsi="Arial;sans-serif"/>
          <w:b w:val="false"/>
          <w:sz w:val="18"/>
        </w:rPr>
      </w:pPr>
      <w:r>
        <w:rPr>
          <w:rFonts w:ascii="Arial;sans-serif" w:hAnsi="Arial;sans-serif"/>
          <w:b w:val="false"/>
          <w:sz w:val="18"/>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Arial;sans-serif" w:hAnsi="Arial;sans-serif"/>
          <w:b/>
          <w:sz w:val="18"/>
        </w:rPr>
      </w:pPr>
      <w:r>
        <w:rPr>
          <w:rFonts w:ascii="Arial;sans-serif" w:hAnsi="Arial;sans-serif"/>
          <w:b/>
          <w:sz w:val="18"/>
        </w:rPr>
        <w:t>PERSONALIS, INC.</w:t>
      </w:r>
    </w:p>
    <w:p>
      <w:pPr>
        <w:pStyle w:val="TextBody"/>
        <w:bidi w:val="0"/>
        <w:spacing w:before="0" w:after="0"/>
        <w:jc w:val="center"/>
        <w:rPr>
          <w:rFonts w:ascii="Arial;sans-serif" w:hAnsi="Arial;sans-serif"/>
          <w:b/>
          <w:sz w:val="18"/>
        </w:rPr>
      </w:pPr>
      <w:r>
        <w:rPr>
          <w:rFonts w:ascii="Arial;sans-serif" w:hAnsi="Arial;sans-serif"/>
          <w:b/>
          <w:sz w:val="18"/>
        </w:rPr>
        <w:t>CONDENSED CONSOLIDATED STATEMENTS OF STOCKHOLDERS’ EQUITY (unaudited)</w:t>
      </w:r>
    </w:p>
    <w:p>
      <w:pPr>
        <w:pStyle w:val="TextBody"/>
        <w:bidi w:val="0"/>
        <w:spacing w:before="0" w:after="0"/>
        <w:jc w:val="center"/>
        <w:rPr>
          <w:rFonts w:ascii="Arial;sans-serif" w:hAnsi="Arial;sans-serif"/>
          <w:b w:val="false"/>
          <w:sz w:val="18"/>
        </w:rPr>
      </w:pPr>
      <w:r>
        <w:rPr>
          <w:rFonts w:ascii="Arial;sans-serif" w:hAnsi="Arial;sans-serif"/>
          <w:b w:val="false"/>
          <w:sz w:val="18"/>
        </w:rPr>
        <w:t>For the Three Months Ended June 30, 2023 and 2022</w:t>
      </w:r>
    </w:p>
    <w:p>
      <w:pPr>
        <w:pStyle w:val="TextBody"/>
        <w:bidi w:val="0"/>
        <w:spacing w:before="0" w:after="0"/>
        <w:jc w:val="center"/>
        <w:rPr>
          <w:rFonts w:ascii="Arial;sans-serif" w:hAnsi="Arial;sans-serif"/>
          <w:b w:val="false"/>
          <w:sz w:val="18"/>
        </w:rPr>
      </w:pPr>
      <w:r>
        <w:rPr>
          <w:rFonts w:ascii="Arial;sans-serif" w:hAnsi="Arial;sans-serif"/>
          <w:b w:val="false"/>
          <w:sz w:val="18"/>
        </w:rPr>
        <w:t>(in thousands, except share data)</w:t>
      </w:r>
    </w:p>
    <w:p>
      <w:pPr>
        <w:pStyle w:val="TextBody"/>
        <w:bidi w:val="0"/>
        <w:spacing w:before="0" w:after="0"/>
        <w:jc w:val="center"/>
        <w:rPr/>
      </w:pPr>
      <w:r>
        <w:rPr/>
        <w:t> </w:t>
      </w:r>
    </w:p>
    <w:tbl>
      <w:tblPr>
        <w:tblW w:w="10391" w:type="dxa"/>
        <w:jc w:val="left"/>
        <w:tblInd w:w="0" w:type="dxa"/>
        <w:tblLayout w:type="fixed"/>
        <w:tblCellMar>
          <w:top w:w="28" w:type="dxa"/>
          <w:left w:w="28" w:type="dxa"/>
          <w:bottom w:w="28" w:type="dxa"/>
          <w:right w:w="28" w:type="dxa"/>
        </w:tblCellMar>
      </w:tblPr>
      <w:tblGrid>
        <w:gridCol w:w="1546"/>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61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5"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5"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r>
          </w:p>
        </w:tc>
        <w:tc>
          <w:tcPr>
            <w:tcW w:w="61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Stockholders'</w:t>
            </w:r>
          </w:p>
        </w:tc>
        <w:tc>
          <w:tcPr>
            <w:tcW w:w="61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Equity</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46,774,490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583,151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(389,069</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193,632</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sales of common stock under ATM facility, net of commissions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1,873</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ESPP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468,643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909</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Restricted stock units 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363,960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3,485</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w:t>
            </w:r>
          </w:p>
        </w:tc>
        <w:tc>
          <w:tcPr>
            <w:tcW w:w="6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Unrealized gain on available-for-sale debt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179</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(23,955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(23,955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48,507,101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589,418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(413,024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176,086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45,250,087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562,889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(875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(275,304</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286,715</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195,839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463</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ESPP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204,775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974</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Restricted stock units 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240,757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4,415</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(194</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(194</w:t>
            </w:r>
          </w:p>
        </w:tc>
        <w:tc>
          <w:tcPr>
            <w:tcW w:w="6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Unrealized loss on available-for-sale debt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(195</w:t>
            </w:r>
          </w:p>
        </w:tc>
        <w:tc>
          <w:tcPr>
            <w:tcW w:w="6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(27,546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(27,546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45,891,458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568,741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(302,850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264,632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bidi w:val="0"/>
        <w:spacing w:before="240" w:after="0"/>
        <w:jc w:val="center"/>
        <w:rPr>
          <w:rFonts w:ascii="Arial;sans-serif" w:hAnsi="Arial;sans-serif"/>
          <w:b w:val="false"/>
          <w:sz w:val="18"/>
        </w:rPr>
      </w:pPr>
      <w:r>
        <w:rPr>
          <w:rFonts w:ascii="Arial;sans-serif" w:hAnsi="Arial;sans-serif"/>
          <w:b w:val="false"/>
          <w:sz w:val="18"/>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Arial;sans-serif" w:hAnsi="Arial;sans-serif"/>
          <w:b/>
          <w:sz w:val="18"/>
        </w:rPr>
      </w:pPr>
      <w:r>
        <w:rPr>
          <w:rFonts w:ascii="Arial;sans-serif" w:hAnsi="Arial;sans-serif"/>
          <w:b/>
          <w:sz w:val="18"/>
        </w:rPr>
        <w:t>PERSONALIS, INC.</w:t>
      </w:r>
    </w:p>
    <w:p>
      <w:pPr>
        <w:pStyle w:val="TextBody"/>
        <w:bidi w:val="0"/>
        <w:spacing w:before="0" w:after="0"/>
        <w:jc w:val="center"/>
        <w:rPr>
          <w:rFonts w:ascii="Times New Roman" w:hAnsi="Times New Roman"/>
          <w:sz w:val="20"/>
        </w:rPr>
      </w:pPr>
      <w:bookmarkStart w:id="9" w:name="condensed_consolidated_equity_statement"/>
      <w:bookmarkEnd w:id="9"/>
      <w:r>
        <w:rPr>
          <w:rFonts w:ascii="Arial;sans-serif" w:hAnsi="Arial;sans-serif"/>
          <w:b/>
          <w:sz w:val="18"/>
        </w:rPr>
        <w:t>CONDENSED CONSOLIDATED STATEMENTS</w:t>
      </w:r>
      <w:r>
        <w:rPr>
          <w:rFonts w:ascii="Times New Roman" w:hAnsi="Times New Roman"/>
          <w:sz w:val="20"/>
        </w:rPr>
        <w:t xml:space="preserve"> </w:t>
      </w:r>
      <w:r>
        <w:rPr>
          <w:rFonts w:ascii="Arial;sans-serif" w:hAnsi="Arial;sans-serif"/>
          <w:b/>
          <w:sz w:val="18"/>
        </w:rPr>
        <w:t>OF STOCKHOLDERS’ EQUITY (unaudited)</w:t>
      </w:r>
    </w:p>
    <w:p>
      <w:pPr>
        <w:pStyle w:val="TextBody"/>
        <w:bidi w:val="0"/>
        <w:spacing w:before="0" w:after="0"/>
        <w:jc w:val="center"/>
        <w:rPr>
          <w:rFonts w:ascii="Arial;sans-serif" w:hAnsi="Arial;sans-serif"/>
          <w:b w:val="false"/>
          <w:sz w:val="18"/>
        </w:rPr>
      </w:pPr>
      <w:r>
        <w:rPr>
          <w:rFonts w:ascii="Arial;sans-serif" w:hAnsi="Arial;sans-serif"/>
          <w:b w:val="false"/>
          <w:sz w:val="18"/>
        </w:rPr>
        <w:t>For the Six Months Ended June 30, 2023 and 2022</w:t>
      </w:r>
    </w:p>
    <w:p>
      <w:pPr>
        <w:pStyle w:val="TextBody"/>
        <w:bidi w:val="0"/>
        <w:spacing w:before="0" w:after="0"/>
        <w:jc w:val="center"/>
        <w:rPr>
          <w:rFonts w:ascii="Arial;sans-serif" w:hAnsi="Arial;sans-serif"/>
          <w:b w:val="false"/>
          <w:sz w:val="18"/>
        </w:rPr>
      </w:pPr>
      <w:r>
        <w:rPr>
          <w:rFonts w:ascii="Arial;sans-serif" w:hAnsi="Arial;sans-serif"/>
          <w:b w:val="false"/>
          <w:sz w:val="18"/>
        </w:rPr>
        <w:t>(in thousands, except share data)</w:t>
      </w:r>
    </w:p>
    <w:p>
      <w:pPr>
        <w:pStyle w:val="TextBody"/>
        <w:bidi w:val="0"/>
        <w:spacing w:before="0" w:after="0"/>
        <w:jc w:val="center"/>
        <w:rPr/>
      </w:pPr>
      <w:r>
        <w:rPr/>
        <w:t> </w:t>
      </w:r>
    </w:p>
    <w:tbl>
      <w:tblPr>
        <w:tblW w:w="10391" w:type="dxa"/>
        <w:jc w:val="left"/>
        <w:tblInd w:w="0" w:type="dxa"/>
        <w:tblLayout w:type="fixed"/>
        <w:tblCellMar>
          <w:top w:w="28" w:type="dxa"/>
          <w:left w:w="28" w:type="dxa"/>
          <w:bottom w:w="28" w:type="dxa"/>
          <w:right w:w="28" w:type="dxa"/>
        </w:tblCellMar>
      </w:tblPr>
      <w:tblGrid>
        <w:gridCol w:w="1546"/>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61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5"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5"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Total</w:t>
            </w:r>
          </w:p>
        </w:tc>
        <w:tc>
          <w:tcPr>
            <w:tcW w:w="61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Stockholders'</w:t>
            </w:r>
          </w:p>
        </w:tc>
        <w:tc>
          <w:tcPr>
            <w:tcW w:w="61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Equity</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46,707,084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579,456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(912</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(360,410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218,139</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sales of common stock under ATM facility, net of commissions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1,873</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ESPP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468,643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909</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Restricted stock units 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431,366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7,180</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w:t>
            </w:r>
          </w:p>
        </w:tc>
        <w:tc>
          <w:tcPr>
            <w:tcW w:w="6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Unrealized gain on available-for-sale debt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608</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(52,614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(52,614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48,507,101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589,418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(413,024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176,086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44,904,512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(247,095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310,301</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475,044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979</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Proceeds from ESPP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204,775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974</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Restricted stock units 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307,127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9,231</w:t>
            </w:r>
          </w:p>
        </w:tc>
        <w:tc>
          <w:tcPr>
            <w:tcW w:w="611" w:type="dxa"/>
            <w:tcBorders/>
            <w:vAlign w:val="center"/>
          </w:tcPr>
          <w:p>
            <w:pPr>
              <w:pStyle w:val="TableContents"/>
              <w:bidi w:val="0"/>
              <w:spacing w:before="0" w:after="0"/>
              <w:ind w:left="0" w:right="0" w:firstLine="400"/>
              <w:jc w:val="left"/>
              <w:rPr/>
            </w:pPr>
            <w:r>
              <w:rPr/>
              <w:t> </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(202</w:t>
            </w:r>
          </w:p>
        </w:tc>
        <w:tc>
          <w:tcPr>
            <w:tcW w:w="6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Unrealized loss on available-for-sale debt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4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92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(896</w:t>
            </w:r>
          </w:p>
        </w:tc>
        <w:tc>
          <w:tcPr>
            <w:tcW w:w="6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(55,755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15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45,891,458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568,741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(302,850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264,632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bidi w:val="0"/>
        <w:spacing w:before="240" w:after="0"/>
        <w:jc w:val="center"/>
        <w:rPr>
          <w:rFonts w:ascii="Arial;sans-serif" w:hAnsi="Arial;sans-serif"/>
          <w:b w:val="false"/>
          <w:sz w:val="18"/>
        </w:rPr>
      </w:pPr>
      <w:r>
        <w:rPr>
          <w:rFonts w:ascii="Arial;sans-serif" w:hAnsi="Arial;sans-serif"/>
          <w:b w:val="false"/>
          <w:sz w:val="18"/>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Arial;sans-serif" w:hAnsi="Arial;sans-serif"/>
          <w:b/>
          <w:sz w:val="18"/>
        </w:rPr>
      </w:pPr>
      <w:r>
        <w:rPr>
          <w:rFonts w:ascii="Arial;sans-serif" w:hAnsi="Arial;sans-serif"/>
          <w:b/>
          <w:sz w:val="18"/>
        </w:rPr>
        <w:t>PERSONALIS, INC.</w:t>
      </w:r>
    </w:p>
    <w:p>
      <w:pPr>
        <w:pStyle w:val="TextBody"/>
        <w:bidi w:val="0"/>
        <w:spacing w:before="0" w:after="0"/>
        <w:jc w:val="center"/>
        <w:rPr>
          <w:rFonts w:ascii="Arial;sans-serif" w:hAnsi="Arial;sans-serif"/>
          <w:b/>
          <w:sz w:val="18"/>
        </w:rPr>
      </w:pPr>
      <w:bookmarkStart w:id="10" w:name="condensed_consolidated_statements_cash_f"/>
      <w:bookmarkEnd w:id="10"/>
      <w:r>
        <w:rPr>
          <w:rFonts w:ascii="Arial;sans-serif" w:hAnsi="Arial;sans-serif"/>
          <w:b/>
          <w:sz w:val="18"/>
        </w:rPr>
        <w:t>CONDENSED CONSOLIDATED STATEMENTS OF CASH FLOWS (unaudited)</w:t>
      </w:r>
    </w:p>
    <w:p>
      <w:pPr>
        <w:pStyle w:val="TextBody"/>
        <w:bidi w:val="0"/>
        <w:spacing w:before="0" w:after="0"/>
        <w:jc w:val="center"/>
        <w:rPr>
          <w:rFonts w:ascii="Arial;sans-serif" w:hAnsi="Arial;sans-serif"/>
          <w:b w:val="false"/>
          <w:sz w:val="18"/>
        </w:rPr>
      </w:pPr>
      <w:r>
        <w:rPr>
          <w:rFonts w:ascii="Arial;sans-serif" w:hAnsi="Arial;sans-serif"/>
          <w:b w:val="false"/>
          <w:sz w:val="18"/>
        </w:rPr>
        <w:t>(in thousands)</w:t>
      </w:r>
    </w:p>
    <w:p>
      <w:pPr>
        <w:pStyle w:val="TextBody"/>
        <w:bidi w:val="0"/>
        <w:spacing w:before="0" w:after="0"/>
        <w:jc w:val="center"/>
        <w:rPr/>
      </w:pPr>
      <w:r>
        <w:rPr/>
        <w:t> </w:t>
      </w:r>
    </w:p>
    <w:tbl>
      <w:tblPr>
        <w:tblW w:w="10138" w:type="dxa"/>
        <w:jc w:val="left"/>
        <w:tblInd w:w="0" w:type="dxa"/>
        <w:tblLayout w:type="fixed"/>
        <w:tblCellMar>
          <w:top w:w="28" w:type="dxa"/>
          <w:left w:w="28" w:type="dxa"/>
          <w:bottom w:w="28" w:type="dxa"/>
          <w:right w:w="28" w:type="dxa"/>
        </w:tblCellMar>
      </w:tblPr>
      <w:tblGrid>
        <w:gridCol w:w="6772"/>
        <w:gridCol w:w="155"/>
        <w:gridCol w:w="225"/>
        <w:gridCol w:w="785"/>
        <w:gridCol w:w="177"/>
        <w:gridCol w:w="155"/>
        <w:gridCol w:w="225"/>
        <w:gridCol w:w="833"/>
        <w:gridCol w:w="811"/>
      </w:tblGrid>
      <w:tr>
        <w:trPr/>
        <w:tc>
          <w:tcPr>
            <w:tcW w:w="6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72" w:type="dxa"/>
            <w:tcBorders/>
            <w:vAlign w:val="center"/>
          </w:tcPr>
          <w:p>
            <w:pPr>
              <w:pStyle w:val="TableContents"/>
              <w:bidi w:val="0"/>
              <w:spacing w:before="0" w:after="0"/>
              <w:ind w:left="0" w:right="0" w:hanging="0"/>
              <w:jc w:val="center"/>
              <w:rPr/>
            </w:pPr>
            <w:r>
              <w:rPr/>
              <w:t> </w:t>
            </w:r>
          </w:p>
        </w:tc>
        <w:tc>
          <w:tcPr>
            <w:tcW w:w="155" w:type="dxa"/>
            <w:tcBorders/>
            <w:vAlign w:val="center"/>
          </w:tcPr>
          <w:p>
            <w:pPr>
              <w:pStyle w:val="TableContents"/>
              <w:bidi w:val="0"/>
              <w:spacing w:before="0" w:after="0"/>
              <w:ind w:left="0" w:right="0" w:hanging="0"/>
              <w:jc w:val="center"/>
              <w:rPr/>
            </w:pPr>
            <w:r>
              <w:rPr/>
              <w:t> </w:t>
            </w:r>
          </w:p>
        </w:tc>
        <w:tc>
          <w:tcPr>
            <w:tcW w:w="24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72" w:type="dxa"/>
            <w:tcBorders/>
            <w:vAlign w:val="center"/>
          </w:tcPr>
          <w:p>
            <w:pPr>
              <w:pStyle w:val="TableContents"/>
              <w:bidi w:val="0"/>
              <w:spacing w:before="0" w:after="0"/>
              <w:ind w:left="0" w:right="0" w:hanging="0"/>
              <w:jc w:val="center"/>
              <w:rPr/>
            </w:pPr>
            <w:r>
              <w:rPr/>
              <w:t> </w:t>
            </w:r>
          </w:p>
        </w:tc>
        <w:tc>
          <w:tcPr>
            <w:tcW w:w="155" w:type="dxa"/>
            <w:tcBorders/>
            <w:vAlign w:val="center"/>
          </w:tcPr>
          <w:p>
            <w:pPr>
              <w:pStyle w:val="TableContents"/>
              <w:bidi w:val="0"/>
              <w:spacing w:before="0" w:after="0"/>
              <w:ind w:left="0" w:right="0" w:hanging="0"/>
              <w:jc w:val="center"/>
              <w:rPr/>
            </w:pPr>
            <w:r>
              <w:rPr/>
              <w:t> </w:t>
            </w:r>
          </w:p>
        </w:tc>
        <w:tc>
          <w:tcPr>
            <w:tcW w:w="10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Cash flows from operating activities:</w:t>
            </w:r>
          </w:p>
        </w:tc>
        <w:tc>
          <w:tcPr>
            <w:tcW w:w="155"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1058"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loss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(52,614</w:t>
            </w:r>
          </w:p>
        </w:tc>
        <w:tc>
          <w:tcPr>
            <w:tcW w:w="17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(55,755</w:t>
            </w:r>
          </w:p>
        </w:tc>
        <w:tc>
          <w:tcPr>
            <w:tcW w:w="8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Adjustments to reconcile net loss to net cash used in operating activities</w:t>
            </w:r>
          </w:p>
        </w:tc>
        <w:tc>
          <w:tcPr>
            <w:tcW w:w="155"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1058"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772"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Stock-based compensation expense</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7,180</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9,231</w:t>
            </w:r>
          </w:p>
        </w:tc>
        <w:tc>
          <w:tcPr>
            <w:tcW w:w="811"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Depreciation and amortization</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5,630</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3,594</w:t>
            </w:r>
          </w:p>
        </w:tc>
        <w:tc>
          <w:tcPr>
            <w:tcW w:w="811"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Noncash operating lease cost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1,120</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2,443</w:t>
            </w:r>
          </w:p>
        </w:tc>
        <w:tc>
          <w:tcPr>
            <w:tcW w:w="811"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Amortization of premium (discount) on short-term investments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(740</w:t>
            </w:r>
          </w:p>
        </w:tc>
        <w:tc>
          <w:tcPr>
            <w:tcW w:w="17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481</w:t>
            </w:r>
          </w:p>
        </w:tc>
        <w:tc>
          <w:tcPr>
            <w:tcW w:w="811"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Noncash restructuring and other charges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476</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Other</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234</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w:t>
            </w:r>
          </w:p>
        </w:tc>
        <w:tc>
          <w:tcPr>
            <w:tcW w:w="811" w:type="dxa"/>
            <w:tcBorders/>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Changes in operating assets and liabilities</w:t>
            </w:r>
          </w:p>
        </w:tc>
        <w:tc>
          <w:tcPr>
            <w:tcW w:w="155"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1058"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6772"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Accounts receivable</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6,510</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5,591</w:t>
            </w:r>
          </w:p>
        </w:tc>
        <w:tc>
          <w:tcPr>
            <w:tcW w:w="811" w:type="dxa"/>
            <w:tcBorders/>
            <w:vAlign w:val="center"/>
          </w:tcPr>
          <w:p>
            <w:pPr>
              <w:pStyle w:val="TableContents"/>
              <w:bidi w:val="0"/>
              <w:spacing w:before="0" w:after="0"/>
              <w:ind w:left="0" w:right="0" w:firstLine="400"/>
              <w:jc w:val="left"/>
              <w:rPr/>
            </w:pPr>
            <w:r>
              <w:rPr/>
              <w:t> </w:t>
            </w:r>
          </w:p>
        </w:tc>
      </w:tr>
      <w:tr>
        <w:trPr/>
        <w:tc>
          <w:tcPr>
            <w:tcW w:w="6772"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Inventory and other deferred costs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295</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(2,276</w:t>
            </w:r>
          </w:p>
        </w:tc>
        <w:tc>
          <w:tcPr>
            <w:tcW w:w="8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Prepaid expenses and other assets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1,538</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2,144</w:t>
            </w:r>
          </w:p>
        </w:tc>
        <w:tc>
          <w:tcPr>
            <w:tcW w:w="811" w:type="dxa"/>
            <w:tcBorders/>
            <w:vAlign w:val="center"/>
          </w:tcPr>
          <w:p>
            <w:pPr>
              <w:pStyle w:val="TableContents"/>
              <w:bidi w:val="0"/>
              <w:spacing w:before="0" w:after="0"/>
              <w:ind w:left="0" w:right="0" w:firstLine="400"/>
              <w:jc w:val="left"/>
              <w:rPr/>
            </w:pPr>
            <w:r>
              <w:rPr/>
              <w:t> </w:t>
            </w:r>
          </w:p>
        </w:tc>
      </w:tr>
      <w:tr>
        <w:trPr/>
        <w:tc>
          <w:tcPr>
            <w:tcW w:w="6772"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Accounts payable</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(1,353</w:t>
            </w:r>
          </w:p>
        </w:tc>
        <w:tc>
          <w:tcPr>
            <w:tcW w:w="17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80</w:t>
            </w:r>
          </w:p>
        </w:tc>
        <w:tc>
          <w:tcPr>
            <w:tcW w:w="811" w:type="dxa"/>
            <w:tcBorders/>
            <w:vAlign w:val="center"/>
          </w:tcPr>
          <w:p>
            <w:pPr>
              <w:pStyle w:val="TableContents"/>
              <w:bidi w:val="0"/>
              <w:spacing w:before="0" w:after="0"/>
              <w:ind w:left="0" w:right="0" w:firstLine="400"/>
              <w:jc w:val="left"/>
              <w:rPr/>
            </w:pPr>
            <w:r>
              <w:rPr/>
              <w:t> </w:t>
            </w:r>
          </w:p>
        </w:tc>
      </w:tr>
      <w:tr>
        <w:trPr/>
        <w:tc>
          <w:tcPr>
            <w:tcW w:w="6772"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Accrued and other current liabilities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(2,357</w:t>
            </w:r>
          </w:p>
        </w:tc>
        <w:tc>
          <w:tcPr>
            <w:tcW w:w="17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(165</w:t>
            </w:r>
          </w:p>
        </w:tc>
        <w:tc>
          <w:tcPr>
            <w:tcW w:w="8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Contract liabilities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5,703</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(3,626</w:t>
            </w:r>
          </w:p>
        </w:tc>
        <w:tc>
          <w:tcPr>
            <w:tcW w:w="8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Operating lease liabilities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2,219</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w:t>
            </w:r>
          </w:p>
        </w:tc>
        <w:tc>
          <w:tcPr>
            <w:tcW w:w="811" w:type="dxa"/>
            <w:tcBorders/>
            <w:vAlign w:val="center"/>
          </w:tcPr>
          <w:p>
            <w:pPr>
              <w:pStyle w:val="TableContents"/>
              <w:bidi w:val="0"/>
              <w:spacing w:before="0" w:after="0"/>
              <w:ind w:left="0" w:right="0" w:firstLine="40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Other long-term liabilities</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Net cash used in operating activities</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(26,159</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(38,706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Cash flows from investing activities:</w:t>
            </w:r>
          </w:p>
        </w:tc>
        <w:tc>
          <w:tcPr>
            <w:tcW w:w="155"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1058"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Purchases of available-for-sale debt securities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(23,894</w:t>
            </w:r>
          </w:p>
        </w:tc>
        <w:tc>
          <w:tcPr>
            <w:tcW w:w="17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(90,060</w:t>
            </w:r>
          </w:p>
        </w:tc>
        <w:tc>
          <w:tcPr>
            <w:tcW w:w="8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Proceeds from maturities of available-for-sale debt securities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63,755</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123,405</w:t>
            </w:r>
          </w:p>
        </w:tc>
        <w:tc>
          <w:tcPr>
            <w:tcW w:w="811"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Purchases of property and equipment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(6,519</w:t>
            </w:r>
          </w:p>
        </w:tc>
        <w:tc>
          <w:tcPr>
            <w:tcW w:w="17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(18,944</w:t>
            </w:r>
          </w:p>
        </w:tc>
        <w:tc>
          <w:tcPr>
            <w:tcW w:w="8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Lease incentive cash receipts</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5,459</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772"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Net cash provided by investing activities</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33,342</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19,860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Cash flows from financing activities:</w:t>
            </w:r>
          </w:p>
        </w:tc>
        <w:tc>
          <w:tcPr>
            <w:tcW w:w="155"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1058"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Proceeds from sales of common stock under ATM facility, net of commissions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1,873</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Repayments of loans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(1,857</w:t>
            </w:r>
          </w:p>
        </w:tc>
        <w:tc>
          <w:tcPr>
            <w:tcW w:w="17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(1,857</w:t>
            </w:r>
          </w:p>
        </w:tc>
        <w:tc>
          <w:tcPr>
            <w:tcW w:w="8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Proceeds from issuance of common stock under employee equity plans</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909</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1,952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772"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Net cash provided by financing activities</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925</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95</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Effect of exchange rates on cash, cash equivalents and restricted cash</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(41</w:t>
            </w:r>
          </w:p>
        </w:tc>
        <w:tc>
          <w:tcPr>
            <w:tcW w:w="17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(103</w:t>
            </w:r>
          </w:p>
        </w:tc>
        <w:tc>
          <w:tcPr>
            <w:tcW w:w="8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change in cash, cash equivalents and restricted cash</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8,067</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(18,854</w:t>
            </w:r>
          </w:p>
        </w:tc>
        <w:tc>
          <w:tcPr>
            <w:tcW w:w="8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Cash, cash equivalents and restricted cash, beginning of period</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90,918</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107,375</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Cash, cash equivalents and restricted cash, end of period</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98,985</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88,521</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1058"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772"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1058"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9327" w:type="dxa"/>
            <w:gridSpan w:val="8"/>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Reconciliation of cash, cash equivalents and restricted cash to the condensed consolidated balance sheets:</w:t>
            </w:r>
          </w:p>
        </w:tc>
        <w:tc>
          <w:tcPr>
            <w:tcW w:w="811"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Cash and cash equivalents</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97,195</w:t>
            </w:r>
          </w:p>
        </w:tc>
        <w:tc>
          <w:tcPr>
            <w:tcW w:w="177"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86,731</w:t>
            </w:r>
          </w:p>
        </w:tc>
        <w:tc>
          <w:tcPr>
            <w:tcW w:w="811" w:type="dxa"/>
            <w:tcBorders/>
            <w:vAlign w:val="center"/>
          </w:tcPr>
          <w:p>
            <w:pPr>
              <w:pStyle w:val="TableContents"/>
              <w:bidi w:val="0"/>
              <w:spacing w:before="0" w:after="0"/>
              <w:ind w:left="0" w:right="0" w:hanging="0"/>
              <w:jc w:val="left"/>
              <w:rPr/>
            </w:pPr>
            <w:r>
              <w:rPr/>
              <w:t> </w:t>
            </w:r>
          </w:p>
        </w:tc>
      </w:tr>
      <w:tr>
        <w:trPr/>
        <w:tc>
          <w:tcPr>
            <w:tcW w:w="677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Restricted cash, included in other long-term assets</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1,790</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1,790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772"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 cash, cash equivalents and restricted cash</w:t>
            </w:r>
          </w:p>
        </w:tc>
        <w:tc>
          <w:tcPr>
            <w:tcW w:w="155"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98,985</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88,521</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center"/>
        <w:rPr>
          <w:rFonts w:ascii="Arial;sans-serif" w:hAnsi="Arial;sans-serif"/>
          <w:b w:val="false"/>
          <w:sz w:val="18"/>
        </w:rPr>
      </w:pPr>
      <w:r>
        <w:rPr>
          <w:rFonts w:ascii="Arial;sans-serif" w:hAnsi="Arial;sans-serif"/>
          <w:b w:val="false"/>
          <w:sz w:val="18"/>
        </w:rPr>
        <w:t>See notes to condensed consolidated financial statements.</w:t>
      </w:r>
    </w:p>
    <w:p>
      <w:pPr>
        <w:pStyle w:val="TextBody"/>
        <w:bidi w:val="0"/>
        <w:spacing w:before="240" w:after="0"/>
        <w:jc w:val="center"/>
        <w:rPr>
          <w:rFonts w:ascii="Arial;sans-serif" w:hAnsi="Arial;sans-serif"/>
          <w:b w:val="false"/>
          <w:sz w:val="18"/>
        </w:rPr>
      </w:pPr>
      <w:r>
        <w:rPr>
          <w:rFonts w:ascii="Arial;sans-serif" w:hAnsi="Arial;sans-serif"/>
          <w:b w:val="false"/>
          <w:sz w:val="18"/>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tbl>
      <w:tblPr>
        <w:tblW w:w="8189" w:type="dxa"/>
        <w:jc w:val="left"/>
        <w:tblInd w:w="0" w:type="dxa"/>
        <w:tblLayout w:type="fixed"/>
        <w:tblCellMar>
          <w:top w:w="28" w:type="dxa"/>
          <w:left w:w="28" w:type="dxa"/>
          <w:bottom w:w="28" w:type="dxa"/>
          <w:right w:w="28" w:type="dxa"/>
        </w:tblCellMar>
      </w:tblPr>
      <w:tblGrid>
        <w:gridCol w:w="1250"/>
        <w:gridCol w:w="6129"/>
        <w:gridCol w:w="810"/>
      </w:tblGrid>
      <w:tr>
        <w:trPr/>
        <w:tc>
          <w:tcPr>
            <w:tcW w:w="1250" w:type="dxa"/>
            <w:tcBorders/>
            <w:vAlign w:val="center"/>
          </w:tcPr>
          <w:p>
            <w:pPr>
              <w:pStyle w:val="TableContents"/>
              <w:bidi w:val="0"/>
              <w:spacing w:before="0" w:after="283"/>
              <w:jc w:val="left"/>
              <w:rPr>
                <w:sz w:val="4"/>
                <w:szCs w:val="4"/>
              </w:rPr>
            </w:pPr>
            <w:r>
              <w:rPr>
                <w:sz w:val="4"/>
                <w:szCs w:val="4"/>
              </w:rPr>
            </w:r>
          </w:p>
        </w:tc>
        <w:tc>
          <w:tcPr>
            <w:tcW w:w="612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8189" w:type="dxa"/>
            <w:gridSpan w:val="3"/>
            <w:tcBorders/>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PERSONALIS, INC.</w:t>
            </w:r>
          </w:p>
        </w:tc>
      </w:tr>
      <w:tr>
        <w:trPr/>
        <w:tc>
          <w:tcPr>
            <w:tcW w:w="8189" w:type="dxa"/>
            <w:gridSpan w:val="3"/>
            <w:tcBorders/>
            <w:vAlign w:val="center"/>
          </w:tcPr>
          <w:p>
            <w:pPr>
              <w:pStyle w:val="TableContents"/>
              <w:bidi w:val="0"/>
              <w:spacing w:before="0" w:after="0"/>
              <w:ind w:left="0" w:right="0" w:hanging="0"/>
              <w:jc w:val="center"/>
              <w:rPr>
                <w:rFonts w:ascii="Times New Roman" w:hAnsi="Times New Roman"/>
                <w:sz w:val="18"/>
              </w:rPr>
            </w:pPr>
            <w:bookmarkStart w:id="11" w:name="index_to_notes"/>
            <w:bookmarkEnd w:id="11"/>
            <w:r>
              <w:rPr>
                <w:rFonts w:ascii="Arial;sans-serif" w:hAnsi="Arial;sans-serif"/>
                <w:b/>
                <w:sz w:val="18"/>
              </w:rPr>
              <w:t>INDEX FOR NOTES TO UNAUDITED CONDENSED</w:t>
            </w:r>
            <w:r>
              <w:rPr>
                <w:rFonts w:ascii="Times New Roman" w:hAnsi="Times New Roman"/>
                <w:sz w:val="18"/>
              </w:rPr>
              <w:t> </w:t>
            </w:r>
            <w:r>
              <w:rPr>
                <w:rFonts w:ascii="Arial;sans-serif" w:hAnsi="Arial;sans-serif"/>
                <w:b/>
                <w:sz w:val="18"/>
              </w:rPr>
              <w:t>CONSOLIDATED FINANCIAL STATEMENTS</w:t>
            </w:r>
          </w:p>
        </w:tc>
      </w:tr>
      <w:tr>
        <w:trPr/>
        <w:tc>
          <w:tcPr>
            <w:tcW w:w="1250" w:type="dxa"/>
            <w:tcBorders/>
            <w:vAlign w:val="center"/>
          </w:tcPr>
          <w:p>
            <w:pPr>
              <w:pStyle w:val="TableContents"/>
              <w:bidi w:val="0"/>
              <w:spacing w:before="0" w:after="0"/>
              <w:ind w:left="0" w:right="0" w:hanging="0"/>
              <w:jc w:val="center"/>
              <w:rPr/>
            </w:pPr>
            <w:r>
              <w:rPr/>
              <w:t> </w:t>
            </w:r>
          </w:p>
        </w:tc>
        <w:tc>
          <w:tcPr>
            <w:tcW w:w="6129" w:type="dxa"/>
            <w:tcBorders/>
            <w:vAlign w:val="center"/>
          </w:tcPr>
          <w:p>
            <w:pPr>
              <w:pStyle w:val="TableContents"/>
              <w:bidi w:val="0"/>
              <w:spacing w:before="0" w:after="0"/>
              <w:ind w:left="0" w:right="0" w:hanging="0"/>
              <w:jc w:val="center"/>
              <w:rPr/>
            </w:pPr>
            <w:r>
              <w:rPr/>
              <w:t> </w:t>
            </w:r>
          </w:p>
        </w:tc>
        <w:tc>
          <w:tcPr>
            <w:tcW w:w="810" w:type="dxa"/>
            <w:tcBorders/>
            <w:vAlign w:val="center"/>
          </w:tcPr>
          <w:p>
            <w:pPr>
              <w:pStyle w:val="TableContents"/>
              <w:bidi w:val="0"/>
              <w:spacing w:before="0" w:after="0"/>
              <w:ind w:left="0" w:right="0" w:hanging="0"/>
              <w:jc w:val="center"/>
              <w:rPr/>
            </w:pPr>
            <w:r>
              <w:rPr/>
              <w:t> </w:t>
            </w:r>
          </w:p>
        </w:tc>
      </w:tr>
      <w:tr>
        <w:trPr/>
        <w:tc>
          <w:tcPr>
            <w:tcW w:w="1250" w:type="dxa"/>
            <w:tcBorders/>
            <w:vAlign w:val="center"/>
          </w:tcPr>
          <w:p>
            <w:pPr>
              <w:pStyle w:val="TableContents"/>
              <w:bidi w:val="0"/>
              <w:spacing w:before="0" w:after="0"/>
              <w:ind w:left="0" w:right="0" w:hanging="0"/>
              <w:jc w:val="center"/>
              <w:rPr/>
            </w:pPr>
            <w:r>
              <w:rPr/>
              <w:t> </w:t>
            </w:r>
          </w:p>
        </w:tc>
        <w:tc>
          <w:tcPr>
            <w:tcW w:w="6129" w:type="dxa"/>
            <w:tcBorders/>
            <w:vAlign w:val="center"/>
          </w:tcPr>
          <w:p>
            <w:pPr>
              <w:pStyle w:val="TableContents"/>
              <w:bidi w:val="0"/>
              <w:spacing w:before="0" w:after="0"/>
              <w:ind w:left="0" w:right="0" w:hanging="0"/>
              <w:jc w:val="center"/>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5"/>
              </w:rPr>
            </w:pPr>
            <w:r>
              <w:rPr>
                <w:rFonts w:ascii="Arial;sans-serif" w:hAnsi="Arial;sans-serif"/>
                <w:b/>
                <w:sz w:val="15"/>
              </w:rPr>
              <w:t>Page</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1.</w:t>
            </w:r>
          </w:p>
        </w:tc>
        <w:tc>
          <w:tcPr>
            <w:tcW w:w="6129" w:type="dxa"/>
            <w:tcBorders/>
            <w:vAlign w:val="center"/>
          </w:tcPr>
          <w:p>
            <w:pPr>
              <w:pStyle w:val="TableContents"/>
              <w:bidi w:val="0"/>
              <w:spacing w:before="0" w:after="0"/>
              <w:ind w:left="0" w:right="0" w:hanging="0"/>
              <w:jc w:val="left"/>
              <w:rPr/>
            </w:pPr>
            <w:hyperlink w:anchor="note_1_company_and_nature_of_business">
              <w:r>
                <w:rPr>
                  <w:rStyle w:val="InternetLink"/>
                  <w:rFonts w:ascii="Arial;sans-serif" w:hAnsi="Arial;sans-serif"/>
                  <w:b w:val="false"/>
                  <w:sz w:val="18"/>
                  <w:u w:val="single"/>
                </w:rPr>
                <w:t>Company and Nature of Business</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11</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2.</w:t>
            </w:r>
          </w:p>
        </w:tc>
        <w:tc>
          <w:tcPr>
            <w:tcW w:w="6129" w:type="dxa"/>
            <w:tcBorders/>
            <w:vAlign w:val="center"/>
          </w:tcPr>
          <w:p>
            <w:pPr>
              <w:pStyle w:val="TableContents"/>
              <w:bidi w:val="0"/>
              <w:spacing w:before="0" w:after="0"/>
              <w:ind w:left="0" w:right="0" w:hanging="0"/>
              <w:jc w:val="left"/>
              <w:rPr/>
            </w:pPr>
            <w:hyperlink w:anchor="note_2_summary_significant_acctg_policie">
              <w:r>
                <w:rPr>
                  <w:rStyle w:val="InternetLink"/>
                  <w:rFonts w:ascii="Arial;sans-serif" w:hAnsi="Arial;sans-serif"/>
                  <w:b w:val="false"/>
                  <w:sz w:val="18"/>
                  <w:u w:val="single"/>
                </w:rPr>
                <w:t>Summary of Significant Accounting Policies</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11</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3.</w:t>
            </w:r>
          </w:p>
        </w:tc>
        <w:tc>
          <w:tcPr>
            <w:tcW w:w="6129" w:type="dxa"/>
            <w:tcBorders/>
            <w:vAlign w:val="center"/>
          </w:tcPr>
          <w:p>
            <w:pPr>
              <w:pStyle w:val="TableContents"/>
              <w:bidi w:val="0"/>
              <w:spacing w:before="0" w:after="0"/>
              <w:ind w:left="0" w:right="0" w:hanging="0"/>
              <w:jc w:val="left"/>
              <w:rPr/>
            </w:pPr>
            <w:hyperlink w:anchor="note_3_revenue">
              <w:r>
                <w:rPr>
                  <w:rStyle w:val="InternetLink"/>
                  <w:rFonts w:ascii="Arial;sans-serif" w:hAnsi="Arial;sans-serif"/>
                  <w:b w:val="false"/>
                  <w:sz w:val="18"/>
                  <w:u w:val="single"/>
                </w:rPr>
                <w:t>Revenue</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12</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4.</w:t>
            </w:r>
          </w:p>
        </w:tc>
        <w:tc>
          <w:tcPr>
            <w:tcW w:w="6129" w:type="dxa"/>
            <w:tcBorders/>
            <w:vAlign w:val="center"/>
          </w:tcPr>
          <w:p>
            <w:pPr>
              <w:pStyle w:val="TableContents"/>
              <w:bidi w:val="0"/>
              <w:spacing w:before="0" w:after="0"/>
              <w:ind w:left="0" w:right="0" w:hanging="0"/>
              <w:jc w:val="left"/>
              <w:rPr/>
            </w:pPr>
            <w:hyperlink w:anchor="note_4_balance_sheet_details">
              <w:r>
                <w:rPr>
                  <w:rStyle w:val="InternetLink"/>
                  <w:rFonts w:ascii="Arial;sans-serif" w:hAnsi="Arial;sans-serif"/>
                  <w:b w:val="false"/>
                  <w:sz w:val="18"/>
                  <w:u w:val="single"/>
                </w:rPr>
                <w:t>Balance Sheet Details</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13</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5.</w:t>
            </w:r>
          </w:p>
        </w:tc>
        <w:tc>
          <w:tcPr>
            <w:tcW w:w="6129" w:type="dxa"/>
            <w:tcBorders/>
            <w:vAlign w:val="center"/>
          </w:tcPr>
          <w:p>
            <w:pPr>
              <w:pStyle w:val="TableContents"/>
              <w:bidi w:val="0"/>
              <w:spacing w:before="0" w:after="0"/>
              <w:ind w:left="0" w:right="0" w:hanging="0"/>
              <w:jc w:val="left"/>
              <w:rPr/>
            </w:pPr>
            <w:hyperlink w:anchor="note_5_fair_value_measurements">
              <w:r>
                <w:rPr>
                  <w:rStyle w:val="InternetLink"/>
                  <w:rFonts w:ascii="Arial;sans-serif" w:hAnsi="Arial;sans-serif"/>
                  <w:b w:val="false"/>
                  <w:sz w:val="18"/>
                  <w:u w:val="single"/>
                </w:rPr>
                <w:t>Fair Value Measurements</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14</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6.</w:t>
            </w:r>
          </w:p>
        </w:tc>
        <w:tc>
          <w:tcPr>
            <w:tcW w:w="6129" w:type="dxa"/>
            <w:tcBorders/>
            <w:vAlign w:val="center"/>
          </w:tcPr>
          <w:p>
            <w:pPr>
              <w:pStyle w:val="TableContents"/>
              <w:bidi w:val="0"/>
              <w:spacing w:before="0" w:after="0"/>
              <w:ind w:left="0" w:right="0" w:hanging="0"/>
              <w:jc w:val="left"/>
              <w:rPr/>
            </w:pPr>
            <w:hyperlink w:anchor="note_6_loans">
              <w:r>
                <w:rPr>
                  <w:rStyle w:val="InternetLink"/>
                  <w:rFonts w:ascii="Arial;sans-serif" w:hAnsi="Arial;sans-serif"/>
                  <w:b w:val="false"/>
                  <w:sz w:val="18"/>
                  <w:u w:val="single"/>
                </w:rPr>
                <w:t>Loans</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14</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7.</w:t>
            </w:r>
          </w:p>
        </w:tc>
        <w:tc>
          <w:tcPr>
            <w:tcW w:w="6129" w:type="dxa"/>
            <w:tcBorders/>
            <w:vAlign w:val="center"/>
          </w:tcPr>
          <w:p>
            <w:pPr>
              <w:pStyle w:val="TableContents"/>
              <w:bidi w:val="0"/>
              <w:spacing w:before="0" w:after="0"/>
              <w:ind w:left="0" w:right="0" w:hanging="0"/>
              <w:jc w:val="left"/>
              <w:rPr/>
            </w:pPr>
            <w:hyperlink w:anchor="note_7_leases">
              <w:r>
                <w:rPr>
                  <w:rStyle w:val="InternetLink"/>
                  <w:rFonts w:ascii="Arial;sans-serif" w:hAnsi="Arial;sans-serif"/>
                  <w:b w:val="false"/>
                  <w:sz w:val="18"/>
                  <w:u w:val="single"/>
                </w:rPr>
                <w:t>Leases</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15</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8.</w:t>
            </w:r>
          </w:p>
        </w:tc>
        <w:tc>
          <w:tcPr>
            <w:tcW w:w="6129" w:type="dxa"/>
            <w:tcBorders/>
            <w:vAlign w:val="center"/>
          </w:tcPr>
          <w:p>
            <w:pPr>
              <w:pStyle w:val="TableContents"/>
              <w:bidi w:val="0"/>
              <w:spacing w:before="0" w:after="0"/>
              <w:ind w:left="0" w:right="0" w:hanging="0"/>
              <w:jc w:val="left"/>
              <w:rPr/>
            </w:pPr>
            <w:hyperlink w:anchor="note_8_stock_based_compensation">
              <w:r>
                <w:rPr>
                  <w:rStyle w:val="InternetLink"/>
                  <w:rFonts w:ascii="Arial;sans-serif" w:hAnsi="Arial;sans-serif"/>
                  <w:b w:val="false"/>
                  <w:sz w:val="18"/>
                  <w:u w:val="single"/>
                </w:rPr>
                <w:t>Stock-Based Compensation</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16</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9.</w:t>
            </w:r>
          </w:p>
        </w:tc>
        <w:tc>
          <w:tcPr>
            <w:tcW w:w="6129" w:type="dxa"/>
            <w:tcBorders/>
            <w:vAlign w:val="center"/>
          </w:tcPr>
          <w:p>
            <w:pPr>
              <w:pStyle w:val="TableContents"/>
              <w:bidi w:val="0"/>
              <w:spacing w:before="0" w:after="0"/>
              <w:ind w:left="0" w:right="0" w:hanging="0"/>
              <w:jc w:val="left"/>
              <w:rPr/>
            </w:pPr>
            <w:hyperlink w:anchor="note_9_commitments_and_contingencies">
              <w:r>
                <w:rPr>
                  <w:rStyle w:val="InternetLink"/>
                  <w:rFonts w:ascii="Arial;sans-serif" w:hAnsi="Arial;sans-serif"/>
                  <w:b w:val="false"/>
                  <w:sz w:val="18"/>
                  <w:u w:val="single"/>
                </w:rPr>
                <w:t>Commitments and Contingencies</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17</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10.</w:t>
            </w:r>
          </w:p>
        </w:tc>
        <w:tc>
          <w:tcPr>
            <w:tcW w:w="6129" w:type="dxa"/>
            <w:tcBorders/>
            <w:vAlign w:val="center"/>
          </w:tcPr>
          <w:p>
            <w:pPr>
              <w:pStyle w:val="TableContents"/>
              <w:bidi w:val="0"/>
              <w:spacing w:before="0" w:after="0"/>
              <w:ind w:left="0" w:right="0" w:hanging="0"/>
              <w:jc w:val="left"/>
              <w:rPr/>
            </w:pPr>
            <w:hyperlink w:anchor="note_10_basic_and_diluted_eps">
              <w:r>
                <w:rPr>
                  <w:rStyle w:val="InternetLink"/>
                  <w:rFonts w:ascii="Arial;sans-serif" w:hAnsi="Arial;sans-serif"/>
                  <w:b w:val="false"/>
                  <w:sz w:val="18"/>
                  <w:u w:val="single"/>
                </w:rPr>
                <w:t>Basic and Diluted Net Loss Per Common Share</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18</w:t>
            </w:r>
          </w:p>
        </w:tc>
      </w:tr>
      <w:tr>
        <w:trPr/>
        <w:tc>
          <w:tcPr>
            <w:tcW w:w="125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Note 11.</w:t>
            </w:r>
          </w:p>
        </w:tc>
        <w:tc>
          <w:tcPr>
            <w:tcW w:w="6129" w:type="dxa"/>
            <w:tcBorders/>
            <w:vAlign w:val="center"/>
          </w:tcPr>
          <w:p>
            <w:pPr>
              <w:pStyle w:val="TableContents"/>
              <w:bidi w:val="0"/>
              <w:spacing w:before="0" w:after="0"/>
              <w:ind w:left="0" w:right="0" w:hanging="0"/>
              <w:jc w:val="left"/>
              <w:rPr/>
            </w:pPr>
            <w:hyperlink w:anchor="note_11_restructuring">
              <w:r>
                <w:rPr>
                  <w:rStyle w:val="InternetLink"/>
                  <w:rFonts w:ascii="Arial;sans-serif" w:hAnsi="Arial;sans-serif"/>
                  <w:b w:val="false"/>
                  <w:sz w:val="18"/>
                  <w:u w:val="single"/>
                </w:rPr>
                <w:t>Restructuring and Other Charges</w:t>
              </w:r>
            </w:hyperlink>
          </w:p>
        </w:tc>
        <w:tc>
          <w:tcPr>
            <w:tcW w:w="810"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19</w:t>
            </w:r>
          </w:p>
        </w:tc>
      </w:tr>
    </w:tbl>
    <w:p>
      <w:pPr>
        <w:pStyle w:val="TextBody"/>
        <w:bidi w:val="0"/>
        <w:spacing w:before="0" w:after="0"/>
        <w:jc w:val="center"/>
        <w:rPr/>
      </w:pPr>
      <w:r>
        <w:rPr/>
        <w:t> </w:t>
      </w:r>
    </w:p>
    <w:p>
      <w:pPr>
        <w:pStyle w:val="TextBody"/>
        <w:bidi w:val="0"/>
        <w:spacing w:before="240" w:after="0"/>
        <w:jc w:val="center"/>
        <w:rPr>
          <w:rFonts w:ascii="Arial;sans-serif" w:hAnsi="Arial;sans-serif"/>
          <w:b w:val="false"/>
          <w:sz w:val="18"/>
        </w:rPr>
      </w:pPr>
      <w:r>
        <w:rPr>
          <w:rFonts w:ascii="Arial;sans-serif" w:hAnsi="Arial;sans-serif"/>
          <w:b w:val="false"/>
          <w:sz w:val="18"/>
        </w:rPr>
        <w:t>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Arial;sans-serif" w:hAnsi="Arial;sans-serif"/>
          <w:b/>
          <w:sz w:val="18"/>
        </w:rPr>
      </w:pPr>
      <w:r>
        <w:rPr>
          <w:rFonts w:ascii="Arial;sans-serif" w:hAnsi="Arial;sans-serif"/>
          <w:b/>
          <w:sz w:val="18"/>
        </w:rPr>
        <w:t>PERSONALIS, INC.</w:t>
      </w:r>
    </w:p>
    <w:p>
      <w:pPr>
        <w:pStyle w:val="TextBody"/>
        <w:bidi w:val="0"/>
        <w:spacing w:before="0" w:after="0"/>
        <w:jc w:val="center"/>
        <w:rPr>
          <w:rFonts w:ascii="Times New Roman" w:hAnsi="Times New Roman"/>
          <w:sz w:val="20"/>
        </w:rPr>
      </w:pPr>
      <w:bookmarkStart w:id="12" w:name="noates_to_financials"/>
      <w:bookmarkEnd w:id="12"/>
      <w:r>
        <w:rPr>
          <w:rFonts w:ascii="Arial;sans-serif" w:hAnsi="Arial;sans-serif"/>
          <w:b/>
          <w:sz w:val="18"/>
        </w:rPr>
        <w:t>NOTES TO UNAUDITED CONDENSED</w:t>
      </w:r>
      <w:r>
        <w:rPr>
          <w:rFonts w:ascii="Times New Roman" w:hAnsi="Times New Roman"/>
          <w:sz w:val="20"/>
        </w:rPr>
        <w:t xml:space="preserve"> </w:t>
      </w:r>
      <w:r>
        <w:rPr>
          <w:rFonts w:ascii="Arial;sans-serif" w:hAnsi="Arial;sans-serif"/>
          <w:b/>
          <w:sz w:val="18"/>
        </w:rPr>
        <w:t>CONSOLIDATED FINANCIAL STATEMENTS</w:t>
      </w:r>
    </w:p>
    <w:p>
      <w:pPr>
        <w:pStyle w:val="TextBody"/>
        <w:bidi w:val="0"/>
        <w:spacing w:before="240" w:after="0"/>
        <w:jc w:val="both"/>
        <w:rPr>
          <w:rFonts w:ascii="Times New Roman" w:hAnsi="Times New Roman"/>
          <w:sz w:val="20"/>
        </w:rPr>
      </w:pPr>
      <w:bookmarkStart w:id="13" w:name="note_1_company_and_nature_of_business"/>
      <w:bookmarkEnd w:id="13"/>
      <w:r>
        <w:rPr>
          <w:rFonts w:ascii="Arial;sans-serif" w:hAnsi="Arial;sans-serif"/>
          <w:b/>
          <w:sz w:val="18"/>
        </w:rPr>
        <w:t>Note 1. Company and</w:t>
      </w:r>
      <w:r>
        <w:rPr>
          <w:rFonts w:ascii="Times New Roman" w:hAnsi="Times New Roman"/>
          <w:sz w:val="20"/>
        </w:rPr>
        <w:t xml:space="preserve"> </w:t>
      </w:r>
      <w:r>
        <w:rPr>
          <w:rFonts w:ascii="Arial;sans-serif" w:hAnsi="Arial;sans-serif"/>
          <w:b/>
          <w:sz w:val="18"/>
        </w:rPr>
        <w:t>Nature of Business</w:t>
      </w:r>
    </w:p>
    <w:p>
      <w:pPr>
        <w:pStyle w:val="TextBody"/>
        <w:bidi w:val="0"/>
        <w:spacing w:before="200" w:after="0"/>
        <w:jc w:val="both"/>
        <w:rPr>
          <w:rFonts w:ascii="Arial;sans-serif" w:hAnsi="Arial;sans-serif"/>
          <w:b w:val="false"/>
          <w:sz w:val="18"/>
        </w:rPr>
      </w:pPr>
      <w:r>
        <w:rPr>
          <w:rFonts w:ascii="Arial;sans-serif" w:hAnsi="Arial;sans-serif"/>
          <w:b w:val="false"/>
          <w:sz w:val="18"/>
        </w:rPr>
        <w:t>Personalis, Inc. (the "Company") is a provider of advanced genomic tests for precision oncology and personalized testing. The Company also provides sequencing and data analysis services to support population sequencing initiatives. The Company's genomic tests are sold primarily to pharmaceutical companies, biopharmaceutical companies, diagnostics companies, universities, non-profits, and government entities, while services for population sequencing initiatives are sold primarily to government entities. The principal markets for the Company's services are in the United States and Europe.</w:t>
      </w:r>
    </w:p>
    <w:p>
      <w:pPr>
        <w:pStyle w:val="TextBody"/>
        <w:bidi w:val="0"/>
        <w:spacing w:before="200" w:after="0"/>
        <w:jc w:val="both"/>
        <w:rPr>
          <w:rFonts w:ascii="Times New Roman" w:hAnsi="Times New Roman"/>
          <w:sz w:val="20"/>
        </w:rPr>
      </w:pPr>
      <w:r>
        <w:rPr>
          <w:rFonts w:ascii="Arial;sans-serif" w:hAnsi="Arial;sans-serif"/>
          <w:b w:val="false"/>
          <w:sz w:val="18"/>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Management is in the process of closing its operations in China. Refer to Note 11 for further information. The Company operates and manages its business as one</w:t>
      </w:r>
      <w:r>
        <w:rPr>
          <w:rFonts w:ascii="Times New Roman" w:hAnsi="Times New Roman"/>
          <w:sz w:val="20"/>
        </w:rPr>
        <w:t xml:space="preserve"> </w:t>
      </w:r>
      <w:r>
        <w:rPr>
          <w:rFonts w:ascii="Arial;sans-serif" w:hAnsi="Arial;sans-serif"/>
          <w:b w:val="false"/>
          <w:sz w:val="18"/>
        </w:rPr>
        <w:t>reportable operating segment, which is the sale of sequencing and data analysis services.</w:t>
      </w:r>
    </w:p>
    <w:p>
      <w:pPr>
        <w:pStyle w:val="TextBody"/>
        <w:bidi w:val="0"/>
        <w:spacing w:before="200" w:after="0"/>
        <w:jc w:val="both"/>
        <w:rPr>
          <w:rFonts w:ascii="Arial;sans-serif" w:hAnsi="Arial;sans-serif"/>
          <w:b w:val="false"/>
          <w:sz w:val="18"/>
        </w:rPr>
      </w:pPr>
      <w:r>
        <w:rPr>
          <w:rFonts w:ascii="Arial;sans-serif" w:hAnsi="Arial;sans-serif"/>
          <w:b w:val="false"/>
          <w:sz w:val="18"/>
        </w:rPr>
        <w:t>The Company has incurred losses to date and expects to incur additional losses for the foreseeable future. The Company continues to invest the majority of its resources in the development and growth of its business, including investments in product development and studies to prove the clinical validity and utility of the Company's tests. The Company’s activities have been financed to date primarily through the sale of its equity securities and cash from operations.</w:t>
      </w:r>
    </w:p>
    <w:p>
      <w:pPr>
        <w:pStyle w:val="TextBody"/>
        <w:bidi w:val="0"/>
        <w:spacing w:before="200" w:after="0"/>
        <w:jc w:val="both"/>
        <w:rPr>
          <w:rFonts w:ascii="Times New Roman" w:hAnsi="Times New Roman"/>
          <w:sz w:val="20"/>
        </w:rPr>
      </w:pPr>
      <w:bookmarkStart w:id="14" w:name="note_2_summary_significant_acctg_policie"/>
      <w:bookmarkEnd w:id="14"/>
      <w:r>
        <w:rPr>
          <w:rFonts w:ascii="Arial;sans-serif" w:hAnsi="Arial;sans-serif"/>
          <w:b/>
          <w:sz w:val="18"/>
        </w:rPr>
        <w:t>Note 2. Summary of Significant</w:t>
      </w:r>
      <w:r>
        <w:rPr>
          <w:rFonts w:ascii="Times New Roman" w:hAnsi="Times New Roman"/>
          <w:sz w:val="20"/>
        </w:rPr>
        <w:t xml:space="preserve"> </w:t>
      </w:r>
      <w:r>
        <w:rPr>
          <w:rFonts w:ascii="Arial;sans-serif" w:hAnsi="Arial;sans-serif"/>
          <w:b/>
          <w:sz w:val="18"/>
        </w:rPr>
        <w:t>Accounting Policies</w:t>
      </w:r>
    </w:p>
    <w:p>
      <w:pPr>
        <w:pStyle w:val="TextBody"/>
        <w:bidi w:val="0"/>
        <w:spacing w:before="200" w:after="0"/>
        <w:jc w:val="both"/>
        <w:rPr>
          <w:rFonts w:ascii="Arial;sans-serif" w:hAnsi="Arial;sans-serif"/>
          <w:b/>
          <w:i/>
          <w:sz w:val="18"/>
        </w:rPr>
      </w:pPr>
      <w:r>
        <w:rPr>
          <w:rFonts w:ascii="Arial;sans-serif" w:hAnsi="Arial;sans-serif"/>
          <w:b/>
          <w:i/>
          <w:sz w:val="18"/>
        </w:rPr>
        <w:t>Basis of Presentation</w:t>
      </w:r>
    </w:p>
    <w:p>
      <w:pPr>
        <w:pStyle w:val="TextBody"/>
        <w:bidi w:val="0"/>
        <w:spacing w:before="200" w:after="0"/>
        <w:jc w:val="both"/>
        <w:rPr>
          <w:rFonts w:ascii="Arial;sans-serif" w:hAnsi="Arial;sans-serif"/>
          <w:b w:val="false"/>
          <w:sz w:val="18"/>
        </w:rPr>
      </w:pPr>
      <w:r>
        <w:rPr>
          <w:rFonts w:ascii="Arial;sans-serif" w:hAnsi="Arial;sans-serif"/>
          <w:b w:val="false"/>
          <w:sz w:val="18"/>
        </w:rPr>
        <w:t>The unaudited condensed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2022.</w:t>
      </w:r>
    </w:p>
    <w:p>
      <w:pPr>
        <w:pStyle w:val="TextBody"/>
        <w:bidi w:val="0"/>
        <w:spacing w:before="200" w:after="0"/>
        <w:jc w:val="both"/>
        <w:rPr>
          <w:rFonts w:ascii="Arial;sans-serif" w:hAnsi="Arial;sans-serif"/>
          <w:b w:val="false"/>
          <w:sz w:val="18"/>
        </w:rPr>
      </w:pPr>
      <w:r>
        <w:rPr>
          <w:rFonts w:ascii="Arial;sans-serif" w:hAnsi="Arial;sans-serif"/>
          <w:b w:val="false"/>
          <w:sz w:val="18"/>
        </w:rPr>
        <w:t>The condensed consolidated financial statements include the accounts of Personalis, Inc. and its wholly owned subsidiaries, Personalis (UK) Ltd. and Personalis (Shanghai) Ltd. All intercompany balances and transactions have been eliminated in consolidation.</w:t>
      </w:r>
    </w:p>
    <w:p>
      <w:pPr>
        <w:pStyle w:val="TextBody"/>
        <w:bidi w:val="0"/>
        <w:spacing w:before="200" w:after="0"/>
        <w:jc w:val="both"/>
        <w:rPr>
          <w:rFonts w:ascii="Arial;sans-serif" w:hAnsi="Arial;sans-serif"/>
          <w:b w:val="false"/>
          <w:sz w:val="18"/>
        </w:rPr>
      </w:pPr>
      <w:r>
        <w:rPr>
          <w:rFonts w:ascii="Arial;sans-serif" w:hAnsi="Arial;sans-serif"/>
          <w:b w:val="false"/>
          <w:sz w:val="18"/>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2023.</w:t>
      </w:r>
    </w:p>
    <w:p>
      <w:pPr>
        <w:pStyle w:val="TextBody"/>
        <w:bidi w:val="0"/>
        <w:spacing w:before="200" w:after="0"/>
        <w:jc w:val="both"/>
        <w:rPr>
          <w:rFonts w:ascii="Arial;sans-serif" w:hAnsi="Arial;sans-serif"/>
          <w:b/>
          <w:i/>
          <w:sz w:val="18"/>
        </w:rPr>
      </w:pPr>
      <w:r>
        <w:rPr>
          <w:rFonts w:ascii="Arial;sans-serif" w:hAnsi="Arial;sans-serif"/>
          <w:b/>
          <w:i/>
          <w:sz w:val="18"/>
        </w:rPr>
        <w:t>Use of Estimates</w:t>
      </w:r>
    </w:p>
    <w:p>
      <w:pPr>
        <w:pStyle w:val="TextBody"/>
        <w:bidi w:val="0"/>
        <w:spacing w:before="200" w:after="0"/>
        <w:jc w:val="both"/>
        <w:rPr>
          <w:rFonts w:ascii="Times New Roman" w:hAnsi="Times New Roman"/>
          <w:sz w:val="20"/>
        </w:rPr>
      </w:pPr>
      <w:r>
        <w:rPr>
          <w:rFonts w:ascii="Arial;sans-serif" w:hAnsi="Arial;sans-serif"/>
          <w:b w:val="false"/>
          <w:sz w:val="18"/>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stock-based awards, and provisions for income taxes and contingencies. Actual results could differ from these estimates, and such differences could be material to the Company’s consolidated financial position and results of operations.</w:t>
      </w:r>
      <w:r>
        <w:rPr>
          <w:rFonts w:ascii="Times New Roman" w:hAnsi="Times New Roman"/>
          <w:sz w:val="20"/>
        </w:rPr>
        <w:t xml:space="preserve"> </w:t>
      </w:r>
    </w:p>
    <w:p>
      <w:pPr>
        <w:pStyle w:val="TextBody"/>
        <w:bidi w:val="0"/>
        <w:spacing w:before="200" w:after="0"/>
        <w:jc w:val="both"/>
        <w:rPr>
          <w:rFonts w:ascii="Arial;sans-serif" w:hAnsi="Arial;sans-serif"/>
          <w:b/>
          <w:i/>
          <w:sz w:val="18"/>
        </w:rPr>
      </w:pPr>
      <w:r>
        <w:rPr>
          <w:rFonts w:ascii="Arial;sans-serif" w:hAnsi="Arial;sans-serif"/>
          <w:b/>
          <w:i/>
          <w:sz w:val="18"/>
        </w:rPr>
        <w:t>At-the-Market Equity Offerings</w:t>
      </w:r>
    </w:p>
    <w:p>
      <w:pPr>
        <w:pStyle w:val="TextBody"/>
        <w:bidi w:val="0"/>
        <w:spacing w:before="200" w:after="0"/>
        <w:jc w:val="both"/>
        <w:rPr>
          <w:rFonts w:ascii="Times New Roman" w:hAnsi="Times New Roman"/>
          <w:sz w:val="20"/>
        </w:rPr>
      </w:pPr>
      <w:r>
        <w:rPr>
          <w:rFonts w:ascii="Arial;sans-serif" w:hAnsi="Arial;sans-serif"/>
          <w:b w:val="false"/>
          <w:sz w:val="18"/>
        </w:rPr>
        <w:t>In December 2021, the Company entered into an At-the-Market ("ATM") Sales Agreement (the “Sales Agreement”) with BTIG, LLC (“BTIG”) under which it may offer and sell its common stock having aggregate sales proceeds of up to $100.0</w:t>
      </w:r>
      <w:r>
        <w:rPr>
          <w:rFonts w:ascii="Times New Roman" w:hAnsi="Times New Roman"/>
          <w:sz w:val="20"/>
        </w:rPr>
        <w:t xml:space="preserve"> </w:t>
      </w:r>
      <w:r>
        <w:rPr>
          <w:rFonts w:ascii="Arial;sans-serif" w:hAnsi="Arial;sans-serif"/>
          <w:b w:val="false"/>
          <w:sz w:val="18"/>
        </w:rPr>
        <w:t>million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through BTIG under the Sales Agreement. The Company is not obligated to make any sales of common stock under the Sales Agreement.</w:t>
      </w:r>
    </w:p>
    <w:p>
      <w:pPr>
        <w:pStyle w:val="TextBody"/>
        <w:bidi w:val="0"/>
        <w:spacing w:before="200" w:after="0"/>
        <w:jc w:val="both"/>
        <w:rPr>
          <w:rFonts w:ascii="Times New Roman" w:hAnsi="Times New Roman"/>
          <w:sz w:val="20"/>
        </w:rPr>
      </w:pPr>
      <w:r>
        <w:rPr>
          <w:rFonts w:ascii="Arial;sans-serif" w:hAnsi="Arial;sans-serif"/>
          <w:b w:val="false"/>
          <w:sz w:val="18"/>
        </w:rPr>
        <w:t>During the three and six months ended June 30, 2023, the Company issued and sold 0.9</w:t>
      </w:r>
      <w:r>
        <w:rPr>
          <w:rFonts w:ascii="Times New Roman" w:hAnsi="Times New Roman"/>
          <w:sz w:val="20"/>
        </w:rPr>
        <w:t xml:space="preserve"> </w:t>
      </w:r>
      <w:r>
        <w:rPr>
          <w:rFonts w:ascii="Arial;sans-serif" w:hAnsi="Arial;sans-serif"/>
          <w:b w:val="false"/>
          <w:sz w:val="18"/>
        </w:rPr>
        <w:t>million shares of its common stock under the Sales Agreement. The shares were sold at a weighted-average price of $2.12</w:t>
      </w:r>
      <w:r>
        <w:rPr>
          <w:rFonts w:ascii="Times New Roman" w:hAnsi="Times New Roman"/>
          <w:sz w:val="20"/>
        </w:rPr>
        <w:t xml:space="preserve"> </w:t>
      </w:r>
      <w:r>
        <w:rPr>
          <w:rFonts w:ascii="Arial;sans-serif" w:hAnsi="Arial;sans-serif"/>
          <w:b w:val="false"/>
          <w:sz w:val="18"/>
        </w:rPr>
        <w:t>per share. The Company received $1.9</w:t>
      </w:r>
      <w:r>
        <w:rPr>
          <w:rFonts w:ascii="Times New Roman" w:hAnsi="Times New Roman"/>
          <w:sz w:val="20"/>
        </w:rPr>
        <w:t xml:space="preserve"> </w:t>
      </w:r>
      <w:r>
        <w:rPr>
          <w:rFonts w:ascii="Arial;sans-serif" w:hAnsi="Arial;sans-serif"/>
          <w:b w:val="false"/>
          <w:sz w:val="18"/>
        </w:rPr>
        <w:t>million in proceeds, net of commissions. As of June 30, 2023, up to $98.1</w:t>
      </w:r>
      <w:r>
        <w:rPr>
          <w:rFonts w:ascii="Times New Roman" w:hAnsi="Times New Roman"/>
          <w:sz w:val="20"/>
        </w:rPr>
        <w:t xml:space="preserve"> </w:t>
      </w:r>
      <w:r>
        <w:rPr>
          <w:rFonts w:ascii="Arial;sans-serif" w:hAnsi="Arial;sans-serif"/>
          <w:b w:val="false"/>
          <w:sz w:val="18"/>
        </w:rPr>
        <w:t>million in aggregate sales of common stock remained available for sale under the Sales Agreement.</w:t>
      </w:r>
    </w:p>
    <w:p>
      <w:pPr>
        <w:pStyle w:val="TextBody"/>
        <w:bidi w:val="0"/>
        <w:spacing w:before="200" w:after="0"/>
        <w:jc w:val="both"/>
        <w:rPr/>
      </w:pPr>
      <w:r>
        <w:rPr/>
        <w:t> </w:t>
      </w:r>
    </w:p>
    <w:p>
      <w:pPr>
        <w:pStyle w:val="TextBody"/>
        <w:bidi w:val="0"/>
        <w:spacing w:before="240" w:after="0"/>
        <w:jc w:val="center"/>
        <w:rPr>
          <w:rFonts w:ascii="Arial;sans-serif" w:hAnsi="Arial;sans-serif"/>
          <w:b w:val="false"/>
          <w:sz w:val="18"/>
        </w:rPr>
      </w:pPr>
      <w:r>
        <w:rPr>
          <w:rFonts w:ascii="Arial;sans-serif" w:hAnsi="Arial;sans-serif"/>
          <w:b w:val="false"/>
          <w:sz w:val="18"/>
        </w:rPr>
        <w:t>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i/>
          <w:sz w:val="18"/>
        </w:rPr>
      </w:pPr>
      <w:r>
        <w:rPr>
          <w:rFonts w:ascii="Arial;sans-serif" w:hAnsi="Arial;sans-serif"/>
          <w:b/>
          <w:i/>
          <w:sz w:val="18"/>
        </w:rPr>
        <w:t>Concentration of Credit Risk and Other Risks and Uncertainties</w:t>
      </w:r>
    </w:p>
    <w:p>
      <w:pPr>
        <w:pStyle w:val="TextBody"/>
        <w:bidi w:val="0"/>
        <w:spacing w:before="200" w:after="0"/>
        <w:jc w:val="both"/>
        <w:rPr>
          <w:rFonts w:ascii="Arial;sans-serif" w:hAnsi="Arial;sans-serif"/>
          <w:b w:val="false"/>
          <w:sz w:val="18"/>
        </w:rPr>
      </w:pPr>
      <w:r>
        <w:rPr>
          <w:rFonts w:ascii="Arial;sans-serif" w:hAnsi="Arial;sans-serif"/>
          <w:b w:val="false"/>
          <w:sz w:val="18"/>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pStyle w:val="TextBody"/>
        <w:bidi w:val="0"/>
        <w:spacing w:before="200" w:after="0"/>
        <w:jc w:val="both"/>
        <w:rPr>
          <w:rFonts w:ascii="Arial;sans-serif" w:hAnsi="Arial;sans-serif"/>
          <w:b w:val="false"/>
          <w:sz w:val="18"/>
        </w:rPr>
      </w:pPr>
      <w:r>
        <w:rPr>
          <w:rFonts w:ascii="Arial;sans-serif" w:hAnsi="Arial;sans-serif"/>
          <w:b w:val="false"/>
          <w:sz w:val="18"/>
        </w:rPr>
        <w:t>The Company also invests in investment</w:t>
        <w:noBreakHyphen/>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noBreakHyphen/>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pStyle w:val="TextBody"/>
        <w:bidi w:val="0"/>
        <w:spacing w:before="200" w:after="0"/>
        <w:jc w:val="both"/>
        <w:rPr>
          <w:rFonts w:ascii="Arial;sans-serif" w:hAnsi="Arial;sans-serif"/>
          <w:b w:val="false"/>
          <w:sz w:val="18"/>
        </w:rPr>
      </w:pPr>
      <w:r>
        <w:rPr>
          <w:rFonts w:ascii="Arial;sans-serif" w:hAnsi="Arial;sans-serif"/>
          <w:b w:val="false"/>
          <w:sz w:val="18"/>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pStyle w:val="TextBody"/>
        <w:bidi w:val="0"/>
        <w:spacing w:before="200" w:after="200"/>
        <w:jc w:val="both"/>
        <w:rPr>
          <w:rFonts w:ascii="Arial;sans-serif" w:hAnsi="Arial;sans-serif"/>
          <w:b w:val="false"/>
          <w:sz w:val="18"/>
        </w:rPr>
      </w:pPr>
      <w:r>
        <w:rPr>
          <w:rFonts w:ascii="Arial;sans-serif" w:hAnsi="Arial;sans-serif"/>
          <w:b w:val="false"/>
          <w:sz w:val="18"/>
        </w:rPr>
        <w:t>The Company performs regular reviews of customer activity and associated credit risks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tbl>
      <w:tblPr>
        <w:tblW w:w="9572" w:type="dxa"/>
        <w:jc w:val="left"/>
        <w:tblInd w:w="0" w:type="dxa"/>
        <w:tblLayout w:type="fixed"/>
        <w:tblCellMar>
          <w:top w:w="28" w:type="dxa"/>
          <w:left w:w="28" w:type="dxa"/>
          <w:bottom w:w="28" w:type="dxa"/>
          <w:right w:w="28" w:type="dxa"/>
        </w:tblCellMar>
      </w:tblPr>
      <w:tblGrid>
        <w:gridCol w:w="1486"/>
        <w:gridCol w:w="146"/>
        <w:gridCol w:w="1068"/>
        <w:gridCol w:w="324"/>
        <w:gridCol w:w="1068"/>
        <w:gridCol w:w="146"/>
        <w:gridCol w:w="977"/>
        <w:gridCol w:w="296"/>
        <w:gridCol w:w="977"/>
        <w:gridCol w:w="146"/>
        <w:gridCol w:w="1171"/>
        <w:gridCol w:w="146"/>
        <w:gridCol w:w="162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856"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Revenue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93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Accounts Receivable</w:t>
            </w:r>
          </w:p>
        </w:tc>
      </w:tr>
      <w:tr>
        <w:trPr/>
        <w:tc>
          <w:tcPr>
            <w:tcW w:w="1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6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5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r>
      <w:tr>
        <w:trPr/>
        <w:tc>
          <w:tcPr>
            <w:tcW w:w="1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left"/>
              <w:rPr/>
            </w:pPr>
            <w:r>
              <w:rPr/>
              <w:t> </w:t>
            </w:r>
          </w:p>
        </w:tc>
      </w:tr>
      <w:tr>
        <w:trPr/>
        <w:tc>
          <w:tcPr>
            <w:tcW w:w="14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Natera, Inc.</w:t>
            </w:r>
          </w:p>
        </w:tc>
        <w:tc>
          <w:tcPr>
            <w:tcW w:w="1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44%</w:t>
            </w:r>
          </w:p>
        </w:tc>
        <w:tc>
          <w:tcPr>
            <w:tcW w:w="324"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38%</w:t>
            </w:r>
          </w:p>
        </w:tc>
        <w:tc>
          <w:tcPr>
            <w:tcW w:w="1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47%</w:t>
            </w:r>
          </w:p>
        </w:tc>
        <w:tc>
          <w:tcPr>
            <w:tcW w:w="29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33%</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34%</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43%</w:t>
            </w:r>
          </w:p>
        </w:tc>
      </w:tr>
      <w:tr>
        <w:trPr/>
        <w:tc>
          <w:tcPr>
            <w:tcW w:w="14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VA MVP</w:t>
            </w:r>
          </w:p>
        </w:tc>
        <w:tc>
          <w:tcPr>
            <w:tcW w:w="1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18%</w:t>
            </w:r>
          </w:p>
        </w:tc>
        <w:tc>
          <w:tcPr>
            <w:tcW w:w="324"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22%</w:t>
            </w:r>
          </w:p>
        </w:tc>
        <w:tc>
          <w:tcPr>
            <w:tcW w:w="1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17%</w:t>
            </w:r>
          </w:p>
        </w:tc>
        <w:tc>
          <w:tcPr>
            <w:tcW w:w="29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23%</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r>
      <w:tr>
        <w:trPr/>
        <w:tc>
          <w:tcPr>
            <w:tcW w:w="14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Merck &amp; Co., Inc.</w:t>
            </w:r>
          </w:p>
        </w:tc>
        <w:tc>
          <w:tcPr>
            <w:tcW w:w="1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w:t>
            </w:r>
          </w:p>
        </w:tc>
        <w:tc>
          <w:tcPr>
            <w:tcW w:w="324"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29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17%</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r>
      <w:tr>
        <w:trPr/>
        <w:tc>
          <w:tcPr>
            <w:tcW w:w="14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Pfizer Inc.</w:t>
            </w:r>
          </w:p>
        </w:tc>
        <w:tc>
          <w:tcPr>
            <w:tcW w:w="1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324"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29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12%</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w:t>
            </w:r>
          </w:p>
        </w:tc>
      </w:tr>
      <w:tr>
        <w:trPr/>
        <w:tc>
          <w:tcPr>
            <w:tcW w:w="14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GSK plc</w:t>
            </w:r>
          </w:p>
        </w:tc>
        <w:tc>
          <w:tcPr>
            <w:tcW w:w="1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324"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29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12%</w:t>
            </w:r>
          </w:p>
        </w:tc>
      </w:tr>
      <w:tr>
        <w:trPr/>
        <w:tc>
          <w:tcPr>
            <w:tcW w:w="9572" w:type="dxa"/>
            <w:gridSpan w:val="13"/>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 Less than 10% of revenue or accounts receivable</w:t>
            </w:r>
          </w:p>
        </w:tc>
      </w:tr>
    </w:tbl>
    <w:p>
      <w:pPr>
        <w:pStyle w:val="TextBody"/>
        <w:bidi w:val="0"/>
        <w:spacing w:before="0" w:after="0"/>
        <w:jc w:val="left"/>
        <w:rPr/>
      </w:pPr>
      <w:r>
        <w:rPr/>
        <w:t> </w:t>
      </w:r>
    </w:p>
    <w:p>
      <w:pPr>
        <w:pStyle w:val="TextBody"/>
        <w:bidi w:val="0"/>
        <w:spacing w:before="200" w:after="0"/>
        <w:jc w:val="both"/>
        <w:rPr>
          <w:rFonts w:ascii="Arial;sans-serif" w:hAnsi="Arial;sans-serif"/>
          <w:b/>
          <w:i/>
          <w:sz w:val="18"/>
        </w:rPr>
      </w:pPr>
      <w:r>
        <w:rPr>
          <w:rFonts w:ascii="Arial;sans-serif" w:hAnsi="Arial;sans-serif"/>
          <w:b/>
          <w:i/>
          <w:sz w:val="18"/>
        </w:rPr>
        <w:t>Significant Accounting Policies</w:t>
      </w:r>
    </w:p>
    <w:p>
      <w:pPr>
        <w:pStyle w:val="TextBody"/>
        <w:bidi w:val="0"/>
        <w:spacing w:before="200" w:after="0"/>
        <w:jc w:val="both"/>
        <w:rPr>
          <w:rFonts w:ascii="Arial;sans-serif" w:hAnsi="Arial;sans-serif"/>
          <w:b w:val="false"/>
          <w:sz w:val="18"/>
        </w:rPr>
      </w:pPr>
      <w:r>
        <w:rPr>
          <w:rFonts w:ascii="Arial;sans-serif" w:hAnsi="Arial;sans-serif"/>
          <w:b w:val="false"/>
          <w:sz w:val="18"/>
        </w:rPr>
        <w:t>As of June 30, 2023, the Company’s significant accounting policies are consistent with those discussed in Note 2 - “Summary of Significant Accounting Policies” in its consolidated financial statements included in the Company’s Annual Report on Form 10-K for the year ended December 31, 2022.</w:t>
      </w:r>
    </w:p>
    <w:p>
      <w:pPr>
        <w:pStyle w:val="TextBody"/>
        <w:bidi w:val="0"/>
        <w:spacing w:before="200" w:after="0"/>
        <w:jc w:val="both"/>
        <w:rPr>
          <w:rFonts w:ascii="Arial;sans-serif" w:hAnsi="Arial;sans-serif"/>
          <w:b/>
          <w:i/>
          <w:sz w:val="18"/>
        </w:rPr>
      </w:pPr>
      <w:r>
        <w:rPr>
          <w:rFonts w:ascii="Arial;sans-serif" w:hAnsi="Arial;sans-serif"/>
          <w:b/>
          <w:i/>
          <w:sz w:val="18"/>
        </w:rPr>
        <w:t>Recent Accounting Pronouncements</w:t>
      </w:r>
    </w:p>
    <w:p>
      <w:pPr>
        <w:pStyle w:val="TextBody"/>
        <w:bidi w:val="0"/>
        <w:spacing w:before="200" w:after="0"/>
        <w:jc w:val="both"/>
        <w:rPr>
          <w:rFonts w:ascii="Arial;sans-serif" w:hAnsi="Arial;sans-serif"/>
          <w:b w:val="false"/>
          <w:i/>
          <w:sz w:val="18"/>
        </w:rPr>
      </w:pPr>
      <w:r>
        <w:rPr>
          <w:rFonts w:ascii="Arial;sans-serif" w:hAnsi="Arial;sans-serif"/>
          <w:b w:val="false"/>
          <w:i/>
          <w:sz w:val="18"/>
        </w:rPr>
        <w:t>New Accounting Pronouncements Adopted</w:t>
      </w:r>
    </w:p>
    <w:p>
      <w:pPr>
        <w:pStyle w:val="TextBody"/>
        <w:bidi w:val="0"/>
        <w:spacing w:before="200" w:after="0"/>
        <w:jc w:val="both"/>
        <w:rPr>
          <w:rFonts w:ascii="Times New Roman" w:hAnsi="Times New Roman"/>
          <w:sz w:val="20"/>
        </w:rPr>
      </w:pPr>
      <w:r>
        <w:rPr>
          <w:rFonts w:ascii="Arial;sans-serif" w:hAnsi="Arial;sans-serif"/>
          <w:b w:val="false"/>
          <w:sz w:val="18"/>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The Company adopted</w:t>
      </w:r>
      <w:r>
        <w:rPr>
          <w:rFonts w:ascii="Times New Roman" w:hAnsi="Times New Roman"/>
          <w:sz w:val="20"/>
        </w:rPr>
        <w:t xml:space="preserve"> </w:t>
      </w:r>
      <w:r>
        <w:rPr>
          <w:rFonts w:ascii="Arial;sans-serif" w:hAnsi="Arial;sans-serif"/>
          <w:b w:val="false"/>
          <w:sz w:val="18"/>
        </w:rPr>
        <w:t>the new guidance as of the beginning of the first quarter of 2023 by means of a cumulative-effect adjustment to opening retained earnings. The adoption did not</w:t>
      </w:r>
      <w:r>
        <w:rPr>
          <w:rFonts w:ascii="Times New Roman" w:hAnsi="Times New Roman"/>
          <w:sz w:val="20"/>
        </w:rPr>
        <w:t xml:space="preserve"> </w:t>
      </w:r>
      <w:r>
        <w:rPr>
          <w:rFonts w:ascii="Arial;sans-serif" w:hAnsi="Arial;sans-serif"/>
          <w:b w:val="false"/>
          <w:sz w:val="18"/>
        </w:rPr>
        <w:t>have a significant impact on the condensed consolidated financial statements.</w:t>
      </w:r>
    </w:p>
    <w:p>
      <w:pPr>
        <w:pStyle w:val="TextBody"/>
        <w:bidi w:val="0"/>
        <w:spacing w:before="200" w:after="0"/>
        <w:jc w:val="both"/>
        <w:rPr>
          <w:rFonts w:ascii="Arial;sans-serif" w:hAnsi="Arial;sans-serif"/>
          <w:b/>
          <w:sz w:val="18"/>
        </w:rPr>
      </w:pPr>
      <w:bookmarkStart w:id="15" w:name="note_3_revenue"/>
      <w:bookmarkEnd w:id="15"/>
      <w:r>
        <w:rPr>
          <w:rFonts w:ascii="Arial;sans-serif" w:hAnsi="Arial;sans-serif"/>
          <w:b/>
          <w:sz w:val="18"/>
        </w:rPr>
        <w:t>Note 3. Revenue</w:t>
      </w:r>
    </w:p>
    <w:p>
      <w:pPr>
        <w:pStyle w:val="TextBody"/>
        <w:bidi w:val="0"/>
        <w:spacing w:before="200" w:after="200"/>
        <w:jc w:val="both"/>
        <w:rPr>
          <w:rFonts w:ascii="Arial;sans-serif" w:hAnsi="Arial;sans-serif"/>
          <w:b w:val="false"/>
          <w:sz w:val="18"/>
        </w:rPr>
      </w:pPr>
      <w:r>
        <w:rPr>
          <w:rFonts w:ascii="Arial;sans-serif" w:hAnsi="Arial;sans-serif"/>
          <w:b w:val="false"/>
          <w:sz w:val="18"/>
        </w:rPr>
        <w:t>The Company disaggregates revenue by the following four customer types:</w:t>
      </w:r>
    </w:p>
    <w:p>
      <w:pPr>
        <w:pStyle w:val="TextBody"/>
        <w:bidi w:val="0"/>
        <w:spacing w:before="200" w:after="0"/>
        <w:jc w:val="both"/>
        <w:rPr/>
      </w:pPr>
      <w:r>
        <w:rPr/>
        <w:t>•</w:t>
      </w:r>
    </w:p>
    <w:p>
      <w:pPr>
        <w:pStyle w:val="TextBody"/>
        <w:bidi w:val="0"/>
        <w:spacing w:before="200" w:after="0"/>
        <w:jc w:val="both"/>
        <w:rPr>
          <w:rFonts w:ascii="Arial;sans-serif" w:hAnsi="Arial;sans-serif"/>
          <w:sz w:val="18"/>
        </w:rPr>
      </w:pPr>
      <w:r>
        <w:rPr>
          <w:rFonts w:ascii="Arial;sans-serif" w:hAnsi="Arial;sans-serif"/>
          <w:b/>
          <w:sz w:val="18"/>
        </w:rPr>
        <w:t>Pharma tests and services</w:t>
      </w:r>
      <w:r>
        <w:rPr>
          <w:rFonts w:ascii="Arial;sans-serif" w:hAnsi="Arial;sans-serif"/>
          <w:sz w:val="18"/>
        </w:rPr>
        <w:t xml:space="preserve"> </w:t>
      </w:r>
      <w:r>
        <w:rPr>
          <w:rFonts w:ascii="Arial;sans-serif" w:hAnsi="Arial;sans-serif"/>
          <w:b w:val="false"/>
          <w:sz w:val="18"/>
        </w:rPr>
        <w:t>includes sales of testing services and data analytics for clinical trials and research to pharmaceutical companies in support of their drug development programs. Individual contracts typically contemplate a single project and involve a range of tests and analytics deliverables from the Company that are suitable for each particular project.</w:t>
      </w:r>
    </w:p>
    <w:p>
      <w:pPr>
        <w:pStyle w:val="TextBody"/>
        <w:bidi w:val="0"/>
        <w:spacing w:before="200" w:after="0"/>
        <w:jc w:val="both"/>
        <w:rPr/>
      </w:pPr>
      <w:r>
        <w:rPr/>
        <w:t>•</w:t>
      </w:r>
    </w:p>
    <w:p>
      <w:pPr>
        <w:pStyle w:val="TextBody"/>
        <w:bidi w:val="0"/>
        <w:spacing w:before="200" w:after="283"/>
        <w:jc w:val="both"/>
        <w:rPr>
          <w:rFonts w:ascii="Arial;sans-serif" w:hAnsi="Arial;sans-serif"/>
          <w:sz w:val="18"/>
        </w:rPr>
      </w:pPr>
      <w:r>
        <w:rPr>
          <w:rFonts w:ascii="Arial;sans-serif" w:hAnsi="Arial;sans-serif"/>
          <w:b/>
          <w:sz w:val="18"/>
        </w:rPr>
        <w:t>Enterprise sales</w:t>
      </w:r>
      <w:r>
        <w:rPr>
          <w:rFonts w:ascii="Arial;sans-serif" w:hAnsi="Arial;sans-serif"/>
          <w:sz w:val="18"/>
        </w:rPr>
        <w:t xml:space="preserve"> </w:t>
      </w:r>
      <w:r>
        <w:rPr>
          <w:rFonts w:ascii="Arial;sans-serif" w:hAnsi="Arial;sans-serif"/>
          <w:b w:val="false"/>
          <w:sz w:val="18"/>
        </w:rPr>
        <w:t>includes sales of tumor profiling and diagnostic tests directly to other businesses as an input to their products. The Company is typically contracted to deliver a limited number of tests and analytics deliverables, but in high volume over time, and may offer tiered pricing. Revenue from the Company's partnership with Natera to provide advanced tumor analysis for use in Natera's MRD test makes up substantially all of the revenue in this category.</w:t>
      </w:r>
    </w:p>
    <w:p>
      <w:pPr>
        <w:pStyle w:val="TextBody"/>
        <w:bidi w:val="0"/>
        <w:spacing w:before="240" w:after="0"/>
        <w:jc w:val="center"/>
        <w:rPr>
          <w:rFonts w:ascii="Arial;sans-serif" w:hAnsi="Arial;sans-serif"/>
          <w:b w:val="false"/>
          <w:sz w:val="18"/>
        </w:rPr>
      </w:pPr>
      <w:r>
        <w:rPr>
          <w:rFonts w:ascii="Arial;sans-serif" w:hAnsi="Arial;sans-serif"/>
          <w:b w:val="false"/>
          <w:sz w:val="18"/>
        </w:rPr>
        <w:t>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pPr>
      <w:r>
        <w:rPr/>
        <w:t>•</w:t>
      </w:r>
    </w:p>
    <w:p>
      <w:pPr>
        <w:pStyle w:val="TextBody"/>
        <w:bidi w:val="0"/>
        <w:spacing w:before="200" w:after="0"/>
        <w:jc w:val="both"/>
        <w:rPr>
          <w:rFonts w:ascii="Arial;sans-serif" w:hAnsi="Arial;sans-serif"/>
          <w:sz w:val="18"/>
        </w:rPr>
      </w:pPr>
      <w:r>
        <w:rPr>
          <w:rFonts w:ascii="Arial;sans-serif" w:hAnsi="Arial;sans-serif"/>
          <w:b/>
          <w:sz w:val="18"/>
        </w:rPr>
        <w:t>Population sequencing</w:t>
      </w:r>
      <w:r>
        <w:rPr>
          <w:rFonts w:ascii="Arial;sans-serif" w:hAnsi="Arial;sans-serif"/>
          <w:sz w:val="18"/>
        </w:rPr>
        <w:t xml:space="preserve"> </w:t>
      </w:r>
      <w:r>
        <w:rPr>
          <w:rFonts w:ascii="Arial;sans-serif" w:hAnsi="Arial;sans-serif"/>
          <w:b w:val="false"/>
          <w:sz w:val="18"/>
        </w:rPr>
        <w:t>includes sales of genomic sequencing services and data analytics to support large-scale genetic research programs. The Company is typically contracted to deliver whole genome sequencing and provide data that can be used for analysis across a large volume of samples. All of the revenue within this category is from the Company's partnership with the VA MVP.</w:t>
      </w:r>
    </w:p>
    <w:p>
      <w:pPr>
        <w:pStyle w:val="TextBody"/>
        <w:bidi w:val="0"/>
        <w:spacing w:before="200" w:after="0"/>
        <w:jc w:val="both"/>
        <w:rPr/>
      </w:pPr>
      <w:r>
        <w:rPr/>
        <w:t>•</w:t>
      </w:r>
    </w:p>
    <w:p>
      <w:pPr>
        <w:pStyle w:val="TextBody"/>
        <w:bidi w:val="0"/>
        <w:spacing w:before="200" w:after="283"/>
        <w:jc w:val="both"/>
        <w:rPr>
          <w:rFonts w:ascii="Arial;sans-serif" w:hAnsi="Arial;sans-serif"/>
          <w:sz w:val="18"/>
        </w:rPr>
      </w:pPr>
      <w:r>
        <w:rPr>
          <w:rFonts w:ascii="Arial;sans-serif" w:hAnsi="Arial;sans-serif"/>
          <w:b/>
          <w:sz w:val="18"/>
        </w:rPr>
        <w:t>Other</w:t>
      </w:r>
      <w:r>
        <w:rPr>
          <w:rFonts w:ascii="Arial;sans-serif" w:hAnsi="Arial;sans-serif"/>
          <w:sz w:val="18"/>
        </w:rPr>
        <w:t xml:space="preserve"> </w:t>
      </w:r>
      <w:r>
        <w:rPr>
          <w:rFonts w:ascii="Arial;sans-serif" w:hAnsi="Arial;sans-serif"/>
          <w:b w:val="false"/>
          <w:sz w:val="18"/>
        </w:rPr>
        <w:t>includes sales of genomic tests and analytics to universities and non-profits.</w:t>
      </w:r>
    </w:p>
    <w:p>
      <w:pPr>
        <w:pStyle w:val="TextBody"/>
        <w:bidi w:val="0"/>
        <w:spacing w:before="200" w:after="200"/>
        <w:jc w:val="both"/>
        <w:rPr>
          <w:rFonts w:ascii="Arial;sans-serif" w:hAnsi="Arial;sans-serif"/>
          <w:b w:val="false"/>
          <w:sz w:val="18"/>
        </w:rPr>
      </w:pPr>
      <w:r>
        <w:rPr>
          <w:rFonts w:ascii="Arial;sans-serif" w:hAnsi="Arial;sans-serif"/>
          <w:b w:val="false"/>
          <w:sz w:val="18"/>
        </w:rPr>
        <w:t>The following table presents the Company’s revenue disaggregated by customer type (in thousands):</w:t>
      </w:r>
    </w:p>
    <w:tbl>
      <w:tblPr>
        <w:tblW w:w="7801" w:type="dxa"/>
        <w:jc w:val="left"/>
        <w:tblInd w:w="0" w:type="dxa"/>
        <w:tblLayout w:type="fixed"/>
        <w:tblCellMar>
          <w:top w:w="28" w:type="dxa"/>
          <w:left w:w="28" w:type="dxa"/>
          <w:bottom w:w="28" w:type="dxa"/>
          <w:right w:w="28" w:type="dxa"/>
        </w:tblCellMar>
      </w:tblPr>
      <w:tblGrid>
        <w:gridCol w:w="2266"/>
        <w:gridCol w:w="146"/>
        <w:gridCol w:w="251"/>
        <w:gridCol w:w="805"/>
        <w:gridCol w:w="173"/>
        <w:gridCol w:w="173"/>
        <w:gridCol w:w="251"/>
        <w:gridCol w:w="805"/>
        <w:gridCol w:w="146"/>
        <w:gridCol w:w="146"/>
        <w:gridCol w:w="229"/>
        <w:gridCol w:w="736"/>
        <w:gridCol w:w="159"/>
        <w:gridCol w:w="159"/>
        <w:gridCol w:w="229"/>
        <w:gridCol w:w="736"/>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Pharma tests and services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6,083</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12,416</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14,819</w:t>
            </w:r>
          </w:p>
        </w:tc>
        <w:tc>
          <w:tcPr>
            <w:tcW w:w="3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Enterprise sales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7,386</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16,844</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11,007</w:t>
            </w:r>
          </w:p>
        </w:tc>
        <w:tc>
          <w:tcPr>
            <w:tcW w:w="3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Population sequencing</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3,000</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6,005</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7,556</w:t>
            </w:r>
          </w:p>
        </w:tc>
        <w:tc>
          <w:tcPr>
            <w:tcW w:w="3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230</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294</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6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 revenue</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16,699</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18,240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35,559</w:t>
            </w:r>
          </w:p>
        </w:tc>
        <w:tc>
          <w:tcPr>
            <w:tcW w:w="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33,467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Arial;sans-serif" w:hAnsi="Arial;sans-serif"/>
          <w:b w:val="false"/>
          <w:sz w:val="18"/>
        </w:rPr>
      </w:pPr>
      <w:r>
        <w:rPr>
          <w:rFonts w:ascii="Arial;sans-serif" w:hAnsi="Arial;sans-serif"/>
          <w:b w:val="false"/>
          <w:sz w:val="18"/>
        </w:rPr>
        <w:t>Revenue from countries outside of the United States, based on the billing addresses of customers, represented approximately 6% of the Company's revenue for each of the three months ended June 30, 2023 and 2022, and approximately 10% and 11% for the six months ended June 30, 2023 and 2022, respectively.</w:t>
      </w:r>
    </w:p>
    <w:p>
      <w:pPr>
        <w:pStyle w:val="TextBody"/>
        <w:bidi w:val="0"/>
        <w:spacing w:before="200" w:after="0"/>
        <w:jc w:val="both"/>
        <w:rPr>
          <w:rFonts w:ascii="Arial;sans-serif" w:hAnsi="Arial;sans-serif"/>
          <w:b/>
          <w:i/>
          <w:sz w:val="18"/>
        </w:rPr>
      </w:pPr>
      <w:r>
        <w:rPr>
          <w:rFonts w:ascii="Arial;sans-serif" w:hAnsi="Arial;sans-serif"/>
          <w:b/>
          <w:i/>
          <w:sz w:val="18"/>
        </w:rPr>
        <w:t>Contract Assets and Liabilities</w:t>
      </w:r>
    </w:p>
    <w:p>
      <w:pPr>
        <w:pStyle w:val="TextBody"/>
        <w:bidi w:val="0"/>
        <w:spacing w:before="200" w:after="0"/>
        <w:jc w:val="both"/>
        <w:rPr>
          <w:rFonts w:ascii="Arial;sans-serif" w:hAnsi="Arial;sans-serif"/>
          <w:b w:val="false"/>
          <w:sz w:val="18"/>
        </w:rPr>
      </w:pPr>
      <w:r>
        <w:rPr>
          <w:rFonts w:ascii="Arial;sans-serif" w:hAnsi="Arial;sans-serif"/>
          <w:b w:val="false"/>
          <w:sz w:val="18"/>
        </w:rPr>
        <w:t>Contract assets as of June 30, 2023 and December 31, 2022 were immaterial.</w:t>
      </w:r>
    </w:p>
    <w:p>
      <w:pPr>
        <w:pStyle w:val="TextBody"/>
        <w:bidi w:val="0"/>
        <w:spacing w:before="200" w:after="0"/>
        <w:jc w:val="both"/>
        <w:rPr>
          <w:rFonts w:ascii="Times New Roman" w:hAnsi="Times New Roman"/>
          <w:sz w:val="20"/>
        </w:rPr>
      </w:pPr>
      <w:r>
        <w:rPr>
          <w:rFonts w:ascii="Arial;sans-serif" w:hAnsi="Arial;sans-serif"/>
          <w:b w:val="false"/>
          <w:sz w:val="18"/>
        </w:rPr>
        <w:t>Amounts collected in advance of services being provided are deferred as contract liabilities in the condensed consolidated balance sheets. The associated revenue is recognized, and the contract liability is reduced, as the contracted services are subsequently performed. The balance of contract liabilities was $7.0</w:t>
      </w:r>
      <w:r>
        <w:rPr>
          <w:rFonts w:ascii="Times New Roman" w:hAnsi="Times New Roman"/>
          <w:sz w:val="20"/>
        </w:rPr>
        <w:t xml:space="preserve"> </w:t>
      </w:r>
      <w:r>
        <w:rPr>
          <w:rFonts w:ascii="Arial;sans-serif" w:hAnsi="Arial;sans-serif"/>
          <w:b w:val="false"/>
          <w:sz w:val="18"/>
        </w:rPr>
        <w:t>million (of which $3.6</w:t>
      </w:r>
      <w:r>
        <w:rPr>
          <w:rFonts w:ascii="Times New Roman" w:hAnsi="Times New Roman"/>
          <w:sz w:val="20"/>
        </w:rPr>
        <w:t xml:space="preserve"> </w:t>
      </w:r>
      <w:r>
        <w:rPr>
          <w:rFonts w:ascii="Arial;sans-serif" w:hAnsi="Arial;sans-serif"/>
          <w:b w:val="false"/>
          <w:sz w:val="18"/>
        </w:rPr>
        <w:t>million was included within "Long-term liabilities") and $1.3</w:t>
      </w:r>
      <w:r>
        <w:rPr>
          <w:rFonts w:ascii="Times New Roman" w:hAnsi="Times New Roman"/>
          <w:sz w:val="20"/>
        </w:rPr>
        <w:t xml:space="preserve"> </w:t>
      </w:r>
      <w:r>
        <w:rPr>
          <w:rFonts w:ascii="Arial;sans-serif" w:hAnsi="Arial;sans-serif"/>
          <w:b w:val="false"/>
          <w:sz w:val="18"/>
        </w:rPr>
        <w:t>million as of June 30, 2023 and December 31, 2022, respectively. As of June 30, 2023, amounts related to unsatisfied services under contracts with an original expected duration of more than one year</w:t>
      </w:r>
      <w:r>
        <w:rPr>
          <w:rFonts w:ascii="Times New Roman" w:hAnsi="Times New Roman"/>
          <w:sz w:val="20"/>
        </w:rPr>
        <w:t xml:space="preserve"> </w:t>
      </w:r>
      <w:r>
        <w:rPr>
          <w:rFonts w:ascii="Arial;sans-serif" w:hAnsi="Arial;sans-serif"/>
          <w:b w:val="false"/>
          <w:sz w:val="18"/>
        </w:rPr>
        <w:t>was $5.5</w:t>
      </w:r>
      <w:r>
        <w:rPr>
          <w:rFonts w:ascii="Times New Roman" w:hAnsi="Times New Roman"/>
          <w:sz w:val="20"/>
        </w:rPr>
        <w:t xml:space="preserve"> </w:t>
      </w:r>
      <w:r>
        <w:rPr>
          <w:rFonts w:ascii="Arial;sans-serif" w:hAnsi="Arial;sans-serif"/>
          <w:b w:val="false"/>
          <w:sz w:val="18"/>
        </w:rPr>
        <w:t>million. The Company expects to recognize approximately $1.9</w:t>
      </w:r>
      <w:r>
        <w:rPr>
          <w:rFonts w:ascii="Times New Roman" w:hAnsi="Times New Roman"/>
          <w:sz w:val="20"/>
        </w:rPr>
        <w:t xml:space="preserve"> </w:t>
      </w:r>
      <w:r>
        <w:rPr>
          <w:rFonts w:ascii="Arial;sans-serif" w:hAnsi="Arial;sans-serif"/>
          <w:b w:val="false"/>
          <w:sz w:val="18"/>
        </w:rPr>
        <w:t>million of this amount in the next 12 months, and the remaining $3.6</w:t>
      </w:r>
      <w:r>
        <w:rPr>
          <w:rFonts w:ascii="Times New Roman" w:hAnsi="Times New Roman"/>
          <w:sz w:val="20"/>
        </w:rPr>
        <w:t xml:space="preserve"> </w:t>
      </w:r>
      <w:r>
        <w:rPr>
          <w:rFonts w:ascii="Arial;sans-serif" w:hAnsi="Arial;sans-serif"/>
          <w:b w:val="false"/>
          <w:sz w:val="18"/>
        </w:rPr>
        <w:t>million in the 12 months</w:t>
      </w:r>
      <w:r>
        <w:rPr>
          <w:rFonts w:ascii="Times New Roman" w:hAnsi="Times New Roman"/>
          <w:sz w:val="20"/>
        </w:rPr>
        <w:t xml:space="preserve"> </w:t>
      </w:r>
      <w:r>
        <w:rPr>
          <w:rFonts w:ascii="Arial;sans-serif" w:hAnsi="Arial;sans-serif"/>
          <w:b w:val="false"/>
          <w:sz w:val="18"/>
        </w:rPr>
        <w:t>after that. Revenue recognized that was included in the contract liability balance at the beginning of each reporting period was immaterial for the three and six months ended June 30, 2023, and was $3.0</w:t>
      </w:r>
      <w:r>
        <w:rPr>
          <w:rFonts w:ascii="Times New Roman" w:hAnsi="Times New Roman"/>
          <w:sz w:val="20"/>
        </w:rPr>
        <w:t xml:space="preserve"> </w:t>
      </w:r>
      <w:r>
        <w:rPr>
          <w:rFonts w:ascii="Arial;sans-serif" w:hAnsi="Arial;sans-serif"/>
          <w:b w:val="false"/>
          <w:sz w:val="18"/>
        </w:rPr>
        <w:t>million and $3.6</w:t>
      </w:r>
      <w:r>
        <w:rPr>
          <w:rFonts w:ascii="Times New Roman" w:hAnsi="Times New Roman"/>
          <w:sz w:val="20"/>
        </w:rPr>
        <w:t xml:space="preserve"> </w:t>
      </w:r>
      <w:r>
        <w:rPr>
          <w:rFonts w:ascii="Arial;sans-serif" w:hAnsi="Arial;sans-serif"/>
          <w:b w:val="false"/>
          <w:sz w:val="18"/>
        </w:rPr>
        <w:t>million for the three and six months ended June 30, 2022.</w:t>
      </w:r>
    </w:p>
    <w:p>
      <w:pPr>
        <w:pStyle w:val="TextBody"/>
        <w:bidi w:val="0"/>
        <w:spacing w:before="200" w:after="0"/>
        <w:jc w:val="both"/>
        <w:rPr>
          <w:rFonts w:ascii="Times New Roman" w:hAnsi="Times New Roman"/>
          <w:sz w:val="20"/>
        </w:rPr>
      </w:pPr>
      <w:bookmarkStart w:id="16" w:name="note_4_balance_sheet_details"/>
      <w:bookmarkEnd w:id="16"/>
      <w:r>
        <w:rPr>
          <w:rFonts w:ascii="Arial;sans-serif" w:hAnsi="Arial;sans-serif"/>
          <w:b/>
          <w:sz w:val="18"/>
        </w:rPr>
        <w:t>Note 4. Balance</w:t>
      </w:r>
      <w:r>
        <w:rPr>
          <w:rFonts w:ascii="Times New Roman" w:hAnsi="Times New Roman"/>
          <w:sz w:val="20"/>
        </w:rPr>
        <w:t xml:space="preserve"> </w:t>
      </w:r>
      <w:r>
        <w:rPr>
          <w:rFonts w:ascii="Arial;sans-serif" w:hAnsi="Arial;sans-serif"/>
          <w:b/>
          <w:sz w:val="18"/>
        </w:rPr>
        <w:t>Sheet Details</w:t>
      </w:r>
    </w:p>
    <w:p>
      <w:pPr>
        <w:pStyle w:val="TextBody"/>
        <w:bidi w:val="0"/>
        <w:spacing w:before="200" w:after="200"/>
        <w:jc w:val="both"/>
        <w:rPr>
          <w:rFonts w:ascii="Arial;sans-serif" w:hAnsi="Arial;sans-serif"/>
          <w:b w:val="false"/>
          <w:sz w:val="18"/>
        </w:rPr>
      </w:pPr>
      <w:r>
        <w:rPr>
          <w:rFonts w:ascii="Arial;sans-serif" w:hAnsi="Arial;sans-serif"/>
          <w:b w:val="false"/>
          <w:sz w:val="18"/>
        </w:rPr>
        <w:t>Inventory and other deferred costs consist of the following (in thousands):</w:t>
      </w:r>
    </w:p>
    <w:tbl>
      <w:tblPr>
        <w:tblW w:w="6920" w:type="dxa"/>
        <w:jc w:val="left"/>
        <w:tblInd w:w="0" w:type="dxa"/>
        <w:tblLayout w:type="fixed"/>
        <w:tblCellMar>
          <w:top w:w="28" w:type="dxa"/>
          <w:left w:w="28" w:type="dxa"/>
          <w:bottom w:w="28" w:type="dxa"/>
          <w:right w:w="28" w:type="dxa"/>
        </w:tblCellMar>
      </w:tblPr>
      <w:tblGrid>
        <w:gridCol w:w="3346"/>
        <w:gridCol w:w="146"/>
        <w:gridCol w:w="315"/>
        <w:gridCol w:w="855"/>
        <w:gridCol w:w="146"/>
        <w:gridCol w:w="146"/>
        <w:gridCol w:w="425"/>
        <w:gridCol w:w="1150"/>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Raw materials</w:t>
            </w:r>
          </w:p>
        </w:tc>
        <w:tc>
          <w:tcPr>
            <w:tcW w:w="146"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5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6,384</w:t>
            </w:r>
          </w:p>
        </w:tc>
        <w:tc>
          <w:tcPr>
            <w:tcW w:w="391" w:type="dxa"/>
            <w:tcBorders/>
            <w:vAlign w:val="center"/>
          </w:tcPr>
          <w:p>
            <w:pPr>
              <w:pStyle w:val="TableContents"/>
              <w:bidi w:val="0"/>
              <w:spacing w:before="0" w:after="0"/>
              <w:ind w:left="0" w:right="0" w:hanging="0"/>
              <w:jc w:val="left"/>
              <w:rPr/>
            </w:pPr>
            <w:r>
              <w:rPr/>
              <w:t> </w:t>
            </w:r>
          </w:p>
        </w:tc>
      </w:tr>
      <w:tr>
        <w:trPr/>
        <w:tc>
          <w:tcPr>
            <w:tcW w:w="33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Other deferred costs</w:t>
            </w:r>
          </w:p>
        </w:tc>
        <w:tc>
          <w:tcPr>
            <w:tcW w:w="146" w:type="dxa"/>
            <w:tcBorders/>
            <w:vAlign w:val="center"/>
          </w:tcPr>
          <w:p>
            <w:pPr>
              <w:pStyle w:val="TableContents"/>
              <w:bidi w:val="0"/>
              <w:spacing w:before="0" w:after="0"/>
              <w:ind w:left="0" w:right="0" w:hanging="0"/>
              <w:jc w:val="left"/>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2,207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4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 inventory and other deferred costs</w:t>
            </w:r>
          </w:p>
        </w:tc>
        <w:tc>
          <w:tcPr>
            <w:tcW w:w="146" w:type="dxa"/>
            <w:tcBorders/>
            <w:vAlign w:val="center"/>
          </w:tcPr>
          <w:p>
            <w:pPr>
              <w:pStyle w:val="TableContents"/>
              <w:bidi w:val="0"/>
              <w:spacing w:before="0" w:after="0"/>
              <w:ind w:left="0" w:right="0" w:hanging="0"/>
              <w:jc w:val="left"/>
              <w:rPr/>
            </w:pPr>
            <w:r>
              <w:rPr/>
              <w:t> </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8,140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8,591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Arial;sans-serif" w:hAnsi="Arial;sans-serif"/>
          <w:b w:val="false"/>
          <w:i/>
          <w:sz w:val="18"/>
        </w:rPr>
        <w:t>Property and equipment.</w:t>
      </w:r>
      <w:r>
        <w:rPr>
          <w:rFonts w:ascii="Times New Roman" w:hAnsi="Times New Roman"/>
          <w:sz w:val="20"/>
        </w:rPr>
        <w:t xml:space="preserve"> </w:t>
      </w:r>
      <w:r>
        <w:rPr>
          <w:rFonts w:ascii="Arial;sans-serif" w:hAnsi="Arial;sans-serif"/>
          <w:b w:val="false"/>
          <w:sz w:val="18"/>
        </w:rPr>
        <w:t>Depreciation and amortization expense for the three months ended June 30, 2023 and 2022 was $2.8</w:t>
      </w:r>
      <w:r>
        <w:rPr>
          <w:rFonts w:ascii="Times New Roman" w:hAnsi="Times New Roman"/>
          <w:sz w:val="20"/>
        </w:rPr>
        <w:t xml:space="preserve"> </w:t>
      </w:r>
      <w:r>
        <w:rPr>
          <w:rFonts w:ascii="Arial;sans-serif" w:hAnsi="Arial;sans-serif"/>
          <w:b w:val="false"/>
          <w:sz w:val="18"/>
        </w:rPr>
        <w:t>million and $1.8</w:t>
      </w:r>
      <w:r>
        <w:rPr>
          <w:rFonts w:ascii="Times New Roman" w:hAnsi="Times New Roman"/>
          <w:sz w:val="20"/>
        </w:rPr>
        <w:t xml:space="preserve"> </w:t>
      </w:r>
      <w:r>
        <w:rPr>
          <w:rFonts w:ascii="Arial;sans-serif" w:hAnsi="Arial;sans-serif"/>
          <w:b w:val="false"/>
          <w:sz w:val="18"/>
        </w:rPr>
        <w:t>million, respectively, and for the six months ended June 30, 2023 and 2022 was $5.6</w:t>
      </w:r>
      <w:r>
        <w:rPr>
          <w:rFonts w:ascii="Times New Roman" w:hAnsi="Times New Roman"/>
          <w:sz w:val="20"/>
        </w:rPr>
        <w:t xml:space="preserve"> </w:t>
      </w:r>
      <w:r>
        <w:rPr>
          <w:rFonts w:ascii="Arial;sans-serif" w:hAnsi="Arial;sans-serif"/>
          <w:b w:val="false"/>
          <w:sz w:val="18"/>
        </w:rPr>
        <w:t>million and $3.6</w:t>
      </w:r>
      <w:r>
        <w:rPr>
          <w:rFonts w:ascii="Times New Roman" w:hAnsi="Times New Roman"/>
          <w:sz w:val="20"/>
        </w:rPr>
        <w:t xml:space="preserve"> </w:t>
      </w:r>
      <w:r>
        <w:rPr>
          <w:rFonts w:ascii="Arial;sans-serif" w:hAnsi="Arial;sans-serif"/>
          <w:b w:val="false"/>
          <w:sz w:val="18"/>
        </w:rPr>
        <w:t>million, respectively. Accumulated depreciation and amortization was $32.4</w:t>
      </w:r>
      <w:r>
        <w:rPr>
          <w:rFonts w:ascii="Times New Roman" w:hAnsi="Times New Roman"/>
          <w:sz w:val="20"/>
        </w:rPr>
        <w:t xml:space="preserve"> </w:t>
      </w:r>
      <w:r>
        <w:rPr>
          <w:rFonts w:ascii="Arial;sans-serif" w:hAnsi="Arial;sans-serif"/>
          <w:b w:val="false"/>
          <w:sz w:val="18"/>
        </w:rPr>
        <w:t>million and $26.9</w:t>
      </w:r>
      <w:r>
        <w:rPr>
          <w:rFonts w:ascii="Times New Roman" w:hAnsi="Times New Roman"/>
          <w:sz w:val="20"/>
        </w:rPr>
        <w:t xml:space="preserve"> </w:t>
      </w:r>
      <w:r>
        <w:rPr>
          <w:rFonts w:ascii="Arial;sans-serif" w:hAnsi="Arial;sans-serif"/>
          <w:b w:val="false"/>
          <w:sz w:val="18"/>
        </w:rPr>
        <w:t>million as of June 30, 2023 and December 31, 2022, respectively.</w:t>
      </w:r>
    </w:p>
    <w:p>
      <w:pPr>
        <w:pStyle w:val="TextBody"/>
        <w:bidi w:val="0"/>
        <w:spacing w:before="200" w:after="0"/>
        <w:jc w:val="both"/>
        <w:rPr>
          <w:rFonts w:ascii="Times New Roman" w:hAnsi="Times New Roman"/>
          <w:sz w:val="20"/>
        </w:rPr>
      </w:pPr>
      <w:r>
        <w:rPr>
          <w:rFonts w:ascii="Arial;sans-serif" w:hAnsi="Arial;sans-serif"/>
          <w:b w:val="false"/>
          <w:i/>
          <w:sz w:val="18"/>
        </w:rPr>
        <w:t>Restricted cash.</w:t>
      </w:r>
      <w:r>
        <w:rPr>
          <w:rFonts w:ascii="Times New Roman" w:hAnsi="Times New Roman"/>
          <w:sz w:val="20"/>
        </w:rPr>
        <w:t xml:space="preserve"> </w:t>
      </w:r>
      <w:r>
        <w:rPr>
          <w:rFonts w:ascii="Arial;sans-serif" w:hAnsi="Arial;sans-serif"/>
          <w:b w:val="false"/>
          <w:sz w:val="18"/>
        </w:rPr>
        <w:t>The Company’s restricted cash is pledged as collateral for a standby letter of credit related to a property lease. The balance of restricted cash was $1.8</w:t>
      </w:r>
      <w:r>
        <w:rPr>
          <w:rFonts w:ascii="Times New Roman" w:hAnsi="Times New Roman"/>
          <w:sz w:val="20"/>
        </w:rPr>
        <w:t xml:space="preserve"> </w:t>
      </w:r>
      <w:r>
        <w:rPr>
          <w:rFonts w:ascii="Arial;sans-serif" w:hAnsi="Arial;sans-serif"/>
          <w:b w:val="false"/>
          <w:sz w:val="18"/>
        </w:rPr>
        <w:t>million as of June 30, 2023 and December 31, 2022, and is included in other long-term assets.</w:t>
      </w:r>
    </w:p>
    <w:p>
      <w:pPr>
        <w:pStyle w:val="TextBody"/>
        <w:bidi w:val="0"/>
        <w:spacing w:before="200" w:after="200"/>
        <w:jc w:val="both"/>
        <w:rPr>
          <w:rFonts w:ascii="Arial;sans-serif" w:hAnsi="Arial;sans-serif"/>
          <w:b w:val="false"/>
          <w:sz w:val="18"/>
        </w:rPr>
      </w:pPr>
      <w:r>
        <w:rPr>
          <w:rFonts w:ascii="Arial;sans-serif" w:hAnsi="Arial;sans-serif"/>
          <w:b w:val="false"/>
          <w:sz w:val="18"/>
        </w:rPr>
        <w:t>Accrued and other current liabilities consist of the following (in thousands):</w:t>
      </w:r>
    </w:p>
    <w:tbl>
      <w:tblPr>
        <w:tblW w:w="7010" w:type="dxa"/>
        <w:jc w:val="left"/>
        <w:tblInd w:w="0" w:type="dxa"/>
        <w:tblLayout w:type="fixed"/>
        <w:tblCellMar>
          <w:top w:w="28" w:type="dxa"/>
          <w:left w:w="28" w:type="dxa"/>
          <w:bottom w:w="28" w:type="dxa"/>
          <w:right w:w="28" w:type="dxa"/>
        </w:tblCellMar>
      </w:tblPr>
      <w:tblGrid>
        <w:gridCol w:w="3436"/>
        <w:gridCol w:w="146"/>
        <w:gridCol w:w="278"/>
        <w:gridCol w:w="892"/>
        <w:gridCol w:w="146"/>
        <w:gridCol w:w="146"/>
        <w:gridCol w:w="374"/>
        <w:gridCol w:w="1201"/>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Accrued compensation</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7,057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0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9,008</w:t>
            </w:r>
          </w:p>
        </w:tc>
        <w:tc>
          <w:tcPr>
            <w:tcW w:w="3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5,391</w:t>
            </w:r>
          </w:p>
        </w:tc>
        <w:tc>
          <w:tcPr>
            <w:tcW w:w="3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Loans—current portion (Note 6)</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2,218</w:t>
            </w:r>
          </w:p>
        </w:tc>
        <w:tc>
          <w:tcPr>
            <w:tcW w:w="3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Accrued liabilities</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1,700</w:t>
            </w:r>
          </w:p>
        </w:tc>
        <w:tc>
          <w:tcPr>
            <w:tcW w:w="3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Employee ESPP contributions</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543</w:t>
            </w:r>
          </w:p>
        </w:tc>
        <w:tc>
          <w:tcPr>
            <w:tcW w:w="3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Accrued taxes</w:t>
            </w:r>
          </w:p>
        </w:tc>
        <w:tc>
          <w:tcPr>
            <w:tcW w:w="146"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123</w:t>
            </w:r>
          </w:p>
        </w:tc>
        <w:tc>
          <w:tcPr>
            <w:tcW w:w="391" w:type="dxa"/>
            <w:tcBorders/>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Customer deposits</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3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 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16,408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19,013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18"/>
        </w:rPr>
      </w:pPr>
      <w:r>
        <w:rPr>
          <w:rFonts w:ascii="Arial;sans-serif" w:hAnsi="Arial;sans-serif"/>
          <w:b w:val="false"/>
          <w:sz w:val="18"/>
        </w:rPr>
        <w:t>13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Arial;sans-serif" w:hAnsi="Arial;sans-serif"/>
          <w:b/>
          <w:sz w:val="18"/>
        </w:rPr>
      </w:pPr>
      <w:bookmarkStart w:id="17" w:name="note_5_fair_value_measurements"/>
      <w:bookmarkEnd w:id="17"/>
      <w:r>
        <w:rPr>
          <w:rFonts w:ascii="Arial;sans-serif" w:hAnsi="Arial;sans-serif"/>
          <w:b/>
          <w:sz w:val="18"/>
        </w:rPr>
        <w:t>Note 5. Fair Value Measurements</w:t>
      </w:r>
    </w:p>
    <w:p>
      <w:pPr>
        <w:pStyle w:val="TextBody"/>
        <w:bidi w:val="0"/>
        <w:spacing w:before="200" w:after="200"/>
        <w:jc w:val="both"/>
        <w:rPr>
          <w:rFonts w:ascii="Arial;sans-serif" w:hAnsi="Arial;sans-serif"/>
          <w:b w:val="false"/>
          <w:sz w:val="18"/>
        </w:rPr>
      </w:pPr>
      <w:r>
        <w:rPr>
          <w:rFonts w:ascii="Arial;sans-serif" w:hAnsi="Arial;sans-serif"/>
          <w:b w:val="false"/>
          <w:sz w:val="18"/>
        </w:rPr>
        <w:t>The following tables show the Company’s financial assets measured at fair value on a recurring basis and the level of inputs used in such measurements as of June 30, 2023 and December 31, 2022 (in thousands):</w:t>
      </w:r>
    </w:p>
    <w:tbl>
      <w:tblPr>
        <w:tblW w:w="10205" w:type="dxa"/>
        <w:jc w:val="left"/>
        <w:tblInd w:w="0" w:type="dxa"/>
        <w:tblLayout w:type="fixed"/>
        <w:tblCellMar>
          <w:top w:w="28" w:type="dxa"/>
          <w:left w:w="28" w:type="dxa"/>
          <w:bottom w:w="28" w:type="dxa"/>
          <w:right w:w="28" w:type="dxa"/>
        </w:tblCellMar>
      </w:tblPr>
      <w:tblGrid>
        <w:gridCol w:w="2581"/>
        <w:gridCol w:w="146"/>
        <w:gridCol w:w="254"/>
        <w:gridCol w:w="939"/>
        <w:gridCol w:w="146"/>
        <w:gridCol w:w="146"/>
        <w:gridCol w:w="511"/>
        <w:gridCol w:w="839"/>
        <w:gridCol w:w="146"/>
        <w:gridCol w:w="146"/>
        <w:gridCol w:w="516"/>
        <w:gridCol w:w="919"/>
        <w:gridCol w:w="166"/>
        <w:gridCol w:w="146"/>
        <w:gridCol w:w="211"/>
        <w:gridCol w:w="781"/>
        <w:gridCol w:w="146"/>
        <w:gridCol w:w="146"/>
        <w:gridCol w:w="1320"/>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8" w:type="dxa"/>
            <w:gridSpan w:val="1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Adjusted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 Value Level</w:t>
            </w:r>
          </w:p>
        </w:tc>
      </w:tr>
      <w:tr>
        <w:trPr/>
        <w:tc>
          <w:tcPr>
            <w:tcW w:w="2581"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Assets</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pPr>
            <w:r>
              <w:rPr/>
              <w:t> </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Cash</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pPr>
            <w:r>
              <w:rPr/>
              <w:t> </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Money market funds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Level 1</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Commercial paper</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U.S. government securities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4,997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4,999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4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Short-term investments:</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pPr>
            <w:r>
              <w:rPr/>
              <w:t> </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Commercial paper</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9,958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U.S. agency securities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5,369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U.S. government securities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24,742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24,690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4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40,080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40,012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600"/>
              <w:jc w:val="center"/>
              <w:rPr/>
            </w:pPr>
            <w:r>
              <w:rPr/>
              <w:t> </w:t>
            </w:r>
          </w:p>
        </w:tc>
      </w:tr>
      <w:tr>
        <w:trPr/>
        <w:tc>
          <w:tcPr>
            <w:tcW w:w="2581"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Total assets measured at fair value</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137,283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137,207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hanging="0"/>
              <w:jc w:val="center"/>
              <w:rPr/>
            </w:pPr>
            <w:r>
              <w:rPr/>
              <w:t> </w:t>
            </w:r>
          </w:p>
        </w:tc>
      </w:tr>
    </w:tbl>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581"/>
        <w:gridCol w:w="146"/>
        <w:gridCol w:w="254"/>
        <w:gridCol w:w="939"/>
        <w:gridCol w:w="146"/>
        <w:gridCol w:w="146"/>
        <w:gridCol w:w="511"/>
        <w:gridCol w:w="839"/>
        <w:gridCol w:w="146"/>
        <w:gridCol w:w="146"/>
        <w:gridCol w:w="437"/>
        <w:gridCol w:w="998"/>
        <w:gridCol w:w="166"/>
        <w:gridCol w:w="146"/>
        <w:gridCol w:w="211"/>
        <w:gridCol w:w="781"/>
        <w:gridCol w:w="146"/>
        <w:gridCol w:w="146"/>
        <w:gridCol w:w="1320"/>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8" w:type="dxa"/>
            <w:gridSpan w:val="1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r>
      <w:tr>
        <w:trPr/>
        <w:tc>
          <w:tcPr>
            <w:tcW w:w="25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Adjusted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Fair Value Level</w:t>
            </w:r>
          </w:p>
        </w:tc>
      </w:tr>
      <w:tr>
        <w:trPr/>
        <w:tc>
          <w:tcPr>
            <w:tcW w:w="2581" w:type="dxa"/>
            <w:tcBorders/>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Assets</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Cash and cash equivalents:</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pPr>
            <w:r>
              <w:rPr/>
              <w:t> </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Cash</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pPr>
            <w:r>
              <w:rPr/>
              <w:t> </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Money market funds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Level 1</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Commercial paper</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U.S. government securities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4,991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4,992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4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Short-term investments:</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3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pPr>
            <w:r>
              <w:rPr/>
              <w:t> </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Commercial paper</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13,097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(51</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U.S. agency securities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9,445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U.S. government securities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56,658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56,144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400"/>
              <w:jc w:val="center"/>
              <w:rPr>
                <w:rFonts w:ascii="Arial;sans-serif" w:hAnsi="Arial;sans-serif"/>
                <w:b w:val="false"/>
                <w:sz w:val="18"/>
              </w:rPr>
            </w:pPr>
            <w:r>
              <w:rPr>
                <w:rFonts w:ascii="Arial;sans-serif" w:hAnsi="Arial;sans-serif"/>
                <w:b w:val="false"/>
                <w:sz w:val="18"/>
              </w:rPr>
              <w:t>Level 2</w:t>
            </w:r>
          </w:p>
        </w:tc>
      </w:tr>
      <w:tr>
        <w:trPr/>
        <w:tc>
          <w:tcPr>
            <w:tcW w:w="2581"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79,200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78,530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firstLine="600"/>
              <w:jc w:val="center"/>
              <w:rPr/>
            </w:pPr>
            <w:r>
              <w:rPr/>
              <w:t> </w:t>
            </w:r>
          </w:p>
        </w:tc>
      </w:tr>
      <w:tr>
        <w:trPr/>
        <w:tc>
          <w:tcPr>
            <w:tcW w:w="2581"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Total assets measured at fair value</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168,342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167,658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tcBorders/>
            <w:vAlign w:val="center"/>
          </w:tcPr>
          <w:p>
            <w:pPr>
              <w:pStyle w:val="TableContents"/>
              <w:bidi w:val="0"/>
              <w:spacing w:before="0" w:after="0"/>
              <w:ind w:left="0" w:right="0" w:hanging="0"/>
              <w:jc w:val="center"/>
              <w:rPr/>
            </w:pPr>
            <w:r>
              <w:rPr/>
              <w:t> </w:t>
            </w:r>
          </w:p>
        </w:tc>
      </w:tr>
    </w:tbl>
    <w:p>
      <w:pPr>
        <w:pStyle w:val="TextBody"/>
        <w:bidi w:val="0"/>
        <w:spacing w:before="200" w:after="0"/>
        <w:jc w:val="both"/>
        <w:rPr>
          <w:rFonts w:ascii="Times New Roman" w:hAnsi="Times New Roman"/>
          <w:sz w:val="20"/>
        </w:rPr>
      </w:pPr>
      <w:r>
        <w:rPr>
          <w:rFonts w:ascii="Arial;sans-serif" w:hAnsi="Arial;sans-serif"/>
          <w:b w:val="false"/>
          <w:sz w:val="18"/>
        </w:rPr>
        <w:t>The Company’s marketable debt securities at June 30, 2023 have maturities due in six months or less. No</w:t>
      </w:r>
      <w:r>
        <w:rPr>
          <w:rFonts w:ascii="Times New Roman" w:hAnsi="Times New Roman"/>
          <w:sz w:val="20"/>
        </w:rPr>
        <w:t xml:space="preserve"> </w:t>
      </w:r>
      <w:r>
        <w:rPr>
          <w:rFonts w:ascii="Arial;sans-serif" w:hAnsi="Arial;sans-serif"/>
          <w:b w:val="false"/>
          <w:sz w:val="18"/>
        </w:rPr>
        <w:t>security has been in a continuous unrealized loss position for more than 12 months and the Company does not consider any of its marketable debt securities to be impaired.</w:t>
      </w:r>
    </w:p>
    <w:p>
      <w:pPr>
        <w:pStyle w:val="TextBody"/>
        <w:bidi w:val="0"/>
        <w:spacing w:before="200" w:after="0"/>
        <w:jc w:val="both"/>
        <w:rPr>
          <w:rFonts w:ascii="Times New Roman" w:hAnsi="Times New Roman"/>
          <w:sz w:val="20"/>
        </w:rPr>
      </w:pPr>
      <w:r>
        <w:rPr>
          <w:rFonts w:ascii="Arial;sans-serif" w:hAnsi="Arial;sans-serif"/>
          <w:b/>
          <w:sz w:val="18"/>
        </w:rPr>
        <w:t xml:space="preserve">Note 6. </w:t>
      </w:r>
      <w:bookmarkStart w:id="18" w:name="note_6_loans"/>
      <w:bookmarkEnd w:id="18"/>
      <w:r>
        <w:rPr>
          <w:rFonts w:ascii="Arial;sans-serif" w:hAnsi="Arial;sans-serif"/>
          <w:b/>
          <w:sz w:val="18"/>
        </w:rPr>
        <w:t>Loans</w:t>
      </w:r>
    </w:p>
    <w:p>
      <w:pPr>
        <w:pStyle w:val="TextBody"/>
        <w:bidi w:val="0"/>
        <w:spacing w:before="200" w:after="0"/>
        <w:jc w:val="both"/>
        <w:rPr>
          <w:rFonts w:ascii="Arial;sans-serif" w:hAnsi="Arial;sans-serif"/>
          <w:b w:val="false"/>
          <w:i/>
          <w:sz w:val="18"/>
        </w:rPr>
      </w:pPr>
      <w:r>
        <w:rPr>
          <w:rFonts w:ascii="Arial;sans-serif" w:hAnsi="Arial;sans-serif"/>
          <w:b w:val="false"/>
          <w:i/>
          <w:sz w:val="18"/>
        </w:rPr>
        <w:t>Equipment and Software Loans</w:t>
      </w:r>
    </w:p>
    <w:p>
      <w:pPr>
        <w:pStyle w:val="TextBody"/>
        <w:bidi w:val="0"/>
        <w:spacing w:before="200" w:after="0"/>
        <w:jc w:val="both"/>
        <w:rPr>
          <w:rFonts w:ascii="Times New Roman" w:hAnsi="Times New Roman"/>
          <w:sz w:val="20"/>
        </w:rPr>
      </w:pPr>
      <w:r>
        <w:rPr>
          <w:rFonts w:ascii="Arial;sans-serif" w:hAnsi="Arial;sans-serif"/>
          <w:b w:val="false"/>
          <w:sz w:val="18"/>
        </w:rPr>
        <w:t>In April 2021, the Company entered into a secured payment agreement with a financing entity to finance the purchase of $2.4</w:t>
      </w:r>
      <w:r>
        <w:rPr>
          <w:rFonts w:ascii="Times New Roman" w:hAnsi="Times New Roman"/>
          <w:sz w:val="20"/>
        </w:rPr>
        <w:t xml:space="preserve"> </w:t>
      </w:r>
      <w:r>
        <w:rPr>
          <w:rFonts w:ascii="Arial;sans-serif" w:hAnsi="Arial;sans-serif"/>
          <w:b w:val="false"/>
          <w:sz w:val="18"/>
        </w:rPr>
        <w:t>million of internal use software licenses and related software maintenance from a vendor. The financing entity and vendor are not related. The Company is obligated to repay the financed amount in three</w:t>
      </w:r>
      <w:r>
        <w:rPr>
          <w:rFonts w:ascii="Times New Roman" w:hAnsi="Times New Roman"/>
          <w:sz w:val="20"/>
        </w:rPr>
        <w:t xml:space="preserve"> </w:t>
      </w:r>
      <w:r>
        <w:rPr>
          <w:rFonts w:ascii="Arial;sans-serif" w:hAnsi="Arial;sans-serif"/>
          <w:b w:val="false"/>
          <w:sz w:val="18"/>
        </w:rPr>
        <w:t>equal payments of $0.8</w:t>
      </w:r>
      <w:r>
        <w:rPr>
          <w:rFonts w:ascii="Times New Roman" w:hAnsi="Times New Roman"/>
          <w:sz w:val="20"/>
        </w:rPr>
        <w:t xml:space="preserve"> </w:t>
      </w:r>
      <w:r>
        <w:rPr>
          <w:rFonts w:ascii="Arial;sans-serif" w:hAnsi="Arial;sans-serif"/>
          <w:b w:val="false"/>
          <w:sz w:val="18"/>
        </w:rPr>
        <w:t>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pStyle w:val="TextBody"/>
        <w:bidi w:val="0"/>
        <w:spacing w:before="200" w:after="0"/>
        <w:jc w:val="both"/>
        <w:rPr>
          <w:rFonts w:ascii="Times New Roman" w:hAnsi="Times New Roman"/>
          <w:sz w:val="20"/>
        </w:rPr>
      </w:pPr>
      <w:r>
        <w:rPr>
          <w:rFonts w:ascii="Arial;sans-serif" w:hAnsi="Arial;sans-serif"/>
          <w:b w:val="false"/>
          <w:sz w:val="18"/>
        </w:rPr>
        <w:t>The Company entered into two more secured payment agreements in April 2021 and July 2022, with the same financing entity, to finance the purchase of $3.1</w:t>
      </w:r>
      <w:r>
        <w:rPr>
          <w:rFonts w:ascii="Times New Roman" w:hAnsi="Times New Roman"/>
          <w:sz w:val="20"/>
        </w:rPr>
        <w:t xml:space="preserve"> </w:t>
      </w:r>
      <w:r>
        <w:rPr>
          <w:rFonts w:ascii="Arial;sans-serif" w:hAnsi="Arial;sans-serif"/>
          <w:b w:val="false"/>
          <w:sz w:val="18"/>
        </w:rPr>
        <w:t>million of computer hardware and related hardware maintenance and $1.3</w:t>
      </w:r>
      <w:r>
        <w:rPr>
          <w:rFonts w:ascii="Times New Roman" w:hAnsi="Times New Roman"/>
          <w:sz w:val="20"/>
        </w:rPr>
        <w:t xml:space="preserve"> </w:t>
      </w:r>
      <w:r>
        <w:rPr>
          <w:rFonts w:ascii="Arial;sans-serif" w:hAnsi="Arial;sans-serif"/>
          <w:b w:val="false"/>
          <w:sz w:val="18"/>
        </w:rPr>
        <w:t>million of internal use software licenses and related ongoing support, respectively. The Company is required to pay three</w:t>
      </w:r>
      <w:r>
        <w:rPr>
          <w:rFonts w:ascii="Times New Roman" w:hAnsi="Times New Roman"/>
          <w:sz w:val="20"/>
        </w:rPr>
        <w:t xml:space="preserve"> </w:t>
      </w:r>
      <w:r>
        <w:rPr>
          <w:rFonts w:ascii="Arial;sans-serif" w:hAnsi="Arial;sans-serif"/>
          <w:b w:val="false"/>
          <w:sz w:val="18"/>
        </w:rPr>
        <w:t>equal payments of $1.0</w:t>
      </w:r>
      <w:r>
        <w:rPr>
          <w:rFonts w:ascii="Times New Roman" w:hAnsi="Times New Roman"/>
          <w:sz w:val="20"/>
        </w:rPr>
        <w:t xml:space="preserve"> </w:t>
      </w:r>
      <w:r>
        <w:rPr>
          <w:rFonts w:ascii="Arial;sans-serif" w:hAnsi="Arial;sans-serif"/>
          <w:b w:val="false"/>
          <w:sz w:val="18"/>
        </w:rPr>
        <w:t>million in July 2021, June 2022, and June 2023 for the first agreement, and three</w:t>
      </w:r>
      <w:r>
        <w:rPr>
          <w:rFonts w:ascii="Times New Roman" w:hAnsi="Times New Roman"/>
          <w:sz w:val="20"/>
        </w:rPr>
        <w:t xml:space="preserve"> </w:t>
      </w:r>
      <w:r>
        <w:rPr>
          <w:rFonts w:ascii="Arial;sans-serif" w:hAnsi="Arial;sans-serif"/>
          <w:b w:val="false"/>
          <w:sz w:val="18"/>
        </w:rPr>
        <w:t>equal payments of $0.4</w:t>
      </w:r>
      <w:r>
        <w:rPr>
          <w:rFonts w:ascii="Times New Roman" w:hAnsi="Times New Roman"/>
          <w:sz w:val="20"/>
        </w:rPr>
        <w:t xml:space="preserve"> </w:t>
      </w:r>
      <w:r>
        <w:rPr>
          <w:rFonts w:ascii="Arial;sans-serif" w:hAnsi="Arial;sans-serif"/>
          <w:b w:val="false"/>
          <w:sz w:val="18"/>
        </w:rPr>
        <w:t>million in September 2022, September 2023, and September 2024 for the second agreement. The nature of these agreements and resulting accounting treatment are the same as the payment agreement described in the preceding paragraph, except our imputed interest rate was 9% for the July 2022 agreement.</w:t>
      </w:r>
    </w:p>
    <w:p>
      <w:pPr>
        <w:pStyle w:val="TextBody"/>
        <w:bidi w:val="0"/>
        <w:spacing w:before="240" w:after="0"/>
        <w:jc w:val="center"/>
        <w:rPr>
          <w:rFonts w:ascii="Arial;sans-serif" w:hAnsi="Arial;sans-serif"/>
          <w:b w:val="false"/>
          <w:sz w:val="18"/>
        </w:rPr>
      </w:pPr>
      <w:r>
        <w:rPr>
          <w:rFonts w:ascii="Arial;sans-serif" w:hAnsi="Arial;sans-serif"/>
          <w:b w:val="false"/>
          <w:sz w:val="18"/>
        </w:rPr>
        <w:t>14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200"/>
        <w:jc w:val="both"/>
        <w:rPr>
          <w:rFonts w:ascii="Times New Roman" w:hAnsi="Times New Roman"/>
          <w:sz w:val="20"/>
        </w:rPr>
      </w:pPr>
      <w:r>
        <w:rPr>
          <w:rFonts w:ascii="Arial;sans-serif" w:hAnsi="Arial;sans-serif"/>
          <w:b w:val="false"/>
          <w:sz w:val="18"/>
        </w:rPr>
        <w:t>Repayments are presented as financing cash outflows in the condensed consolidated statements of cash flows. Interest expense for all periods presented was $0.1</w:t>
      </w:r>
      <w:r>
        <w:rPr>
          <w:rFonts w:ascii="Times New Roman" w:hAnsi="Times New Roman"/>
          <w:sz w:val="20"/>
        </w:rPr>
        <w:t xml:space="preserve"> </w:t>
      </w:r>
      <w:r>
        <w:rPr>
          <w:rFonts w:ascii="Arial;sans-serif" w:hAnsi="Arial;sans-serif"/>
          <w:b w:val="false"/>
          <w:sz w:val="18"/>
        </w:rPr>
        <w:t>million or less. Amounts outstanding under the payment agreements are as follows (in thousands):</w:t>
      </w:r>
    </w:p>
    <w:tbl>
      <w:tblPr>
        <w:tblW w:w="9355" w:type="dxa"/>
        <w:jc w:val="left"/>
        <w:tblInd w:w="0" w:type="dxa"/>
        <w:tblLayout w:type="fixed"/>
        <w:tblCellMar>
          <w:top w:w="28" w:type="dxa"/>
          <w:left w:w="28" w:type="dxa"/>
          <w:bottom w:w="28" w:type="dxa"/>
          <w:right w:w="28" w:type="dxa"/>
        </w:tblCellMar>
      </w:tblPr>
      <w:tblGrid>
        <w:gridCol w:w="5761"/>
        <w:gridCol w:w="146"/>
        <w:gridCol w:w="357"/>
        <w:gridCol w:w="813"/>
        <w:gridCol w:w="166"/>
        <w:gridCol w:w="146"/>
        <w:gridCol w:w="393"/>
        <w:gridCol w:w="1182"/>
        <w:gridCol w:w="39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Principal</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1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8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2,730</w:t>
            </w:r>
          </w:p>
        </w:tc>
        <w:tc>
          <w:tcPr>
            <w:tcW w:w="391" w:type="dxa"/>
            <w:tcBorders/>
            <w:vAlign w:val="center"/>
          </w:tcPr>
          <w:p>
            <w:pPr>
              <w:pStyle w:val="TableContents"/>
              <w:bidi w:val="0"/>
              <w:spacing w:before="0" w:after="0"/>
              <w:ind w:left="0" w:right="0" w:firstLine="200"/>
              <w:jc w:val="left"/>
              <w:rPr/>
            </w:pPr>
            <w:r>
              <w:rPr/>
              <w:t> </w:t>
            </w:r>
          </w:p>
        </w:tc>
      </w:tr>
      <w:tr>
        <w:trPr/>
        <w:tc>
          <w:tcPr>
            <w:tcW w:w="576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Less: unamortized discount</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Total carrying amount</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hanging="0"/>
              <w:jc w:val="left"/>
              <w:rPr/>
            </w:pPr>
            <w:r>
              <w:rPr/>
              <w:t> </w:t>
            </w:r>
          </w:p>
        </w:tc>
        <w:tc>
          <w:tcPr>
            <w:tcW w:w="118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2,596</w:t>
            </w:r>
          </w:p>
        </w:tc>
        <w:tc>
          <w:tcPr>
            <w:tcW w:w="391" w:type="dxa"/>
            <w:tcBorders/>
            <w:vAlign w:val="center"/>
          </w:tcPr>
          <w:p>
            <w:pPr>
              <w:pStyle w:val="TableContents"/>
              <w:bidi w:val="0"/>
              <w:spacing w:before="0" w:after="0"/>
              <w:ind w:left="0" w:right="0" w:firstLine="200"/>
              <w:jc w:val="left"/>
              <w:rPr/>
            </w:pPr>
            <w:r>
              <w:rPr/>
              <w:t> </w:t>
            </w:r>
          </w:p>
        </w:tc>
      </w:tr>
      <w:tr>
        <w:trPr/>
        <w:tc>
          <w:tcPr>
            <w:tcW w:w="576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Less: current portion (included in 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(2,218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76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Long-term portion (included in other long-term liabilities)</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Arial;sans-serif" w:hAnsi="Arial;sans-serif"/>
          <w:b/>
          <w:sz w:val="18"/>
        </w:rPr>
      </w:pPr>
      <w:bookmarkStart w:id="19" w:name="note_7_leases"/>
      <w:bookmarkEnd w:id="19"/>
      <w:r>
        <w:rPr>
          <w:rFonts w:ascii="Arial;sans-serif" w:hAnsi="Arial;sans-serif"/>
          <w:b/>
          <w:sz w:val="18"/>
        </w:rPr>
        <w:t>Note 7. Leases</w:t>
      </w:r>
    </w:p>
    <w:p>
      <w:pPr>
        <w:pStyle w:val="TextBody"/>
        <w:bidi w:val="0"/>
        <w:spacing w:before="200" w:after="0"/>
        <w:jc w:val="both"/>
        <w:rPr>
          <w:rFonts w:ascii="Times New Roman" w:hAnsi="Times New Roman"/>
          <w:sz w:val="20"/>
        </w:rPr>
      </w:pPr>
      <w:r>
        <w:rPr>
          <w:rFonts w:ascii="Arial;sans-serif" w:hAnsi="Arial;sans-serif"/>
          <w:b w:val="false"/>
          <w:sz w:val="18"/>
        </w:rPr>
        <w:t>In 2015, the Company entered into a noncancelable operating lease for approximately 31,280</w:t>
      </w:r>
      <w:r>
        <w:rPr>
          <w:rFonts w:ascii="Times New Roman" w:hAnsi="Times New Roman"/>
          <w:sz w:val="20"/>
        </w:rPr>
        <w:t xml:space="preserve"> </w:t>
      </w:r>
      <w:r>
        <w:rPr>
          <w:rFonts w:ascii="Arial;sans-serif" w:hAnsi="Arial;sans-serif"/>
          <w:b w:val="false"/>
          <w:sz w:val="18"/>
        </w:rPr>
        <w:t>square feet of office and laboratory space. In 2020, the lease term was extended through November 2027. The lease includes escalating rent payments. In 2021, the Company amended the lease to expand the leased premises by an additional 14,710</w:t>
      </w:r>
      <w:r>
        <w:rPr>
          <w:rFonts w:ascii="Times New Roman" w:hAnsi="Times New Roman"/>
          <w:sz w:val="20"/>
        </w:rPr>
        <w:t xml:space="preserve"> </w:t>
      </w:r>
      <w:r>
        <w:rPr>
          <w:rFonts w:ascii="Arial;sans-serif" w:hAnsi="Arial;sans-serif"/>
          <w:b w:val="false"/>
          <w:sz w:val="18"/>
        </w:rPr>
        <w:t>square feet of space (the “Expansion Lease”). The Expansion Lease expired at the end of December 2022</w:t>
      </w:r>
      <w:r>
        <w:rPr>
          <w:rFonts w:ascii="Times New Roman" w:hAnsi="Times New Roman"/>
          <w:sz w:val="20"/>
        </w:rPr>
        <w:t xml:space="preserve"> </w:t>
      </w:r>
      <w:r>
        <w:rPr>
          <w:rFonts w:ascii="Arial;sans-serif" w:hAnsi="Arial;sans-serif"/>
          <w:b w:val="false"/>
          <w:sz w:val="18"/>
        </w:rPr>
        <w:t>and was not extended. The Company intends to vacate this space in the future when all office and laboratory activities have been moved to the Fremont headquarters.</w:t>
      </w:r>
    </w:p>
    <w:p>
      <w:pPr>
        <w:pStyle w:val="TextBody"/>
        <w:bidi w:val="0"/>
        <w:spacing w:before="200" w:after="0"/>
        <w:jc w:val="both"/>
        <w:rPr>
          <w:rFonts w:ascii="Times New Roman" w:hAnsi="Times New Roman"/>
          <w:sz w:val="20"/>
        </w:rPr>
      </w:pPr>
      <w:r>
        <w:rPr>
          <w:rFonts w:ascii="Arial;sans-serif" w:hAnsi="Arial;sans-serif"/>
          <w:b w:val="false"/>
          <w:sz w:val="18"/>
        </w:rPr>
        <w:t>In 2019, the Company entered into a noncancelable three-year</w:t>
      </w:r>
      <w:r>
        <w:rPr>
          <w:rFonts w:ascii="Times New Roman" w:hAnsi="Times New Roman"/>
          <w:sz w:val="20"/>
        </w:rPr>
        <w:t xml:space="preserve"> </w:t>
      </w:r>
      <w:r>
        <w:rPr>
          <w:rFonts w:ascii="Arial;sans-serif" w:hAnsi="Arial;sans-serif"/>
          <w:b w:val="false"/>
          <w:sz w:val="18"/>
        </w:rPr>
        <w:t>operating lease for a co-located data center space, which was subsequently extended through September 2025. In April 2023, the Company expanded its data center space with an additional noncancelable three-year</w:t>
      </w:r>
      <w:r>
        <w:rPr>
          <w:rFonts w:ascii="Times New Roman" w:hAnsi="Times New Roman"/>
          <w:sz w:val="20"/>
        </w:rPr>
        <w:t xml:space="preserve"> </w:t>
      </w:r>
      <w:r>
        <w:rPr>
          <w:rFonts w:ascii="Arial;sans-serif" w:hAnsi="Arial;sans-serif"/>
          <w:b w:val="false"/>
          <w:sz w:val="18"/>
        </w:rPr>
        <w:t>operating lease that extends through March 2026. Both leases include an option to extend</w:t>
      </w:r>
      <w:r>
        <w:rPr>
          <w:rFonts w:ascii="Arial;sans-serif" w:hAnsi="Arial;sans-serif"/>
          <w:sz w:val="18"/>
        </w:rPr>
        <w:t xml:space="preserve"> </w:t>
      </w:r>
      <w:r>
        <w:rPr>
          <w:rFonts w:ascii="Arial;sans-serif" w:hAnsi="Arial;sans-serif"/>
          <w:b w:val="false"/>
          <w:sz w:val="18"/>
        </w:rPr>
        <w:t>the terms for a period of three years</w:t>
      </w:r>
      <w:r>
        <w:rPr>
          <w:rFonts w:ascii="Times New Roman" w:hAnsi="Times New Roman"/>
          <w:sz w:val="20"/>
        </w:rPr>
        <w:t xml:space="preserve"> </w:t>
      </w:r>
      <w:r>
        <w:rPr>
          <w:rFonts w:ascii="Arial;sans-serif" w:hAnsi="Arial;sans-serif"/>
          <w:b w:val="false"/>
          <w:sz w:val="18"/>
        </w:rPr>
        <w:t>immediately following the expiration of the terms. The Company determined the extension options are not reasonably certain to be exercised.</w:t>
      </w:r>
    </w:p>
    <w:p>
      <w:pPr>
        <w:pStyle w:val="TextBody"/>
        <w:bidi w:val="0"/>
        <w:spacing w:before="200" w:after="0"/>
        <w:jc w:val="both"/>
        <w:rPr>
          <w:rFonts w:ascii="Times New Roman" w:hAnsi="Times New Roman"/>
          <w:sz w:val="20"/>
        </w:rPr>
      </w:pPr>
      <w:r>
        <w:rPr>
          <w:rFonts w:ascii="Arial;sans-serif" w:hAnsi="Arial;sans-serif"/>
          <w:b w:val="false"/>
          <w:sz w:val="18"/>
        </w:rPr>
        <w:t>In 2021, the Company entered into a noncancelable operating lease for approximately 100,000</w:t>
      </w:r>
      <w:r>
        <w:rPr>
          <w:rFonts w:ascii="Times New Roman" w:hAnsi="Times New Roman"/>
          <w:sz w:val="20"/>
        </w:rPr>
        <w:t xml:space="preserve"> </w:t>
      </w:r>
      <w:r>
        <w:rPr>
          <w:rFonts w:ascii="Arial;sans-serif" w:hAnsi="Arial;sans-serif"/>
          <w:b w:val="false"/>
          <w:sz w:val="18"/>
        </w:rPr>
        <w:t>square feet in Fremont, California used for its corporate headquarters and laboratory operations. The lease term is 13.5</w:t>
      </w:r>
      <w:r>
        <w:rPr>
          <w:rFonts w:ascii="Times New Roman" w:hAnsi="Times New Roman"/>
          <w:sz w:val="20"/>
        </w:rPr>
        <w:t xml:space="preserve"> </w:t>
      </w:r>
      <w:r>
        <w:rPr>
          <w:rFonts w:ascii="Arial;sans-serif" w:hAnsi="Arial;sans-serif"/>
          <w:b w:val="false"/>
          <w:sz w:val="18"/>
        </w:rPr>
        <w:t>years and commenced in October 2022. The Company gained early access to the premises upon entering the lease for the purpose of constructing and installing tenant improvements, for which the landlord contributed $15.1</w:t>
      </w:r>
      <w:r>
        <w:rPr>
          <w:rFonts w:ascii="Times New Roman" w:hAnsi="Times New Roman"/>
          <w:sz w:val="20"/>
        </w:rPr>
        <w:t xml:space="preserve"> </w:t>
      </w:r>
      <w:r>
        <w:rPr>
          <w:rFonts w:ascii="Arial;sans-serif" w:hAnsi="Arial;sans-serif"/>
          <w:b w:val="false"/>
          <w:sz w:val="18"/>
        </w:rPr>
        <w:t>million. Such contributions were accounted for as lease incentives and are recognized as reductions to lease expense over the lease term. The lease expires at the end of March 2036</w:t>
      </w:r>
      <w:r>
        <w:rPr>
          <w:rFonts w:ascii="Times New Roman" w:hAnsi="Times New Roman"/>
          <w:sz w:val="20"/>
        </w:rPr>
        <w:t xml:space="preserve"> </w:t>
      </w:r>
      <w:r>
        <w:rPr>
          <w:rFonts w:ascii="Arial;sans-serif" w:hAnsi="Arial;sans-serif"/>
          <w:b w:val="false"/>
          <w:sz w:val="18"/>
        </w:rPr>
        <w:t>and includes two options to extend</w:t>
      </w:r>
      <w:r>
        <w:rPr>
          <w:rFonts w:ascii="Arial;sans-serif" w:hAnsi="Arial;sans-serif"/>
          <w:sz w:val="18"/>
        </w:rPr>
        <w:t xml:space="preserve"> </w:t>
      </w:r>
      <w:r>
        <w:rPr>
          <w:rFonts w:ascii="Arial;sans-serif" w:hAnsi="Arial;sans-serif"/>
          <w:b w:val="false"/>
          <w:sz w:val="18"/>
        </w:rPr>
        <w:t>the term for a period of five-years</w:t>
      </w:r>
      <w:r>
        <w:rPr>
          <w:rFonts w:ascii="Times New Roman" w:hAnsi="Times New Roman"/>
          <w:sz w:val="20"/>
        </w:rPr>
        <w:t xml:space="preserve"> </w:t>
      </w:r>
      <w:r>
        <w:rPr>
          <w:rFonts w:ascii="Arial;sans-serif" w:hAnsi="Arial;sans-serif"/>
          <w:b w:val="false"/>
          <w:sz w:val="18"/>
        </w:rPr>
        <w:t>per option at prevailing market rates. The Company determined the extension options are not reasonably certain to be exercised. The lease also includes escalating rent payments.</w:t>
      </w:r>
    </w:p>
    <w:p>
      <w:pPr>
        <w:pStyle w:val="TextBody"/>
        <w:bidi w:val="0"/>
        <w:spacing w:before="200" w:after="0"/>
        <w:jc w:val="both"/>
        <w:rPr>
          <w:rFonts w:ascii="Arial;sans-serif" w:hAnsi="Arial;sans-serif"/>
          <w:b w:val="false"/>
          <w:sz w:val="18"/>
        </w:rPr>
      </w:pPr>
      <w:r>
        <w:rPr>
          <w:rFonts w:ascii="Arial;sans-serif" w:hAnsi="Arial;sans-serif"/>
          <w:b w:val="false"/>
          <w:sz w:val="18"/>
        </w:rPr>
        <w:t>The Company had an operating lease for laboratory space in Shanghai, China that was terminated early upon both parties' approval during the second quarter of 2023. The early termination did not result in any material penalties or charges in the Company's condensed consolidated statements of operations. Separately, the Company also has various other short-term leases.</w:t>
      </w:r>
    </w:p>
    <w:p>
      <w:pPr>
        <w:pStyle w:val="TextBody"/>
        <w:bidi w:val="0"/>
        <w:spacing w:before="200" w:after="200"/>
        <w:jc w:val="both"/>
        <w:rPr>
          <w:rFonts w:ascii="Arial;sans-serif" w:hAnsi="Arial;sans-serif"/>
          <w:b w:val="false"/>
          <w:sz w:val="18"/>
        </w:rPr>
      </w:pPr>
      <w:r>
        <w:rPr>
          <w:rFonts w:ascii="Arial;sans-serif" w:hAnsi="Arial;sans-serif"/>
          <w:b w:val="false"/>
          <w:sz w:val="18"/>
        </w:rPr>
        <w:t>Components of lease cost were as follows (in thousands):</w:t>
      </w:r>
    </w:p>
    <w:tbl>
      <w:tblPr>
        <w:tblW w:w="7581" w:type="dxa"/>
        <w:jc w:val="left"/>
        <w:tblInd w:w="0" w:type="dxa"/>
        <w:tblLayout w:type="fixed"/>
        <w:tblCellMar>
          <w:top w:w="28" w:type="dxa"/>
          <w:left w:w="28" w:type="dxa"/>
          <w:bottom w:w="28" w:type="dxa"/>
          <w:right w:w="28" w:type="dxa"/>
        </w:tblCellMar>
      </w:tblPr>
      <w:tblGrid>
        <w:gridCol w:w="1846"/>
        <w:gridCol w:w="146"/>
        <w:gridCol w:w="279"/>
        <w:gridCol w:w="757"/>
        <w:gridCol w:w="193"/>
        <w:gridCol w:w="193"/>
        <w:gridCol w:w="279"/>
        <w:gridCol w:w="757"/>
        <w:gridCol w:w="146"/>
        <w:gridCol w:w="146"/>
        <w:gridCol w:w="255"/>
        <w:gridCol w:w="692"/>
        <w:gridCol w:w="177"/>
        <w:gridCol w:w="177"/>
        <w:gridCol w:w="255"/>
        <w:gridCol w:w="692"/>
        <w:gridCol w:w="5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Lease cost</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93" w:type="dxa"/>
            <w:tcBorders/>
            <w:vAlign w:val="center"/>
          </w:tcPr>
          <w:p>
            <w:pPr>
              <w:pStyle w:val="TableContents"/>
              <w:bidi w:val="0"/>
              <w:spacing w:before="0" w:after="0"/>
              <w:ind w:left="0" w:right="0" w:hanging="0"/>
              <w:jc w:val="right"/>
              <w:rPr/>
            </w:pPr>
            <w:r>
              <w:rPr/>
              <w:t> </w:t>
            </w:r>
          </w:p>
        </w:tc>
        <w:tc>
          <w:tcPr>
            <w:tcW w:w="193"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184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Operating lease cost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1,843</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3,592</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4,348</w:t>
            </w:r>
          </w:p>
        </w:tc>
        <w:tc>
          <w:tcPr>
            <w:tcW w:w="591" w:type="dxa"/>
            <w:tcBorders/>
            <w:vAlign w:val="center"/>
          </w:tcPr>
          <w:p>
            <w:pPr>
              <w:pStyle w:val="TableContents"/>
              <w:bidi w:val="0"/>
              <w:spacing w:before="0" w:after="0"/>
              <w:ind w:left="0" w:right="0" w:firstLine="200"/>
              <w:jc w:val="left"/>
              <w:rPr/>
            </w:pPr>
            <w:r>
              <w:rPr/>
              <w:t> </w:t>
            </w:r>
          </w:p>
        </w:tc>
      </w:tr>
      <w:tr>
        <w:trPr/>
        <w:tc>
          <w:tcPr>
            <w:tcW w:w="184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Short-term lease cost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124</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w:t>
            </w:r>
          </w:p>
        </w:tc>
        <w:tc>
          <w:tcPr>
            <w:tcW w:w="591" w:type="dxa"/>
            <w:tcBorders/>
            <w:vAlign w:val="center"/>
          </w:tcPr>
          <w:p>
            <w:pPr>
              <w:pStyle w:val="TableContents"/>
              <w:bidi w:val="0"/>
              <w:spacing w:before="0" w:after="0"/>
              <w:ind w:left="0" w:right="0" w:firstLine="200"/>
              <w:jc w:val="left"/>
              <w:rPr/>
            </w:pPr>
            <w:r>
              <w:rPr/>
              <w:t> </w:t>
            </w:r>
          </w:p>
        </w:tc>
      </w:tr>
      <w:tr>
        <w:trPr/>
        <w:tc>
          <w:tcPr>
            <w:tcW w:w="184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Variable lease cost</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390</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883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646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846"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Total lease cost</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2,258</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4,599</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5,031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200"/>
        <w:jc w:val="both"/>
        <w:rPr>
          <w:rFonts w:ascii="Times New Roman" w:hAnsi="Times New Roman"/>
          <w:sz w:val="20"/>
        </w:rPr>
      </w:pPr>
      <w:r>
        <w:rPr>
          <w:rFonts w:ascii="Arial;sans-serif" w:hAnsi="Arial;sans-serif"/>
          <w:b w:val="false"/>
          <w:sz w:val="18"/>
        </w:rPr>
        <w:t>As of June 30, 2023, the Company’s operating leases had a weighted-average remaining lease term of 10.6</w:t>
      </w:r>
      <w:r>
        <w:rPr>
          <w:rFonts w:ascii="Times New Roman" w:hAnsi="Times New Roman"/>
          <w:sz w:val="20"/>
        </w:rPr>
        <w:t xml:space="preserve"> </w:t>
      </w:r>
      <w:r>
        <w:rPr>
          <w:rFonts w:ascii="Arial;sans-serif" w:hAnsi="Arial;sans-serif"/>
          <w:b w:val="false"/>
          <w:sz w:val="18"/>
        </w:rPr>
        <w:t>years and a weighted-average discount rate of 10.5%. The Company’s discount rates are based on estimates of its incremental borrowing rate, as the discount rates implicit in the leases cannot be readily determined. Future lease payments under operating leases as of June 30, 2023 were as follows (in thousands):</w:t>
      </w:r>
    </w:p>
    <w:tbl>
      <w:tblPr>
        <w:tblW w:w="5385" w:type="dxa"/>
        <w:jc w:val="left"/>
        <w:tblInd w:w="0" w:type="dxa"/>
        <w:tblLayout w:type="fixed"/>
        <w:tblCellMar>
          <w:top w:w="28" w:type="dxa"/>
          <w:left w:w="28" w:type="dxa"/>
          <w:bottom w:w="28" w:type="dxa"/>
          <w:right w:w="28" w:type="dxa"/>
        </w:tblCellMar>
      </w:tblPr>
      <w:tblGrid>
        <w:gridCol w:w="4081"/>
        <w:gridCol w:w="146"/>
        <w:gridCol w:w="211"/>
        <w:gridCol w:w="736"/>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2023 (remaining six months)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3,850</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8,383</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8,306</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7,292</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7,189</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2028 and 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48,013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Total future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83,033</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Less: imputed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(35,064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Present value of future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47,969</w:t>
            </w:r>
          </w:p>
        </w:tc>
        <w:tc>
          <w:tcPr>
            <w:tcW w:w="21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Less: current portion of 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(7,643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40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40,326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18"/>
        </w:rPr>
      </w:pPr>
      <w:r>
        <w:rPr>
          <w:rFonts w:ascii="Arial;sans-serif" w:hAnsi="Arial;sans-serif"/>
          <w:b w:val="false"/>
          <w:sz w:val="18"/>
        </w:rPr>
        <w:t>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Arial;sans-serif" w:hAnsi="Arial;sans-serif"/>
          <w:b w:val="false"/>
          <w:sz w:val="18"/>
        </w:rPr>
        <w:t>Cash paid for operating lease liabilities, included in cash flows from operating activities in the condensed consolidated statements of cash flows, for the six months ended June 30, 2023 and 2022, was $2.2</w:t>
      </w:r>
      <w:r>
        <w:rPr>
          <w:rFonts w:ascii="Times New Roman" w:hAnsi="Times New Roman"/>
          <w:sz w:val="20"/>
        </w:rPr>
        <w:t xml:space="preserve"> </w:t>
      </w:r>
      <w:r>
        <w:rPr>
          <w:rFonts w:ascii="Arial;sans-serif" w:hAnsi="Arial;sans-serif"/>
          <w:b w:val="false"/>
          <w:sz w:val="18"/>
        </w:rPr>
        <w:t>million and $1.9</w:t>
      </w:r>
      <w:r>
        <w:rPr>
          <w:rFonts w:ascii="Times New Roman" w:hAnsi="Times New Roman"/>
          <w:sz w:val="20"/>
        </w:rPr>
        <w:t xml:space="preserve"> </w:t>
      </w:r>
      <w:r>
        <w:rPr>
          <w:rFonts w:ascii="Arial;sans-serif" w:hAnsi="Arial;sans-serif"/>
          <w:b w:val="false"/>
          <w:sz w:val="18"/>
        </w:rPr>
        <w:t>million, respectively. Right-of-use assets obtained in exchange for new operating lease liabilities during the six months ended June 30, 2023 and 2022 were $1.3</w:t>
      </w:r>
      <w:r>
        <w:rPr>
          <w:rFonts w:ascii="Times New Roman" w:hAnsi="Times New Roman"/>
          <w:sz w:val="20"/>
        </w:rPr>
        <w:t xml:space="preserve"> </w:t>
      </w:r>
      <w:r>
        <w:rPr>
          <w:rFonts w:ascii="Arial;sans-serif" w:hAnsi="Arial;sans-serif"/>
          <w:b w:val="false"/>
          <w:sz w:val="18"/>
        </w:rPr>
        <w:t>million and zero, respectively.</w:t>
      </w:r>
    </w:p>
    <w:p>
      <w:pPr>
        <w:pStyle w:val="TextBody"/>
        <w:bidi w:val="0"/>
        <w:spacing w:before="200" w:after="0"/>
        <w:jc w:val="both"/>
        <w:rPr>
          <w:rFonts w:ascii="Arial;sans-serif" w:hAnsi="Arial;sans-serif"/>
          <w:b/>
          <w:sz w:val="18"/>
        </w:rPr>
      </w:pPr>
      <w:bookmarkStart w:id="20" w:name="note_8_stock_based_compensation"/>
      <w:bookmarkEnd w:id="20"/>
      <w:r>
        <w:rPr>
          <w:rFonts w:ascii="Arial;sans-serif" w:hAnsi="Arial;sans-serif"/>
          <w:b/>
          <w:sz w:val="18"/>
        </w:rPr>
        <w:t>Note 8. Stock-Based Compensation</w:t>
      </w:r>
    </w:p>
    <w:p>
      <w:pPr>
        <w:pStyle w:val="TextBody"/>
        <w:bidi w:val="0"/>
        <w:spacing w:before="200" w:after="200"/>
        <w:jc w:val="both"/>
        <w:rPr>
          <w:rFonts w:ascii="Arial;sans-serif" w:hAnsi="Arial;sans-serif"/>
          <w:b w:val="false"/>
          <w:sz w:val="18"/>
        </w:rPr>
      </w:pPr>
      <w:r>
        <w:rPr>
          <w:rFonts w:ascii="Arial;sans-serif" w:hAnsi="Arial;sans-serif"/>
          <w:b w:val="false"/>
          <w:sz w:val="18"/>
        </w:rPr>
        <w:t>Shares of common stock reserved for issuance under the Company’s equity incentive plans were as follows:</w:t>
      </w:r>
    </w:p>
    <w:tbl>
      <w:tblPr>
        <w:tblW w:w="5590" w:type="dxa"/>
        <w:jc w:val="left"/>
        <w:tblInd w:w="0" w:type="dxa"/>
        <w:tblLayout w:type="fixed"/>
        <w:tblCellMar>
          <w:top w:w="28" w:type="dxa"/>
          <w:left w:w="28" w:type="dxa"/>
          <w:bottom w:w="28" w:type="dxa"/>
          <w:right w:w="28" w:type="dxa"/>
        </w:tblCellMar>
      </w:tblPr>
      <w:tblGrid>
        <w:gridCol w:w="3871"/>
        <w:gridCol w:w="146"/>
        <w:gridCol w:w="146"/>
        <w:gridCol w:w="1036"/>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7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Outstanding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9,478,696</w:t>
            </w:r>
          </w:p>
        </w:tc>
        <w:tc>
          <w:tcPr>
            <w:tcW w:w="3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Reserved for future award grants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3,227,847</w:t>
            </w:r>
          </w:p>
        </w:tc>
        <w:tc>
          <w:tcPr>
            <w:tcW w:w="391" w:type="dxa"/>
            <w:tcBorders/>
            <w:vAlign w:val="center"/>
          </w:tcPr>
          <w:p>
            <w:pPr>
              <w:pStyle w:val="TableContents"/>
              <w:bidi w:val="0"/>
              <w:spacing w:before="0" w:after="0"/>
              <w:ind w:left="0" w:right="0" w:hanging="0"/>
              <w:jc w:val="left"/>
              <w:rPr/>
            </w:pPr>
            <w:r>
              <w:rPr/>
              <w:t> </w:t>
            </w:r>
          </w:p>
        </w:tc>
      </w:tr>
      <w:tr>
        <w:trPr/>
        <w:tc>
          <w:tcPr>
            <w:tcW w:w="387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Reserved for future ESPP</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614,307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87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 common stock reserved for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13,320,850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Arial;sans-serif" w:hAnsi="Arial;sans-serif"/>
          <w:b w:val="false"/>
          <w:i/>
          <w:sz w:val="18"/>
        </w:rPr>
      </w:pPr>
      <w:r>
        <w:rPr>
          <w:rFonts w:ascii="Arial;sans-serif" w:hAnsi="Arial;sans-serif"/>
          <w:b w:val="false"/>
          <w:i/>
          <w:sz w:val="18"/>
        </w:rPr>
        <w:t>Stock Option Activity</w:t>
      </w:r>
    </w:p>
    <w:p>
      <w:pPr>
        <w:pStyle w:val="TextBody"/>
        <w:bidi w:val="0"/>
        <w:spacing w:before="200" w:after="200"/>
        <w:jc w:val="both"/>
        <w:rPr>
          <w:rFonts w:ascii="Arial;sans-serif" w:hAnsi="Arial;sans-serif"/>
          <w:b w:val="false"/>
          <w:sz w:val="18"/>
        </w:rPr>
      </w:pPr>
      <w:r>
        <w:rPr>
          <w:rFonts w:ascii="Arial;sans-serif" w:hAnsi="Arial;sans-serif"/>
          <w:b w:val="false"/>
          <w:sz w:val="18"/>
        </w:rPr>
        <w:t>A summary of the Company’s stock option activity (excluding performance-based stock option activity summarized further below) under the 2011 Plan, 2019 Plan, and Inducement Plan for the six months ended June 30, 2023 is as follows:</w:t>
      </w:r>
    </w:p>
    <w:tbl>
      <w:tblPr>
        <w:tblW w:w="10067" w:type="dxa"/>
        <w:jc w:val="left"/>
        <w:tblInd w:w="0" w:type="dxa"/>
        <w:tblLayout w:type="fixed"/>
        <w:tblCellMar>
          <w:top w:w="28" w:type="dxa"/>
          <w:left w:w="28" w:type="dxa"/>
          <w:bottom w:w="28" w:type="dxa"/>
          <w:right w:w="28" w:type="dxa"/>
        </w:tblCellMar>
      </w:tblPr>
      <w:tblGrid>
        <w:gridCol w:w="4336"/>
        <w:gridCol w:w="146"/>
        <w:gridCol w:w="146"/>
        <w:gridCol w:w="931"/>
        <w:gridCol w:w="166"/>
        <w:gridCol w:w="146"/>
        <w:gridCol w:w="373"/>
        <w:gridCol w:w="827"/>
        <w:gridCol w:w="146"/>
        <w:gridCol w:w="146"/>
        <w:gridCol w:w="307"/>
        <w:gridCol w:w="983"/>
        <w:gridCol w:w="146"/>
        <w:gridCol w:w="146"/>
        <w:gridCol w:w="465"/>
        <w:gridCol w:w="466"/>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3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Outstanding Options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 thousands, except share and per share data)</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Remaining</w:t>
              <w:br/>
              <w:t>Contractual</w:t>
              <w:br/>
              <w:t>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Aggregate</w:t>
              <w:br/>
              <w:t>Intrinsic</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5,451,132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w:t>
            </w:r>
          </w:p>
        </w:tc>
        <w:tc>
          <w:tcPr>
            <w:tcW w:w="1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2,510,500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3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3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Options forfeited or 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(633,716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3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7,327,908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9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Options vested and exercisable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3,983,216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3"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2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 </w:t>
            </w:r>
          </w:p>
        </w:tc>
        <w:tc>
          <w:tcPr>
            <w:tcW w:w="983"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46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Arial;sans-serif" w:hAnsi="Arial;sans-serif"/>
          <w:b w:val="false"/>
          <w:sz w:val="18"/>
        </w:rPr>
        <w:t>The weighted-average grant date fair value of options granted was $1.51</w:t>
      </w:r>
      <w:r>
        <w:rPr>
          <w:rFonts w:ascii="Times New Roman" w:hAnsi="Times New Roman"/>
          <w:sz w:val="20"/>
        </w:rPr>
        <w:t xml:space="preserve"> </w:t>
      </w:r>
      <w:r>
        <w:rPr>
          <w:rFonts w:ascii="Arial;sans-serif" w:hAnsi="Arial;sans-serif"/>
          <w:b w:val="false"/>
          <w:sz w:val="18"/>
        </w:rPr>
        <w:t>and $3.19</w:t>
      </w:r>
      <w:r>
        <w:rPr>
          <w:rFonts w:ascii="Times New Roman" w:hAnsi="Times New Roman"/>
          <w:sz w:val="20"/>
        </w:rPr>
        <w:t xml:space="preserve"> </w:t>
      </w:r>
      <w:r>
        <w:rPr>
          <w:rFonts w:ascii="Arial;sans-serif" w:hAnsi="Arial;sans-serif"/>
          <w:b w:val="false"/>
          <w:sz w:val="18"/>
        </w:rPr>
        <w:t>per share for the three months ended June 30, 2023 and 2022, and $1.84</w:t>
      </w:r>
      <w:r>
        <w:rPr>
          <w:rFonts w:ascii="Times New Roman" w:hAnsi="Times New Roman"/>
          <w:sz w:val="20"/>
        </w:rPr>
        <w:t xml:space="preserve"> </w:t>
      </w:r>
      <w:r>
        <w:rPr>
          <w:rFonts w:ascii="Arial;sans-serif" w:hAnsi="Arial;sans-serif"/>
          <w:b w:val="false"/>
          <w:sz w:val="18"/>
        </w:rPr>
        <w:t>and $3.99</w:t>
      </w:r>
      <w:r>
        <w:rPr>
          <w:rFonts w:ascii="Times New Roman" w:hAnsi="Times New Roman"/>
          <w:sz w:val="20"/>
        </w:rPr>
        <w:t xml:space="preserve"> </w:t>
      </w:r>
      <w:r>
        <w:rPr>
          <w:rFonts w:ascii="Arial;sans-serif" w:hAnsi="Arial;sans-serif"/>
          <w:b w:val="false"/>
          <w:sz w:val="18"/>
        </w:rPr>
        <w:t>per share for the six months ended June 30, 2023 and 2022, respectively. As of June 30, 2023, the unrecognized stock-based compensation cost of unvested options was $10.1</w:t>
      </w:r>
      <w:r>
        <w:rPr>
          <w:rFonts w:ascii="Times New Roman" w:hAnsi="Times New Roman"/>
          <w:sz w:val="20"/>
        </w:rPr>
        <w:t xml:space="preserve"> </w:t>
      </w:r>
      <w:r>
        <w:rPr>
          <w:rFonts w:ascii="Arial;sans-serif" w:hAnsi="Arial;sans-serif"/>
          <w:b w:val="false"/>
          <w:sz w:val="18"/>
        </w:rPr>
        <w:t>million, which is expected to be recognized over a weighted-average period of 2.4</w:t>
      </w:r>
      <w:r>
        <w:rPr>
          <w:rFonts w:ascii="Times New Roman" w:hAnsi="Times New Roman"/>
          <w:sz w:val="20"/>
        </w:rPr>
        <w:t xml:space="preserve"> </w:t>
      </w:r>
      <w:r>
        <w:rPr>
          <w:rFonts w:ascii="Arial;sans-serif" w:hAnsi="Arial;sans-serif"/>
          <w:b w:val="false"/>
          <w:sz w:val="18"/>
        </w:rPr>
        <w:t>years.</w:t>
      </w:r>
    </w:p>
    <w:p>
      <w:pPr>
        <w:pStyle w:val="TextBody"/>
        <w:bidi w:val="0"/>
        <w:spacing w:before="200" w:after="0"/>
        <w:jc w:val="both"/>
        <w:rPr>
          <w:rFonts w:ascii="Arial;sans-serif" w:hAnsi="Arial;sans-serif"/>
          <w:b w:val="false"/>
          <w:i/>
          <w:sz w:val="18"/>
        </w:rPr>
      </w:pPr>
      <w:r>
        <w:rPr>
          <w:rFonts w:ascii="Arial;sans-serif" w:hAnsi="Arial;sans-serif"/>
          <w:b w:val="false"/>
          <w:i/>
          <w:sz w:val="18"/>
        </w:rPr>
        <w:t>Valuation of Stock Options</w:t>
      </w:r>
    </w:p>
    <w:p>
      <w:pPr>
        <w:pStyle w:val="TextBody"/>
        <w:bidi w:val="0"/>
        <w:spacing w:before="200" w:after="200"/>
        <w:jc w:val="both"/>
        <w:rPr>
          <w:rFonts w:ascii="Arial;sans-serif" w:hAnsi="Arial;sans-serif"/>
          <w:b w:val="false"/>
          <w:sz w:val="18"/>
        </w:rPr>
      </w:pPr>
      <w:r>
        <w:rPr>
          <w:rFonts w:ascii="Arial;sans-serif" w:hAnsi="Arial;sans-serif"/>
          <w:b w:val="false"/>
          <w:sz w:val="18"/>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weighted-average assumptions:</w:t>
      </w:r>
    </w:p>
    <w:tbl>
      <w:tblPr>
        <w:tblW w:w="8134" w:type="dxa"/>
        <w:jc w:val="left"/>
        <w:tblInd w:w="0" w:type="dxa"/>
        <w:tblLayout w:type="fixed"/>
        <w:tblCellMar>
          <w:top w:w="28" w:type="dxa"/>
          <w:left w:w="28" w:type="dxa"/>
          <w:bottom w:w="28" w:type="dxa"/>
          <w:right w:w="28" w:type="dxa"/>
        </w:tblCellMar>
      </w:tblPr>
      <w:tblGrid>
        <w:gridCol w:w="2101"/>
        <w:gridCol w:w="146"/>
        <w:gridCol w:w="1351"/>
        <w:gridCol w:w="146"/>
        <w:gridCol w:w="1351"/>
        <w:gridCol w:w="146"/>
        <w:gridCol w:w="1351"/>
        <w:gridCol w:w="146"/>
        <w:gridCol w:w="139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4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9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r>
      <w:tr>
        <w:trPr/>
        <w:tc>
          <w:tcPr>
            <w:tcW w:w="21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Expected term (in years)</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5.50</w:t>
            </w:r>
            <w:r>
              <w:rPr>
                <w:rFonts w:ascii="Times New Roman" w:hAnsi="Times New Roman"/>
                <w:sz w:val="20"/>
              </w:rPr>
              <w:t> </w:t>
            </w:r>
            <w:r>
              <w:rPr>
                <w:rFonts w:ascii="Arial;sans-serif" w:hAnsi="Arial;sans-serif"/>
                <w:b w:val="false"/>
                <w:sz w:val="18"/>
              </w:rPr>
              <w:t>- 6.02</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5.50</w:t>
            </w:r>
            <w:r>
              <w:rPr>
                <w:rFonts w:ascii="Times New Roman" w:hAnsi="Times New Roman"/>
                <w:sz w:val="20"/>
              </w:rPr>
              <w:t> </w:t>
            </w:r>
            <w:r>
              <w:rPr>
                <w:rFonts w:ascii="Arial;sans-serif" w:hAnsi="Arial;sans-serif"/>
                <w:b w:val="false"/>
                <w:sz w:val="18"/>
              </w:rPr>
              <w:t>- 6.08</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5.50</w:t>
            </w:r>
            <w:r>
              <w:rPr>
                <w:rFonts w:ascii="Times New Roman" w:hAnsi="Times New Roman"/>
                <w:sz w:val="20"/>
              </w:rPr>
              <w:t> </w:t>
            </w:r>
            <w:r>
              <w:rPr>
                <w:rFonts w:ascii="Arial;sans-serif" w:hAnsi="Arial;sans-serif"/>
                <w:b w:val="false"/>
                <w:sz w:val="18"/>
              </w:rPr>
              <w:t>- 6.02</w:t>
            </w:r>
          </w:p>
        </w:tc>
        <w:tc>
          <w:tcPr>
            <w:tcW w:w="1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5.50</w:t>
            </w:r>
            <w:r>
              <w:rPr>
                <w:rFonts w:ascii="Times New Roman" w:hAnsi="Times New Roman"/>
                <w:sz w:val="20"/>
              </w:rPr>
              <w:t> </w:t>
            </w:r>
            <w:r>
              <w:rPr>
                <w:rFonts w:ascii="Arial;sans-serif" w:hAnsi="Arial;sans-serif"/>
                <w:b w:val="false"/>
                <w:sz w:val="18"/>
              </w:rPr>
              <w:t>- 6.08</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Volatility</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78.47</w:t>
            </w:r>
            <w:r>
              <w:rPr>
                <w:rFonts w:ascii="Times New Roman" w:hAnsi="Times New Roman"/>
                <w:sz w:val="20"/>
              </w:rPr>
              <w:t> </w:t>
            </w:r>
            <w:r>
              <w:rPr>
                <w:rFonts w:ascii="Arial;sans-serif" w:hAnsi="Arial;sans-serif"/>
                <w:b w:val="false"/>
                <w:sz w:val="18"/>
              </w:rPr>
              <w:t>- 79.31%</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69.70</w:t>
            </w:r>
            <w:r>
              <w:rPr>
                <w:rFonts w:ascii="Times New Roman" w:hAnsi="Times New Roman"/>
                <w:sz w:val="20"/>
              </w:rPr>
              <w:t> </w:t>
            </w:r>
            <w:r>
              <w:rPr>
                <w:rFonts w:ascii="Arial;sans-serif" w:hAnsi="Arial;sans-serif"/>
                <w:b w:val="false"/>
                <w:sz w:val="18"/>
              </w:rPr>
              <w:t>- 71.56%</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78.47</w:t>
            </w:r>
            <w:r>
              <w:rPr>
                <w:rFonts w:ascii="Times New Roman" w:hAnsi="Times New Roman"/>
                <w:sz w:val="20"/>
              </w:rPr>
              <w:t> </w:t>
            </w:r>
            <w:r>
              <w:rPr>
                <w:rFonts w:ascii="Arial;sans-serif" w:hAnsi="Arial;sans-serif"/>
                <w:b w:val="false"/>
                <w:sz w:val="18"/>
              </w:rPr>
              <w:t>- 79.31%</w:t>
            </w:r>
          </w:p>
        </w:tc>
        <w:tc>
          <w:tcPr>
            <w:tcW w:w="1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68.37</w:t>
            </w:r>
            <w:r>
              <w:rPr>
                <w:rFonts w:ascii="Times New Roman" w:hAnsi="Times New Roman"/>
                <w:sz w:val="20"/>
              </w:rPr>
              <w:t> </w:t>
            </w:r>
            <w:r>
              <w:rPr>
                <w:rFonts w:ascii="Arial;sans-serif" w:hAnsi="Arial;sans-serif"/>
                <w:b w:val="false"/>
                <w:sz w:val="18"/>
              </w:rPr>
              <w:t>- 71.56%</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Risk-free interest rate</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3.47</w:t>
            </w:r>
            <w:r>
              <w:rPr>
                <w:rFonts w:ascii="Times New Roman" w:hAnsi="Times New Roman"/>
                <w:sz w:val="20"/>
              </w:rPr>
              <w:t> </w:t>
            </w:r>
            <w:r>
              <w:rPr>
                <w:rFonts w:ascii="Arial;sans-serif" w:hAnsi="Arial;sans-serif"/>
                <w:b w:val="false"/>
                <w:sz w:val="18"/>
              </w:rPr>
              <w:t>- 3.98%</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2.82</w:t>
            </w:r>
            <w:r>
              <w:rPr>
                <w:rFonts w:ascii="Times New Roman" w:hAnsi="Times New Roman"/>
                <w:sz w:val="20"/>
              </w:rPr>
              <w:t> </w:t>
            </w:r>
            <w:r>
              <w:rPr>
                <w:rFonts w:ascii="Arial;sans-serif" w:hAnsi="Arial;sans-serif"/>
                <w:b w:val="false"/>
                <w:sz w:val="18"/>
              </w:rPr>
              <w:t>- 3.39%</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3.47</w:t>
            </w:r>
            <w:r>
              <w:rPr>
                <w:rFonts w:ascii="Times New Roman" w:hAnsi="Times New Roman"/>
                <w:sz w:val="20"/>
              </w:rPr>
              <w:t> </w:t>
            </w:r>
            <w:r>
              <w:rPr>
                <w:rFonts w:ascii="Arial;sans-serif" w:hAnsi="Arial;sans-serif"/>
                <w:b w:val="false"/>
                <w:sz w:val="18"/>
              </w:rPr>
              <w:t>- 3.98%</w:t>
            </w:r>
          </w:p>
        </w:tc>
        <w:tc>
          <w:tcPr>
            <w:tcW w:w="1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center"/>
              <w:rPr>
                <w:rFonts w:ascii="Times New Roman" w:hAnsi="Times New Roman"/>
                <w:sz w:val="20"/>
              </w:rPr>
            </w:pPr>
            <w:r>
              <w:rPr>
                <w:rFonts w:ascii="Arial;sans-serif" w:hAnsi="Arial;sans-serif"/>
                <w:b w:val="false"/>
                <w:sz w:val="18"/>
              </w:rPr>
              <w:t>1.62</w:t>
            </w:r>
            <w:r>
              <w:rPr>
                <w:rFonts w:ascii="Times New Roman" w:hAnsi="Times New Roman"/>
                <w:sz w:val="20"/>
              </w:rPr>
              <w:t> </w:t>
            </w:r>
            <w:r>
              <w:rPr>
                <w:rFonts w:ascii="Arial;sans-serif" w:hAnsi="Arial;sans-serif"/>
                <w:b w:val="false"/>
                <w:sz w:val="18"/>
              </w:rPr>
              <w:t>- 3.39%</w:t>
            </w:r>
          </w:p>
        </w:tc>
      </w:tr>
      <w:tr>
        <w:trPr/>
        <w:tc>
          <w:tcPr>
            <w:tcW w:w="210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Dividend yield</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pPr>
            <w:r>
              <w:rPr/>
              <w:t>–</w:t>
            </w: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pPr>
            <w:r>
              <w:rPr/>
              <w:t>–</w:t>
            </w: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pPr>
            <w:r>
              <w:rPr/>
              <w:t>–</w:t>
            </w: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center"/>
              <w:rPr/>
            </w:pPr>
            <w:r>
              <w:rPr/>
              <w:t>–</w:t>
            </w:r>
            <w:r>
              <w:rPr>
                <w:rFonts w:ascii="Arial;sans-serif" w:hAnsi="Arial;sans-serif"/>
                <w:b w:val="false"/>
                <w:sz w:val="18"/>
              </w:rPr>
              <w:t>%</w:t>
            </w:r>
          </w:p>
        </w:tc>
      </w:tr>
    </w:tbl>
    <w:p>
      <w:pPr>
        <w:pStyle w:val="TextBody"/>
        <w:bidi w:val="0"/>
        <w:spacing w:before="200" w:after="0"/>
        <w:jc w:val="both"/>
        <w:rPr>
          <w:rFonts w:ascii="Arial;sans-serif" w:hAnsi="Arial;sans-serif"/>
          <w:b w:val="false"/>
          <w:i/>
          <w:sz w:val="18"/>
        </w:rPr>
      </w:pPr>
      <w:r>
        <w:rPr>
          <w:rFonts w:ascii="Arial;sans-serif" w:hAnsi="Arial;sans-serif"/>
          <w:b w:val="false"/>
          <w:i/>
          <w:sz w:val="18"/>
        </w:rPr>
        <w:t>Performance-Based Stock Option Activity</w:t>
      </w:r>
    </w:p>
    <w:p>
      <w:pPr>
        <w:pStyle w:val="TextBody"/>
        <w:bidi w:val="0"/>
        <w:spacing w:before="200" w:after="0"/>
        <w:jc w:val="both"/>
        <w:rPr>
          <w:rFonts w:ascii="Times New Roman" w:hAnsi="Times New Roman"/>
          <w:sz w:val="20"/>
        </w:rPr>
      </w:pPr>
      <w:r>
        <w:rPr>
          <w:rFonts w:ascii="Arial;sans-serif" w:hAnsi="Arial;sans-serif"/>
          <w:b w:val="false"/>
          <w:sz w:val="18"/>
        </w:rPr>
        <w:t>No performance-based stock option activity occurred during the six months ended June 30, 2023. As of June 30, 2023, performance-based stock options for 421,000</w:t>
      </w:r>
      <w:r>
        <w:rPr>
          <w:rFonts w:ascii="Times New Roman" w:hAnsi="Times New Roman"/>
          <w:sz w:val="20"/>
        </w:rPr>
        <w:t xml:space="preserve"> </w:t>
      </w:r>
      <w:r>
        <w:rPr>
          <w:rFonts w:ascii="Arial;sans-serif" w:hAnsi="Arial;sans-serif"/>
          <w:b w:val="false"/>
          <w:sz w:val="18"/>
        </w:rPr>
        <w:t>shares with an exercise price of $5.10</w:t>
      </w:r>
      <w:r>
        <w:rPr>
          <w:rFonts w:ascii="Times New Roman" w:hAnsi="Times New Roman"/>
          <w:sz w:val="20"/>
        </w:rPr>
        <w:t xml:space="preserve"> </w:t>
      </w:r>
      <w:r>
        <w:rPr>
          <w:rFonts w:ascii="Arial;sans-serif" w:hAnsi="Arial;sans-serif"/>
          <w:b w:val="false"/>
          <w:sz w:val="18"/>
        </w:rPr>
        <w:t>and a remaining contractual term of 0.50</w:t>
      </w:r>
      <w:r>
        <w:rPr>
          <w:rFonts w:ascii="Times New Roman" w:hAnsi="Times New Roman"/>
          <w:sz w:val="20"/>
        </w:rPr>
        <w:t xml:space="preserve"> </w:t>
      </w:r>
      <w:r>
        <w:rPr>
          <w:rFonts w:ascii="Arial;sans-serif" w:hAnsi="Arial;sans-serif"/>
          <w:b w:val="false"/>
          <w:sz w:val="18"/>
        </w:rPr>
        <w:t>years remained outstanding. The stock options are fully vested and exercisable and had no</w:t>
      </w:r>
      <w:r>
        <w:rPr>
          <w:rFonts w:ascii="Times New Roman" w:hAnsi="Times New Roman"/>
          <w:sz w:val="20"/>
        </w:rPr>
        <w:t xml:space="preserve"> </w:t>
      </w:r>
      <w:r>
        <w:rPr>
          <w:rFonts w:ascii="Arial;sans-serif" w:hAnsi="Arial;sans-serif"/>
          <w:b w:val="false"/>
          <w:sz w:val="18"/>
        </w:rPr>
        <w:t>intrinsic value as of June 30, 2023.</w:t>
      </w:r>
    </w:p>
    <w:p>
      <w:pPr>
        <w:pStyle w:val="TextBody"/>
        <w:bidi w:val="0"/>
        <w:spacing w:before="240" w:after="0"/>
        <w:jc w:val="center"/>
        <w:rPr>
          <w:rFonts w:ascii="Arial;sans-serif" w:hAnsi="Arial;sans-serif"/>
          <w:b w:val="false"/>
          <w:sz w:val="18"/>
        </w:rPr>
      </w:pPr>
      <w:r>
        <w:rPr>
          <w:rFonts w:ascii="Arial;sans-serif" w:hAnsi="Arial;sans-serif"/>
          <w:b w:val="false"/>
          <w:sz w:val="18"/>
        </w:rPr>
        <w:t>16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left"/>
        <w:rPr>
          <w:rFonts w:ascii="Arial;sans-serif" w:hAnsi="Arial;sans-serif"/>
          <w:b w:val="false"/>
          <w:i/>
          <w:sz w:val="18"/>
        </w:rPr>
      </w:pPr>
      <w:r>
        <w:rPr>
          <w:rFonts w:ascii="Arial;sans-serif" w:hAnsi="Arial;sans-serif"/>
          <w:b w:val="false"/>
          <w:i/>
          <w:sz w:val="18"/>
        </w:rPr>
        <w:t>Restricted Stock Units ("RSU") Activity and Valuation</w:t>
      </w:r>
    </w:p>
    <w:p>
      <w:pPr>
        <w:pStyle w:val="TextBody"/>
        <w:bidi w:val="0"/>
        <w:spacing w:before="200" w:after="200"/>
        <w:jc w:val="both"/>
        <w:rPr>
          <w:rFonts w:ascii="Arial;sans-serif" w:hAnsi="Arial;sans-serif"/>
          <w:b w:val="false"/>
          <w:sz w:val="18"/>
        </w:rPr>
      </w:pPr>
      <w:r>
        <w:rPr>
          <w:rFonts w:ascii="Arial;sans-serif" w:hAnsi="Arial;sans-serif"/>
          <w:b w:val="false"/>
          <w:sz w:val="18"/>
        </w:rPr>
        <w:t>A summary of the Company’s RSU activity under the 2019 Plan and Inducement Plan for the six months ended June 30, 2023 is as follows:</w:t>
      </w:r>
    </w:p>
    <w:tbl>
      <w:tblPr>
        <w:tblW w:w="7644" w:type="dxa"/>
        <w:jc w:val="left"/>
        <w:tblInd w:w="0" w:type="dxa"/>
        <w:tblLayout w:type="fixed"/>
        <w:tblCellMar>
          <w:top w:w="28" w:type="dxa"/>
          <w:left w:w="28" w:type="dxa"/>
          <w:bottom w:w="28" w:type="dxa"/>
          <w:right w:w="28" w:type="dxa"/>
        </w:tblCellMar>
      </w:tblPr>
      <w:tblGrid>
        <w:gridCol w:w="3646"/>
        <w:gridCol w:w="146"/>
        <w:gridCol w:w="146"/>
        <w:gridCol w:w="931"/>
        <w:gridCol w:w="166"/>
        <w:gridCol w:w="146"/>
        <w:gridCol w:w="271"/>
        <w:gridCol w:w="734"/>
        <w:gridCol w:w="146"/>
        <w:gridCol w:w="146"/>
        <w:gridCol w:w="263"/>
        <w:gridCol w:w="712"/>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6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Unvested Restricted Stock Units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46" w:type="dxa"/>
            <w:tcBorders/>
            <w:vAlign w:val="center"/>
          </w:tcPr>
          <w:p>
            <w:pPr>
              <w:pStyle w:val="TableContents"/>
              <w:bidi w:val="0"/>
              <w:spacing w:before="0" w:after="0"/>
              <w:ind w:left="0" w:right="0" w:hanging="0"/>
              <w:jc w:val="left"/>
              <w:rPr>
                <w:rFonts w:ascii="Arial;sans-serif" w:hAnsi="Arial;sans-serif"/>
                <w:b w:val="false"/>
                <w:sz w:val="16"/>
              </w:rPr>
            </w:pPr>
            <w:r>
              <w:rPr>
                <w:rFonts w:ascii="Arial;sans-serif" w:hAnsi="Arial;sans-serif"/>
                <w:b w:val="false"/>
                <w:sz w:val="16"/>
              </w:rPr>
              <w:t>(in thousands, except share and per share data)</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Number of</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Weighted-</w:t>
              <w:br/>
              <w:t>Average</w:t>
              <w:br/>
              <w:t xml:space="preserve">Grant Date </w:t>
              <w:b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 xml:space="preserve">Aggregate </w:t>
              <w:b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2,621,482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1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5,191</w:t>
            </w:r>
          </w:p>
        </w:tc>
        <w:tc>
          <w:tcPr>
            <w:tcW w:w="191"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RSUs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RSUs 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(431,366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979</w:t>
            </w:r>
          </w:p>
        </w:tc>
        <w:tc>
          <w:tcPr>
            <w:tcW w:w="191"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RSUs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(483,528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Balance—June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1,729,788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1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3,252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Arial;sans-serif" w:hAnsi="Arial;sans-serif"/>
          <w:b w:val="false"/>
          <w:sz w:val="18"/>
        </w:rPr>
        <w:t>As of June 30, 2023, the unrecognized stock-based compensation cost of unvested RSUs was $13.7</w:t>
      </w:r>
      <w:r>
        <w:rPr>
          <w:rFonts w:ascii="Times New Roman" w:hAnsi="Times New Roman"/>
          <w:sz w:val="20"/>
        </w:rPr>
        <w:t xml:space="preserve"> </w:t>
      </w:r>
      <w:r>
        <w:rPr>
          <w:rFonts w:ascii="Arial;sans-serif" w:hAnsi="Arial;sans-serif"/>
          <w:b w:val="false"/>
          <w:sz w:val="18"/>
        </w:rPr>
        <w:t>million, which is expected to be recognized over a weighted-average period of 2.3</w:t>
      </w:r>
      <w:r>
        <w:rPr>
          <w:rFonts w:ascii="Times New Roman" w:hAnsi="Times New Roman"/>
          <w:sz w:val="20"/>
        </w:rPr>
        <w:t xml:space="preserve"> </w:t>
      </w:r>
      <w:r>
        <w:rPr>
          <w:rFonts w:ascii="Arial;sans-serif" w:hAnsi="Arial;sans-serif"/>
          <w:b w:val="false"/>
          <w:sz w:val="18"/>
        </w:rPr>
        <w:t>years.</w:t>
      </w:r>
    </w:p>
    <w:p>
      <w:pPr>
        <w:pStyle w:val="TextBody"/>
        <w:bidi w:val="0"/>
        <w:spacing w:before="200" w:after="0"/>
        <w:jc w:val="both"/>
        <w:rPr>
          <w:rFonts w:ascii="Arial;sans-serif" w:hAnsi="Arial;sans-serif"/>
          <w:b w:val="false"/>
          <w:i/>
          <w:sz w:val="18"/>
        </w:rPr>
      </w:pPr>
      <w:r>
        <w:rPr>
          <w:rFonts w:ascii="Arial;sans-serif" w:hAnsi="Arial;sans-serif"/>
          <w:b w:val="false"/>
          <w:i/>
          <w:sz w:val="18"/>
        </w:rPr>
        <w:t>ESPP Activity and Valuation</w:t>
      </w:r>
    </w:p>
    <w:p>
      <w:pPr>
        <w:pStyle w:val="TextBody"/>
        <w:bidi w:val="0"/>
        <w:spacing w:before="200" w:after="200"/>
        <w:jc w:val="both"/>
        <w:rPr>
          <w:rFonts w:ascii="Times New Roman" w:hAnsi="Times New Roman"/>
          <w:sz w:val="20"/>
        </w:rPr>
      </w:pPr>
      <w:r>
        <w:rPr>
          <w:rFonts w:ascii="Arial;sans-serif" w:hAnsi="Arial;sans-serif"/>
          <w:b w:val="false"/>
          <w:sz w:val="18"/>
        </w:rPr>
        <w:t>During the six months ended June 30, 2023 and 2022, 468,643</w:t>
      </w:r>
      <w:r>
        <w:rPr>
          <w:rFonts w:ascii="Times New Roman" w:hAnsi="Times New Roman"/>
          <w:sz w:val="20"/>
        </w:rPr>
        <w:t xml:space="preserve"> </w:t>
      </w:r>
      <w:r>
        <w:rPr>
          <w:rFonts w:ascii="Arial;sans-serif" w:hAnsi="Arial;sans-serif"/>
          <w:b w:val="false"/>
          <w:sz w:val="18"/>
        </w:rPr>
        <w:t>and 204,775</w:t>
      </w:r>
      <w:r>
        <w:rPr>
          <w:rFonts w:ascii="Times New Roman" w:hAnsi="Times New Roman"/>
          <w:sz w:val="20"/>
        </w:rPr>
        <w:t xml:space="preserve"> </w:t>
      </w:r>
      <w:r>
        <w:rPr>
          <w:rFonts w:ascii="Arial;sans-serif" w:hAnsi="Arial;sans-serif"/>
          <w:b w:val="false"/>
          <w:sz w:val="18"/>
        </w:rPr>
        <w:t>shares of common stock were purchased under the ESPP. The fair value of stock purchase rights granted under the ESPP was estimated using the following assumptions:</w:t>
      </w:r>
    </w:p>
    <w:tbl>
      <w:tblPr>
        <w:tblW w:w="6160" w:type="dxa"/>
        <w:jc w:val="left"/>
        <w:tblInd w:w="0" w:type="dxa"/>
        <w:tblLayout w:type="fixed"/>
        <w:tblCellMar>
          <w:top w:w="28" w:type="dxa"/>
          <w:left w:w="28" w:type="dxa"/>
          <w:bottom w:w="28" w:type="dxa"/>
          <w:right w:w="28" w:type="dxa"/>
        </w:tblCellMar>
      </w:tblPr>
      <w:tblGrid>
        <w:gridCol w:w="2611"/>
        <w:gridCol w:w="146"/>
        <w:gridCol w:w="329"/>
        <w:gridCol w:w="890"/>
        <w:gridCol w:w="422"/>
        <w:gridCol w:w="227"/>
        <w:gridCol w:w="329"/>
        <w:gridCol w:w="890"/>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8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and 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4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Expected term (in years)</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0.50</w:t>
            </w:r>
          </w:p>
        </w:tc>
        <w:tc>
          <w:tcPr>
            <w:tcW w:w="422"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0.50</w:t>
            </w:r>
          </w:p>
        </w:tc>
        <w:tc>
          <w:tcPr>
            <w:tcW w:w="316"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Volatility</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84.88</w:t>
            </w:r>
          </w:p>
        </w:tc>
        <w:tc>
          <w:tcPr>
            <w:tcW w:w="42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227"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82.35</w:t>
            </w:r>
          </w:p>
        </w:tc>
        <w:tc>
          <w:tcPr>
            <w:tcW w:w="3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Risk-free interest rate</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5.14</w:t>
            </w:r>
          </w:p>
        </w:tc>
        <w:tc>
          <w:tcPr>
            <w:tcW w:w="422"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227"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1.49</w:t>
            </w:r>
          </w:p>
        </w:tc>
        <w:tc>
          <w:tcPr>
            <w:tcW w:w="3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26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Dividend yield</w:t>
            </w:r>
          </w:p>
        </w:tc>
        <w:tc>
          <w:tcPr>
            <w:tcW w:w="146" w:type="dxa"/>
            <w:tcBorders/>
            <w:vAlign w:val="center"/>
          </w:tcPr>
          <w:p>
            <w:pPr>
              <w:pStyle w:val="TableContents"/>
              <w:bidi w:val="0"/>
              <w:spacing w:before="0" w:after="0"/>
              <w:ind w:left="0" w:right="0" w:hanging="0"/>
              <w:jc w:val="left"/>
              <w:rPr/>
            </w:pPr>
            <w:r>
              <w:rPr/>
              <w:t> </w:t>
            </w:r>
          </w:p>
        </w:tc>
        <w:tc>
          <w:tcPr>
            <w:tcW w:w="1219" w:type="dxa"/>
            <w:gridSpan w:val="2"/>
            <w:tcBorders/>
            <w:vAlign w:val="center"/>
          </w:tcPr>
          <w:p>
            <w:pPr>
              <w:pStyle w:val="TableContents"/>
              <w:bidi w:val="0"/>
              <w:spacing w:before="0" w:after="0"/>
              <w:ind w:left="0" w:right="0" w:hanging="0"/>
              <w:jc w:val="right"/>
              <w:rPr/>
            </w:pPr>
            <w:r>
              <w:rPr/>
              <w:t>–</w:t>
            </w:r>
            <w:r>
              <w:rPr>
                <w:rFonts w:ascii="Arial;sans-serif" w:hAnsi="Arial;sans-serif"/>
                <w:b w:val="false"/>
                <w:sz w:val="18"/>
              </w:rPr>
              <w:t>%</w:t>
            </w:r>
          </w:p>
        </w:tc>
        <w:tc>
          <w:tcPr>
            <w:tcW w:w="422"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1219" w:type="dxa"/>
            <w:gridSpan w:val="2"/>
            <w:tcBorders/>
            <w:vAlign w:val="center"/>
          </w:tcPr>
          <w:p>
            <w:pPr>
              <w:pStyle w:val="TableContents"/>
              <w:bidi w:val="0"/>
              <w:spacing w:before="0" w:after="0"/>
              <w:ind w:left="0" w:right="0" w:hanging="0"/>
              <w:jc w:val="right"/>
              <w:rPr/>
            </w:pPr>
            <w:r>
              <w:rPr/>
              <w:t>–</w:t>
            </w:r>
            <w:r>
              <w:rPr>
                <w:rFonts w:ascii="Arial;sans-serif" w:hAnsi="Arial;sans-serif"/>
                <w:b w:val="false"/>
                <w:sz w:val="18"/>
              </w:rPr>
              <w:t>%</w:t>
            </w:r>
          </w:p>
        </w:tc>
        <w:tc>
          <w:tcPr>
            <w:tcW w:w="316" w:type="dxa"/>
            <w:tcBorders/>
            <w:vAlign w:val="center"/>
          </w:tcPr>
          <w:p>
            <w:pPr>
              <w:pStyle w:val="TableContents"/>
              <w:bidi w:val="0"/>
              <w:spacing w:before="0" w:after="0"/>
              <w:ind w:left="0" w:right="0" w:hanging="0"/>
              <w:jc w:val="right"/>
              <w:rPr/>
            </w:pPr>
            <w:r>
              <w:rPr/>
              <w:t> </w:t>
            </w:r>
          </w:p>
        </w:tc>
      </w:tr>
      <w:tr>
        <w:trPr/>
        <w:tc>
          <w:tcPr>
            <w:tcW w:w="26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Grant-date fair value per share</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0.91</w:t>
            </w:r>
          </w:p>
        </w:tc>
        <w:tc>
          <w:tcPr>
            <w:tcW w:w="422"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9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2.23</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Arial;sans-serif" w:hAnsi="Arial;sans-serif"/>
          <w:b w:val="false"/>
          <w:i/>
          <w:sz w:val="18"/>
        </w:rPr>
      </w:pPr>
      <w:r>
        <w:rPr>
          <w:rFonts w:ascii="Arial;sans-serif" w:hAnsi="Arial;sans-serif"/>
          <w:b w:val="false"/>
          <w:i/>
          <w:sz w:val="18"/>
        </w:rPr>
        <w:t>Stock-Based Compensation Expense</w:t>
      </w:r>
    </w:p>
    <w:p>
      <w:pPr>
        <w:pStyle w:val="TextBody"/>
        <w:bidi w:val="0"/>
        <w:spacing w:before="200" w:after="200"/>
        <w:jc w:val="both"/>
        <w:rPr>
          <w:rFonts w:ascii="Arial;sans-serif" w:hAnsi="Arial;sans-serif"/>
          <w:b w:val="false"/>
          <w:sz w:val="18"/>
        </w:rPr>
      </w:pPr>
      <w:r>
        <w:rPr>
          <w:rFonts w:ascii="Arial;sans-serif" w:hAnsi="Arial;sans-serif"/>
          <w:b w:val="false"/>
          <w:sz w:val="18"/>
        </w:rPr>
        <w:t>The following is a summary of stock-based compensation expense by award type (in thousands):</w:t>
      </w:r>
    </w:p>
    <w:tbl>
      <w:tblPr>
        <w:tblW w:w="9046" w:type="dxa"/>
        <w:jc w:val="left"/>
        <w:tblInd w:w="0" w:type="dxa"/>
        <w:tblLayout w:type="fixed"/>
        <w:tblCellMar>
          <w:top w:w="28" w:type="dxa"/>
          <w:left w:w="28" w:type="dxa"/>
          <w:bottom w:w="28" w:type="dxa"/>
          <w:right w:w="28" w:type="dxa"/>
        </w:tblCellMar>
      </w:tblPr>
      <w:tblGrid>
        <w:gridCol w:w="3511"/>
        <w:gridCol w:w="146"/>
        <w:gridCol w:w="279"/>
        <w:gridCol w:w="757"/>
        <w:gridCol w:w="193"/>
        <w:gridCol w:w="193"/>
        <w:gridCol w:w="279"/>
        <w:gridCol w:w="757"/>
        <w:gridCol w:w="146"/>
        <w:gridCol w:w="146"/>
        <w:gridCol w:w="255"/>
        <w:gridCol w:w="692"/>
        <w:gridCol w:w="177"/>
        <w:gridCol w:w="177"/>
        <w:gridCol w:w="255"/>
        <w:gridCol w:w="692"/>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Stock options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1,505</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2,848</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4,404</w:t>
            </w:r>
          </w:p>
        </w:tc>
        <w:tc>
          <w:tcPr>
            <w:tcW w:w="3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RSUs</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1,757</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3,880</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4,395</w:t>
            </w:r>
          </w:p>
        </w:tc>
        <w:tc>
          <w:tcPr>
            <w:tcW w:w="3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ESPP</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223</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452</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1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3,485</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4,415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7,180</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200"/>
        <w:jc w:val="both"/>
        <w:rPr>
          <w:rFonts w:ascii="Arial;sans-serif" w:hAnsi="Arial;sans-serif"/>
          <w:b w:val="false"/>
          <w:sz w:val="18"/>
        </w:rPr>
      </w:pPr>
      <w:r>
        <w:rPr>
          <w:rFonts w:ascii="Arial;sans-serif" w:hAnsi="Arial;sans-serif"/>
          <w:b w:val="false"/>
          <w:sz w:val="18"/>
        </w:rPr>
        <w:t>The following is a summary of stock-based compensation expense by function (in thousands):</w:t>
      </w:r>
    </w:p>
    <w:tbl>
      <w:tblPr>
        <w:tblW w:w="9046" w:type="dxa"/>
        <w:jc w:val="left"/>
        <w:tblInd w:w="0" w:type="dxa"/>
        <w:tblLayout w:type="fixed"/>
        <w:tblCellMar>
          <w:top w:w="28" w:type="dxa"/>
          <w:left w:w="28" w:type="dxa"/>
          <w:bottom w:w="28" w:type="dxa"/>
          <w:right w:w="28" w:type="dxa"/>
        </w:tblCellMar>
      </w:tblPr>
      <w:tblGrid>
        <w:gridCol w:w="3511"/>
        <w:gridCol w:w="146"/>
        <w:gridCol w:w="279"/>
        <w:gridCol w:w="757"/>
        <w:gridCol w:w="193"/>
        <w:gridCol w:w="193"/>
        <w:gridCol w:w="279"/>
        <w:gridCol w:w="757"/>
        <w:gridCol w:w="146"/>
        <w:gridCol w:w="146"/>
        <w:gridCol w:w="255"/>
        <w:gridCol w:w="692"/>
        <w:gridCol w:w="177"/>
        <w:gridCol w:w="177"/>
        <w:gridCol w:w="255"/>
        <w:gridCol w:w="692"/>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Cost of revenue</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436</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926</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903</w:t>
            </w:r>
          </w:p>
        </w:tc>
        <w:tc>
          <w:tcPr>
            <w:tcW w:w="3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Research and development</w:t>
            </w:r>
          </w:p>
        </w:tc>
        <w:tc>
          <w:tcPr>
            <w:tcW w:w="14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1,241</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2,486</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2,660</w:t>
            </w:r>
          </w:p>
        </w:tc>
        <w:tc>
          <w:tcPr>
            <w:tcW w:w="3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1,808</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3,768</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5,668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1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3,485</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4,415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7,180</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21" w:name="note_9_commitments_and_contingencies"/>
      <w:bookmarkEnd w:id="21"/>
      <w:r>
        <w:rPr>
          <w:rFonts w:ascii="Arial;sans-serif" w:hAnsi="Arial;sans-serif"/>
          <w:b/>
          <w:sz w:val="18"/>
        </w:rPr>
        <w:t>Note 9. Commitments</w:t>
      </w:r>
      <w:r>
        <w:rPr>
          <w:rFonts w:ascii="Times New Roman" w:hAnsi="Times New Roman"/>
          <w:sz w:val="20"/>
        </w:rPr>
        <w:t xml:space="preserve"> </w:t>
      </w:r>
      <w:r>
        <w:rPr>
          <w:rFonts w:ascii="Arial;sans-serif" w:hAnsi="Arial;sans-serif"/>
          <w:b/>
          <w:sz w:val="18"/>
        </w:rPr>
        <w:t>and Contingencies</w:t>
      </w:r>
    </w:p>
    <w:p>
      <w:pPr>
        <w:pStyle w:val="TextBody"/>
        <w:bidi w:val="0"/>
        <w:spacing w:before="200" w:after="0"/>
        <w:jc w:val="both"/>
        <w:rPr>
          <w:rFonts w:ascii="Arial;sans-serif" w:hAnsi="Arial;sans-serif"/>
          <w:b w:val="false"/>
          <w:i/>
          <w:sz w:val="18"/>
        </w:rPr>
      </w:pPr>
      <w:r>
        <w:rPr>
          <w:rFonts w:ascii="Arial;sans-serif" w:hAnsi="Arial;sans-serif"/>
          <w:b w:val="false"/>
          <w:i/>
          <w:sz w:val="18"/>
        </w:rPr>
        <w:t>Contingencies</w:t>
      </w:r>
    </w:p>
    <w:p>
      <w:pPr>
        <w:pStyle w:val="TextBody"/>
        <w:bidi w:val="0"/>
        <w:spacing w:before="200" w:after="0"/>
        <w:jc w:val="both"/>
        <w:rPr>
          <w:rFonts w:ascii="Times New Roman" w:hAnsi="Times New Roman"/>
          <w:sz w:val="20"/>
        </w:rPr>
      </w:pPr>
      <w:r>
        <w:rPr>
          <w:rFonts w:ascii="Arial;sans-serif" w:hAnsi="Arial;sans-serif"/>
          <w:b w:val="false"/>
          <w:sz w:val="18"/>
        </w:rPr>
        <w:t>On August 2, 2022, the Company filed a complaint in the U.S. District Court for the District of Colorado (the "District Court") against Foresight Diagnostics Inc. (“Foresight”) for patent infringement. The complaint is based on the Company’s U.S. Patent No. 10,450,611 (the “’611 Patent”), entitled “Personalized Genetic Testing,” our U.S. Patent No. 11,299,783 (the “’783 Patent”), entitled “Methods and Systems For Genetic Analysis,” and our U.S. Patent No. 11,384,394 (the “’394 Patent”), entitled “Methods and Systems for Genetic Analysis.” The ‘611 Patent was granted on October 22, 2019, and relates to methods for personalized genetic testing by performance of sequencing assays on biological samples. The ‘783 Patent was granted on April 12, 2022, and relates to methods for sample processing and data analysis by performance of sequencing assays on biological samples that can aid in the diagnosis, monitoring, treatment, and prevention of one or more diseases. The ‘394 Patent was granted on July 12, 2022, and relates to methods for sample processing and analysis to aid in the diagnosis, monitoring, treatment, and prevention of disease. On August 17, 2022, the Company filed an amended complaint for patent infringement against Foresight. The amended complaint added our U.S. Patent No.</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17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11,408,033 (the “’033 Patent”), entitled “Methods and Systems for Genetic Analysis.” The ‘033 Patent was granted on August 9, 2022, and relates to methods for sample processing and analysis to aid in the diagnosis, monitoring, treatment, and prevention of disease. The Company is seeking remedies including injunctive relief, damages and costs. On October 12, 2022, Foresight filed its answer and counterclaims in the matter, alleging and seeking declaratory judgement that its solid tumor recurrence test does not infringe the Company’s asserted patents and that the claims of our asserted patents are invalid and/or unenforceable. On November 2, 2022, the Company filed its answer to Foresight’s counterclaims. The Company intends to vigorously defend against these counterclaims.</w:t>
      </w:r>
    </w:p>
    <w:p>
      <w:pPr>
        <w:pStyle w:val="TextBody"/>
        <w:bidi w:val="0"/>
        <w:spacing w:before="200" w:after="0"/>
        <w:jc w:val="both"/>
        <w:rPr>
          <w:rFonts w:ascii="Times New Roman" w:hAnsi="Times New Roman"/>
          <w:sz w:val="20"/>
        </w:rPr>
      </w:pPr>
      <w:r>
        <w:rPr>
          <w:rFonts w:ascii="Arial;sans-serif" w:hAnsi="Arial;sans-serif"/>
          <w:b w:val="false"/>
          <w:sz w:val="18"/>
        </w:rPr>
        <w:t xml:space="preserve">Between November 30, 2022 and February 10, 2023, inclusive, Foresight filed four </w:t>
      </w:r>
      <w:r>
        <w:rPr>
          <w:rFonts w:ascii="Arial;sans-serif" w:hAnsi="Arial;sans-serif"/>
          <w:b w:val="false"/>
          <w:i/>
          <w:sz w:val="18"/>
        </w:rPr>
        <w:t xml:space="preserve">inter partes </w:t>
      </w:r>
      <w:r>
        <w:rPr>
          <w:rFonts w:ascii="Arial;sans-serif" w:hAnsi="Arial;sans-serif"/>
          <w:b w:val="false"/>
          <w:sz w:val="18"/>
        </w:rPr>
        <w:t xml:space="preserve">review petitions with the USPTO, seeking to invalidate the four patents that we are asserting against Foresight in our patent infringement action. Also on November 30, 2022, Foresight filed a motion to stay our patent infringement action in the District Court pending the resolution of the </w:t>
      </w:r>
      <w:r>
        <w:rPr>
          <w:rFonts w:ascii="Arial;sans-serif" w:hAnsi="Arial;sans-serif"/>
          <w:b w:val="false"/>
          <w:i/>
          <w:sz w:val="18"/>
        </w:rPr>
        <w:t xml:space="preserve">inter partes </w:t>
      </w:r>
      <w:r>
        <w:rPr>
          <w:rFonts w:ascii="Arial;sans-serif" w:hAnsi="Arial;sans-serif"/>
          <w:b w:val="false"/>
          <w:sz w:val="18"/>
        </w:rPr>
        <w:t xml:space="preserve">review proceedings that Foresight has requested. On January 24, 2023, the District Court granted Foresight’s motion to stay. On June 13, 2023, the USPTO issued decisions granting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 xml:space="preserve">reviews of the '394 and '033 Patents. On August 8, 2023, the USPTO issued decisions granting </w:t>
      </w:r>
      <w:r>
        <w:rPr>
          <w:rFonts w:ascii="Arial;sans-serif" w:hAnsi="Arial;sans-serif"/>
          <w:b w:val="false"/>
          <w:i/>
          <w:sz w:val="18"/>
        </w:rPr>
        <w:t xml:space="preserve">inter partes </w:t>
      </w:r>
      <w:r>
        <w:rPr>
          <w:rFonts w:ascii="Arial;sans-serif" w:hAnsi="Arial;sans-serif"/>
          <w:b w:val="false"/>
          <w:sz w:val="18"/>
        </w:rPr>
        <w:t>reviews of the '611 and '783 Patents.</w:t>
      </w:r>
    </w:p>
    <w:p>
      <w:pPr>
        <w:pStyle w:val="TextBody"/>
        <w:bidi w:val="0"/>
        <w:spacing w:before="200" w:after="0"/>
        <w:jc w:val="both"/>
        <w:rPr>
          <w:rFonts w:ascii="Arial;sans-serif" w:hAnsi="Arial;sans-serif"/>
          <w:b w:val="false"/>
          <w:sz w:val="18"/>
        </w:rPr>
      </w:pPr>
      <w:r>
        <w:rPr>
          <w:rFonts w:ascii="Arial;sans-serif" w:hAnsi="Arial;sans-serif"/>
          <w:b w:val="false"/>
          <w:sz w:val="18"/>
        </w:rPr>
        <w:t>On June 26, 2023, the Company filed a second complaint in the District Court against Foresight for patent infringement. The complaint is based on the Company’s U.S. Patent No. 11,584,968 (the “’968 Patent”), entitled “Methods For Using Mosaicism in Nucleic Acids Sampled Distal to Their Origin,” our U.S. Patent No. 11,649,507 (the “’507 Patent”), entitled “Methods for Using Mosaicism in Nucleic Acids Sampled Distal to Their Origin,” and our U.S. Patent No. 11,643,685 (the “’685 Patent”), entitled “Methods and Systems For Genetic Analysis.” The ’968 Patent was granted on February 21, 2023, and relates to methods for improving detection and monitoring of human diseases. The ’507 Patent was granted on May 16, 2023, and relates to methods for detection and monitoring of human disease by providing spatial or developmental localization of mutations within the body which is used in monitoring states of health in tissues of the body. The ’685 Patent was granted on May 9, 2023, and relates to methods for sample processing and analysis to aid in the diagnosis, monitoring, treatment, and prevention of disease. The Company is seeking remedies including injunctive relief, damages and costs. Foresight has yet to file its answer in the matter.</w:t>
      </w:r>
    </w:p>
    <w:p>
      <w:pPr>
        <w:pStyle w:val="TextBody"/>
        <w:bidi w:val="0"/>
        <w:spacing w:before="200" w:after="0"/>
        <w:jc w:val="both"/>
        <w:rPr>
          <w:rFonts w:ascii="Arial;sans-serif" w:hAnsi="Arial;sans-serif"/>
          <w:b w:val="false"/>
          <w:sz w:val="18"/>
        </w:rPr>
      </w:pPr>
      <w:r>
        <w:rPr>
          <w:rFonts w:ascii="Arial;sans-serif" w:hAnsi="Arial;sans-serif"/>
          <w:b w:val="false"/>
          <w:sz w:val="18"/>
        </w:rPr>
        <w:t>Litigation is inherently unpredictable, and, except for events that have already occurred, it is too early in the foregoing proceedings to predict the outcome of these proceedings, or any impact they may have on us. As such, the estimated financial effect associated with this complaint cannot be made as of the date of filing of this Quarterly Report on Form 10-Q. Litigation is a significant ongoing expense with an uncertain outcome and may in the future be a material expense for us. Management believes this investment is important to protect our intellectual property position, even recognizing the uncertainty of the outcome.</w:t>
      </w:r>
    </w:p>
    <w:p>
      <w:pPr>
        <w:pStyle w:val="TextBody"/>
        <w:bidi w:val="0"/>
        <w:spacing w:before="200" w:after="0"/>
        <w:jc w:val="both"/>
        <w:rPr>
          <w:rFonts w:ascii="Arial;sans-serif" w:hAnsi="Arial;sans-serif"/>
          <w:b w:val="false"/>
          <w:sz w:val="18"/>
        </w:rPr>
      </w:pPr>
      <w:r>
        <w:rPr>
          <w:rFonts w:ascii="Arial;sans-serif" w:hAnsi="Arial;sans-serif"/>
          <w:b w:val="false"/>
          <w:sz w:val="18"/>
        </w:rPr>
        <w:t>The Company is also subject to claims and assessments from time to time in the ordinary course of business. Accruals for litigation and loss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Except for the matter described in the first three paragraphs of this Note 9, as of June 30, 2023, the Company was not involved in any material adverse legal proceedings.</w:t>
      </w:r>
    </w:p>
    <w:p>
      <w:pPr>
        <w:pStyle w:val="TextBody"/>
        <w:bidi w:val="0"/>
        <w:spacing w:before="200" w:after="0"/>
        <w:jc w:val="both"/>
        <w:rPr>
          <w:rFonts w:ascii="Arial;sans-serif" w:hAnsi="Arial;sans-serif"/>
          <w:b w:val="false"/>
          <w:i/>
          <w:sz w:val="18"/>
        </w:rPr>
      </w:pPr>
      <w:r>
        <w:rPr>
          <w:rFonts w:ascii="Arial;sans-serif" w:hAnsi="Arial;sans-serif"/>
          <w:b w:val="false"/>
          <w:i/>
          <w:sz w:val="18"/>
        </w:rPr>
        <w:t>Indemnification</w:t>
      </w:r>
    </w:p>
    <w:p>
      <w:pPr>
        <w:pStyle w:val="TextBody"/>
        <w:bidi w:val="0"/>
        <w:spacing w:before="200" w:after="0"/>
        <w:jc w:val="both"/>
        <w:rPr>
          <w:rFonts w:ascii="Arial;sans-serif" w:hAnsi="Arial;sans-serif"/>
          <w:b w:val="false"/>
          <w:sz w:val="18"/>
        </w:rPr>
      </w:pPr>
      <w:r>
        <w:rPr>
          <w:rFonts w:ascii="Arial;sans-serif" w:hAnsi="Arial;sans-serif"/>
          <w:b w:val="false"/>
          <w:sz w:val="18"/>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200" w:after="0"/>
        <w:jc w:val="both"/>
        <w:rPr>
          <w:rFonts w:ascii="Times New Roman" w:hAnsi="Times New Roman"/>
          <w:sz w:val="20"/>
        </w:rPr>
      </w:pPr>
      <w:bookmarkStart w:id="22" w:name="note_10_basic_and_diluted_eps"/>
      <w:bookmarkEnd w:id="22"/>
      <w:r>
        <w:rPr>
          <w:rFonts w:ascii="Arial;sans-serif" w:hAnsi="Arial;sans-serif"/>
          <w:b/>
          <w:sz w:val="18"/>
        </w:rPr>
        <w:t>Note 10. Basic and Diluted</w:t>
      </w:r>
      <w:r>
        <w:rPr>
          <w:rFonts w:ascii="Times New Roman" w:hAnsi="Times New Roman"/>
          <w:sz w:val="20"/>
        </w:rPr>
        <w:t xml:space="preserve"> </w:t>
      </w:r>
      <w:r>
        <w:rPr>
          <w:rFonts w:ascii="Arial;sans-serif" w:hAnsi="Arial;sans-serif"/>
          <w:b/>
          <w:sz w:val="18"/>
        </w:rPr>
        <w:t>Net Loss Per Common Share</w:t>
      </w:r>
    </w:p>
    <w:p>
      <w:pPr>
        <w:pStyle w:val="TextBody"/>
        <w:bidi w:val="0"/>
        <w:spacing w:before="200" w:after="0"/>
        <w:jc w:val="both"/>
        <w:rPr>
          <w:rFonts w:ascii="Arial;sans-serif" w:hAnsi="Arial;sans-serif"/>
          <w:b w:val="false"/>
          <w:sz w:val="18"/>
        </w:rPr>
      </w:pPr>
      <w:r>
        <w:rPr>
          <w:rFonts w:ascii="Arial;sans-serif" w:hAnsi="Arial;sans-serif"/>
          <w:b w:val="false"/>
          <w:sz w:val="18"/>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assumed release of outstanding RSUs, and assumed issuance of common stock under the ESPP using the treasury stock method. The Company incurred net losses in the periods presented, and as a result, potential common shares from stock options, RSUs, and the assumed release of outstanding shares under the ESPP were not included in the diluted shares used to calculate net loss per share, as their inclusion would have been anti-dilutive.</w:t>
      </w:r>
    </w:p>
    <w:p>
      <w:pPr>
        <w:pStyle w:val="TextBody"/>
        <w:bidi w:val="0"/>
        <w:spacing w:before="240" w:after="0"/>
        <w:jc w:val="center"/>
        <w:rPr>
          <w:rFonts w:ascii="Arial;sans-serif" w:hAnsi="Arial;sans-serif"/>
          <w:b w:val="false"/>
          <w:sz w:val="18"/>
        </w:rPr>
      </w:pPr>
      <w:r>
        <w:rPr>
          <w:rFonts w:ascii="Arial;sans-serif" w:hAnsi="Arial;sans-serif"/>
          <w:b w:val="false"/>
          <w:sz w:val="18"/>
        </w:rPr>
        <w:t>18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200"/>
        <w:jc w:val="both"/>
        <w:rPr>
          <w:rFonts w:ascii="Arial;sans-serif" w:hAnsi="Arial;sans-serif"/>
          <w:b w:val="false"/>
          <w:sz w:val="18"/>
        </w:rPr>
      </w:pPr>
      <w:r>
        <w:rPr>
          <w:rFonts w:ascii="Arial;sans-serif" w:hAnsi="Arial;sans-serif"/>
          <w:b w:val="false"/>
          <w:sz w:val="18"/>
        </w:rPr>
        <w:t>The following table sets forth the computation of basic and diluted net loss per share attributable to common stockholders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2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(23,955</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(27,546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(52,614</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(55,755</w:t>
            </w:r>
          </w:p>
        </w:tc>
        <w:tc>
          <w:tcPr>
            <w:tcW w:w="411" w:type="dxa"/>
            <w:tcBorders/>
            <w:vAlign w:val="center"/>
          </w:tcPr>
          <w:p>
            <w:pPr>
              <w:pStyle w:val="TableContents"/>
              <w:bidi w:val="0"/>
              <w:spacing w:before="0" w:after="0"/>
              <w:ind w:left="0" w:right="0" w:firstLine="200"/>
              <w:jc w:val="left"/>
              <w:rPr>
                <w:rFonts w:ascii="Arial;sans-serif" w:hAnsi="Arial;sans-serif"/>
                <w:b w:val="false"/>
                <w:sz w:val="18"/>
              </w:rPr>
            </w:pPr>
            <w:r>
              <w:rPr>
                <w:rFonts w:ascii="Arial;sans-serif" w:hAnsi="Arial;sans-serif"/>
                <w:b w:val="false"/>
                <w:sz w:val="18"/>
              </w:rPr>
              <w:t>)</w:t>
            </w:r>
          </w:p>
        </w:tc>
      </w:tr>
      <w:tr>
        <w:trPr/>
        <w:tc>
          <w:tcPr>
            <w:tcW w:w="3724"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Weighted-average common shares outstanding—basic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47,669,513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45,637,838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47,204,891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45,316,795</w:t>
            </w:r>
          </w:p>
        </w:tc>
        <w:tc>
          <w:tcPr>
            <w:tcW w:w="411" w:type="dxa"/>
            <w:tcBorders/>
            <w:vAlign w:val="center"/>
          </w:tcPr>
          <w:p>
            <w:pPr>
              <w:pStyle w:val="TableContents"/>
              <w:bidi w:val="0"/>
              <w:spacing w:before="0" w:after="0"/>
              <w:ind w:left="0" w:right="0" w:hanging="0"/>
              <w:jc w:val="left"/>
              <w:rPr/>
            </w:pPr>
            <w:r>
              <w:rPr/>
              <w:t> </w:t>
            </w:r>
          </w:p>
        </w:tc>
      </w:tr>
      <w:tr>
        <w:trPr/>
        <w:tc>
          <w:tcPr>
            <w:tcW w:w="372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loss per common share—basic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(0.50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(0.60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bl>
    <w:p>
      <w:pPr>
        <w:pStyle w:val="TextBody"/>
        <w:bidi w:val="0"/>
        <w:spacing w:before="200" w:after="200"/>
        <w:jc w:val="both"/>
        <w:rPr>
          <w:rFonts w:ascii="Arial;sans-serif" w:hAnsi="Arial;sans-serif"/>
          <w:b w:val="false"/>
          <w:sz w:val="18"/>
        </w:rPr>
      </w:pPr>
      <w:r>
        <w:rPr>
          <w:rFonts w:ascii="Arial;sans-serif" w:hAnsi="Arial;sans-serif"/>
          <w:b w:val="false"/>
          <w:sz w:val="18"/>
        </w:rPr>
        <w:t>The following table sets forth the potentially dilutive shares excluded from the computation of diluted net loss per common share because their effect was anti-dilutive:</w:t>
      </w:r>
    </w:p>
    <w:tbl>
      <w:tblPr>
        <w:tblW w:w="8702" w:type="dxa"/>
        <w:jc w:val="left"/>
        <w:tblInd w:w="0" w:type="dxa"/>
        <w:tblLayout w:type="fixed"/>
        <w:tblCellMar>
          <w:top w:w="28" w:type="dxa"/>
          <w:left w:w="28" w:type="dxa"/>
          <w:bottom w:w="28" w:type="dxa"/>
          <w:right w:w="28" w:type="dxa"/>
        </w:tblCellMar>
      </w:tblPr>
      <w:tblGrid>
        <w:gridCol w:w="2971"/>
        <w:gridCol w:w="146"/>
        <w:gridCol w:w="146"/>
        <w:gridCol w:w="936"/>
        <w:gridCol w:w="146"/>
        <w:gridCol w:w="146"/>
        <w:gridCol w:w="146"/>
        <w:gridCol w:w="936"/>
        <w:gridCol w:w="146"/>
        <w:gridCol w:w="146"/>
        <w:gridCol w:w="146"/>
        <w:gridCol w:w="931"/>
        <w:gridCol w:w="146"/>
        <w:gridCol w:w="146"/>
        <w:gridCol w:w="146"/>
        <w:gridCol w:w="93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7,748,908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5,051,580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7,748,908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5,051,580</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Unvested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1,729,788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1,548,567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1,729,788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1,548,567</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ESPP</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427,009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125,613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427,009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125,613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9,905,705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6,725,760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9,905,705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6,725,760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Arial;sans-serif" w:hAnsi="Arial;sans-serif"/>
          <w:b/>
          <w:sz w:val="18"/>
        </w:rPr>
      </w:pPr>
      <w:bookmarkStart w:id="23" w:name="note_11_restructuring"/>
      <w:bookmarkEnd w:id="23"/>
      <w:r>
        <w:rPr>
          <w:rFonts w:ascii="Arial;sans-serif" w:hAnsi="Arial;sans-serif"/>
          <w:b/>
          <w:sz w:val="18"/>
        </w:rPr>
        <w:t>Note 11. Restructuring and Other Charges</w:t>
      </w:r>
    </w:p>
    <w:p>
      <w:pPr>
        <w:pStyle w:val="TextBody"/>
        <w:bidi w:val="0"/>
        <w:spacing w:before="200" w:after="0"/>
        <w:jc w:val="both"/>
        <w:rPr>
          <w:rFonts w:ascii="Arial;sans-serif" w:hAnsi="Arial;sans-serif"/>
          <w:b w:val="false"/>
          <w:sz w:val="18"/>
        </w:rPr>
      </w:pPr>
      <w:r>
        <w:rPr>
          <w:rFonts w:ascii="Arial;sans-serif" w:hAnsi="Arial;sans-serif"/>
          <w:b w:val="false"/>
          <w:sz w:val="18"/>
        </w:rPr>
        <w:t>Restructuring and Other Charges in the condensed consolidated statements of operations consist of restructuring charges in connection with the Company's 2023 reduction in workforce and charges in connection with the closure of the Company's China operations.</w:t>
      </w:r>
    </w:p>
    <w:p>
      <w:pPr>
        <w:pStyle w:val="TextBody"/>
        <w:bidi w:val="0"/>
        <w:spacing w:before="200" w:after="0"/>
        <w:jc w:val="both"/>
        <w:rPr>
          <w:rFonts w:ascii="Times New Roman" w:hAnsi="Times New Roman"/>
          <w:sz w:val="20"/>
        </w:rPr>
      </w:pPr>
      <w:r>
        <w:rPr>
          <w:rFonts w:ascii="Arial;sans-serif" w:hAnsi="Arial;sans-serif"/>
          <w:b w:val="false"/>
          <w:i/>
          <w:sz w:val="18"/>
        </w:rPr>
        <w:t xml:space="preserve">Restructuring. </w:t>
      </w:r>
      <w:r>
        <w:rPr>
          <w:rFonts w:ascii="Arial;sans-serif" w:hAnsi="Arial;sans-serif"/>
          <w:b w:val="false"/>
          <w:sz w:val="18"/>
        </w:rPr>
        <w:t>In January 2023, the Company initiated a reduction in the Company’s workforce to reduce operating costs and improve operating efficiency. The workforce reduction affected nearly 100</w:t>
      </w:r>
      <w:r>
        <w:rPr>
          <w:rFonts w:ascii="Times New Roman" w:hAnsi="Times New Roman"/>
          <w:sz w:val="20"/>
        </w:rPr>
        <w:t xml:space="preserve"> </w:t>
      </w:r>
      <w:r>
        <w:rPr>
          <w:rFonts w:ascii="Arial;sans-serif" w:hAnsi="Arial;sans-serif"/>
          <w:b w:val="false"/>
          <w:sz w:val="18"/>
        </w:rPr>
        <w:t>employees and was substantially completed during the first quarter of 2023. The Company recognized $3.1</w:t>
      </w:r>
      <w:r>
        <w:rPr>
          <w:rFonts w:ascii="Times New Roman" w:hAnsi="Times New Roman"/>
          <w:sz w:val="20"/>
        </w:rPr>
        <w:t xml:space="preserve"> </w:t>
      </w:r>
      <w:r>
        <w:rPr>
          <w:rFonts w:ascii="Arial;sans-serif" w:hAnsi="Arial;sans-serif"/>
          <w:b w:val="false"/>
          <w:sz w:val="18"/>
        </w:rPr>
        <w:t>million in one-time employee termination benefits during the first quarter of 2023 in connection with the reduction in workforce, comprising separation pay and healthcare benefits payable in cash, all of which were paid as of June 30, 2023.</w:t>
      </w:r>
    </w:p>
    <w:p>
      <w:pPr>
        <w:pStyle w:val="TextBody"/>
        <w:bidi w:val="0"/>
        <w:spacing w:before="200" w:after="0"/>
        <w:jc w:val="both"/>
        <w:rPr>
          <w:rFonts w:ascii="Times New Roman" w:hAnsi="Times New Roman"/>
          <w:sz w:val="20"/>
        </w:rPr>
      </w:pPr>
      <w:r>
        <w:rPr>
          <w:rFonts w:ascii="Arial;sans-serif" w:hAnsi="Arial;sans-serif"/>
          <w:b w:val="false"/>
          <w:i/>
          <w:sz w:val="18"/>
        </w:rPr>
        <w:t>Closure of China Operations</w:t>
      </w:r>
      <w:r>
        <w:rPr>
          <w:rFonts w:ascii="Arial;sans-serif" w:hAnsi="Arial;sans-serif"/>
          <w:b w:val="false"/>
          <w:sz w:val="18"/>
        </w:rPr>
        <w:t>. In February 2023, the Company resolved to terminate operations, carry out liquidation work, and dissolve the Company's Personalis (Shanghai) Ltd entity in China with the objective of streamlining international operations and reducing operating costs. The Company anticipates completing the dissolution of the entity by the end of 2023. The disposal does not qualify for reporting as a discontinued operation because it does not represent a strategic shift that has or will have a major effect on our operations and financial results.</w:t>
      </w:r>
    </w:p>
    <w:p>
      <w:pPr>
        <w:pStyle w:val="TextBody"/>
        <w:bidi w:val="0"/>
        <w:spacing w:before="200" w:after="0"/>
        <w:jc w:val="both"/>
        <w:rPr>
          <w:rFonts w:ascii="Times New Roman" w:hAnsi="Times New Roman"/>
          <w:sz w:val="20"/>
        </w:rPr>
      </w:pPr>
      <w:r>
        <w:rPr>
          <w:rFonts w:ascii="Arial;sans-serif" w:hAnsi="Arial;sans-serif"/>
          <w:b w:val="false"/>
          <w:sz w:val="18"/>
        </w:rPr>
        <w:t>During the three and six months ended June 30, 2023, expenses of $0.1</w:t>
      </w:r>
      <w:r>
        <w:rPr>
          <w:rFonts w:ascii="Times New Roman" w:hAnsi="Times New Roman"/>
          <w:sz w:val="20"/>
        </w:rPr>
        <w:t xml:space="preserve"> </w:t>
      </w:r>
      <w:r>
        <w:rPr>
          <w:rFonts w:ascii="Arial;sans-serif" w:hAnsi="Arial;sans-serif"/>
          <w:b w:val="false"/>
          <w:sz w:val="18"/>
        </w:rPr>
        <w:t>million and $0.9</w:t>
      </w:r>
      <w:r>
        <w:rPr>
          <w:rFonts w:ascii="Times New Roman" w:hAnsi="Times New Roman"/>
          <w:sz w:val="20"/>
        </w:rPr>
        <w:t xml:space="preserve"> </w:t>
      </w:r>
      <w:r>
        <w:rPr>
          <w:rFonts w:ascii="Arial;sans-serif" w:hAnsi="Arial;sans-serif"/>
          <w:b w:val="false"/>
          <w:sz w:val="18"/>
        </w:rPr>
        <w:t>million were recognized, respectively, in connection with closure activities. $0.3</w:t>
      </w:r>
      <w:r>
        <w:rPr>
          <w:rFonts w:ascii="Times New Roman" w:hAnsi="Times New Roman"/>
          <w:sz w:val="20"/>
        </w:rPr>
        <w:t xml:space="preserve"> </w:t>
      </w:r>
      <w:r>
        <w:rPr>
          <w:rFonts w:ascii="Arial;sans-serif" w:hAnsi="Arial;sans-serif"/>
          <w:b w:val="false"/>
          <w:sz w:val="18"/>
        </w:rPr>
        <w:t>million of such expenses related to one-time employee termination benefits for the Company's 12</w:t>
      </w:r>
      <w:r>
        <w:rPr>
          <w:rFonts w:ascii="Times New Roman" w:hAnsi="Times New Roman"/>
          <w:sz w:val="20"/>
        </w:rPr>
        <w:t xml:space="preserve"> </w:t>
      </w:r>
      <w:r>
        <w:rPr>
          <w:rFonts w:ascii="Arial;sans-serif" w:hAnsi="Arial;sans-serif"/>
          <w:b w:val="false"/>
          <w:sz w:val="18"/>
        </w:rPr>
        <w:t>employees located in China and were payable in cash. Substantially all of the terminations were completed during the first quarter of 2023, along with the related cash outlays. The remaining $0.6</w:t>
      </w:r>
      <w:r>
        <w:rPr>
          <w:rFonts w:ascii="Times New Roman" w:hAnsi="Times New Roman"/>
          <w:sz w:val="20"/>
        </w:rPr>
        <w:t xml:space="preserve"> </w:t>
      </w:r>
      <w:r>
        <w:rPr>
          <w:rFonts w:ascii="Arial;sans-serif" w:hAnsi="Arial;sans-serif"/>
          <w:b w:val="false"/>
          <w:sz w:val="18"/>
        </w:rPr>
        <w:t>million in expenses were comprised primarily of non-cash charges, including losses on disposal of fixed assets and impairments of other assets. The Company may incur additional costs as closure activities continue throughout 2023, however, such future costs are not expected to be significant.</w:t>
      </w:r>
    </w:p>
    <w:p>
      <w:pPr>
        <w:pStyle w:val="TextBody"/>
        <w:bidi w:val="0"/>
        <w:spacing w:before="240" w:after="0"/>
        <w:jc w:val="center"/>
        <w:rPr>
          <w:rFonts w:ascii="Arial;sans-serif" w:hAnsi="Arial;sans-serif"/>
          <w:b w:val="false"/>
          <w:sz w:val="18"/>
        </w:rPr>
      </w:pPr>
      <w:r>
        <w:rPr>
          <w:rFonts w:ascii="Arial;sans-serif" w:hAnsi="Arial;sans-serif"/>
          <w:b w:val="false"/>
          <w:sz w:val="18"/>
        </w:rPr>
        <w:t>19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24" w:name="item_2_managements_discussion_analysis_f"/>
      <w:bookmarkEnd w:id="24"/>
      <w:r>
        <w:rPr>
          <w:rFonts w:ascii="Arial;sans-serif" w:hAnsi="Arial;sans-serif"/>
          <w:b/>
          <w:sz w:val="18"/>
        </w:rPr>
        <w:t>Item 2. Management’s Discussion and Analysis</w:t>
      </w:r>
      <w:r>
        <w:rPr>
          <w:rFonts w:ascii="Times New Roman" w:hAnsi="Times New Roman"/>
          <w:sz w:val="20"/>
        </w:rPr>
        <w:t xml:space="preserve"> </w:t>
      </w:r>
      <w:r>
        <w:rPr>
          <w:rFonts w:ascii="Arial;sans-serif" w:hAnsi="Arial;sans-serif"/>
          <w:b/>
          <w:sz w:val="18"/>
        </w:rPr>
        <w:t>of Financial Condition and Results of Operations.</w:t>
      </w:r>
    </w:p>
    <w:p>
      <w:pPr>
        <w:pStyle w:val="TextBody"/>
        <w:bidi w:val="0"/>
        <w:spacing w:before="200" w:after="0"/>
        <w:jc w:val="both"/>
        <w:rPr>
          <w:rFonts w:ascii="Arial;sans-serif" w:hAnsi="Arial;sans-serif"/>
          <w:b w:val="false"/>
          <w:i/>
          <w:sz w:val="18"/>
        </w:rPr>
      </w:pPr>
      <w:r>
        <w:rPr>
          <w:rFonts w:ascii="Arial;sans-serif" w:hAnsi="Arial;sans-serif"/>
          <w:b w:val="false"/>
          <w:i/>
          <w:sz w:val="18"/>
        </w:rPr>
        <w:t>The following discussion and analysis of our financial condition and results of operations should be read in conjunction with our unaudited condensed consolidated financial statements and the related notes and other financial information included elsewhere in this Quarterly Report on Form 10-Q and our Annual Report on Form 10-K for the fiscal year ended December 31, 2022 filed with the Securities and Exchange Commission (the “SEC”) on February 23, 2023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pStyle w:val="TextBody"/>
        <w:bidi w:val="0"/>
        <w:spacing w:before="200" w:after="0"/>
        <w:jc w:val="both"/>
        <w:rPr>
          <w:rFonts w:ascii="Arial;sans-serif" w:hAnsi="Arial;sans-serif"/>
          <w:b/>
          <w:sz w:val="18"/>
        </w:rPr>
      </w:pPr>
      <w:r>
        <w:rPr>
          <w:rFonts w:ascii="Arial;sans-serif" w:hAnsi="Arial;sans-serif"/>
          <w:b/>
          <w:sz w:val="18"/>
        </w:rPr>
        <w:t>Overview</w:t>
      </w:r>
    </w:p>
    <w:p>
      <w:pPr>
        <w:pStyle w:val="TextBody"/>
        <w:bidi w:val="0"/>
        <w:spacing w:before="200" w:after="0"/>
        <w:jc w:val="both"/>
        <w:rPr>
          <w:rFonts w:ascii="Arial;sans-serif" w:hAnsi="Arial;sans-serif"/>
          <w:b w:val="false"/>
          <w:sz w:val="18"/>
        </w:rPr>
      </w:pPr>
      <w:r>
        <w:rPr>
          <w:rFonts w:ascii="Arial;sans-serif" w:hAnsi="Arial;sans-serif"/>
          <w:b w:val="false"/>
          <w:sz w:val="18"/>
        </w:rPr>
        <w:t>We strive to develop the most comprehensive and actionable cancer genomic tests in the world to help patients live better and longer lives. We believe we have one of the most discerning technologies to both characterize and monitor cancer – with the aim of driving a new paradigm for cancer management and guiding care from biopsy through the life of the patient. Our assays combine tumor-and-normal profiling with proprietary algorithms to deliver advanced insights even as cancer evolves over time. Our products are designed to detect recurrence at the earliest timepoints, enable selection of targeted therapies based on ultra-comprehensive genomic profiling, and enhance biomarker strategy for drug development.</w:t>
      </w:r>
    </w:p>
    <w:p>
      <w:pPr>
        <w:pStyle w:val="TextBody"/>
        <w:bidi w:val="0"/>
        <w:spacing w:before="200" w:after="0"/>
        <w:jc w:val="both"/>
        <w:rPr>
          <w:rFonts w:ascii="Arial;sans-serif" w:hAnsi="Arial;sans-serif"/>
          <w:b w:val="false"/>
          <w:sz w:val="18"/>
        </w:rPr>
      </w:pPr>
      <w:r>
        <w:rPr>
          <w:rFonts w:ascii="Arial;sans-serif" w:hAnsi="Arial;sans-serif"/>
          <w:b w:val="false"/>
          <w:sz w:val="18"/>
        </w:rPr>
        <w:t>Today, our platforms are routinely used by many of the largest oncology-focused pharmaceutical companies for analysis of patient samples in their clinical trials and drug development programs. Our advanced genomic sequencing and analytics also support the development of personalized cancer vaccines and other next-generation cancer immunotherapies. For example, we are providing genomic testing to Moderna, Inc. ("Moderna") in its ongoing clinical trials evaluating a personalized cancer vaccine. In addition, we partner with diagnostics companies by providing our advanced tumor profiling and analysis capabilities as an input to their products. More recently, we launched new diagnostic offerings for the clinical setting and are preparing for future expansion in the clinical diagnostics market. Finally, we have also pursued non-cancer related business opportunities, specifically within the population sequencing market, by providing whole genome sequencing ("WGS") services under contract with the U.S. Department of Veterans Affairs Million Veteran Program ("VA MVP").</w:t>
      </w:r>
    </w:p>
    <w:p>
      <w:pPr>
        <w:pStyle w:val="TextBody"/>
        <w:bidi w:val="0"/>
        <w:spacing w:before="200" w:after="0"/>
        <w:jc w:val="both"/>
        <w:rPr>
          <w:rFonts w:ascii="Arial;sans-serif" w:hAnsi="Arial;sans-serif"/>
          <w:b w:val="false"/>
          <w:sz w:val="18"/>
        </w:rPr>
      </w:pPr>
      <w:r>
        <w:rPr>
          <w:rFonts w:ascii="Arial;sans-serif" w:hAnsi="Arial;sans-serif"/>
          <w:b w:val="false"/>
          <w:sz w:val="18"/>
        </w:rPr>
        <w:t>As part of one of our new strategies for 2023 and beyond, we are working with a growing number of leading cancer centers and world-class academic research institutions to build and publish the clinical evidence-base to support our products and our key indications. Specifically, because of the high sensitivity of our technology, we aim to focus on three indications in the next 2-3 years: immunotherapy (IO) monitoring, breast cancer, and lung cancer. We have collaborations with Cancer Research UK, University College London, and the Francis Crick Institute (the TRACERx study); Vall d'Hebron Institute of Oncology ("VHIO"); BC Cancer; Duke University; UCSF; and Criterium and the Academic Breast Cancer Consortium that will focus on building the evidence-base for our technology and these indications. If the key opinion leaders ("KOLs") we are collaborating with have a positive experience using our platform, we are optimistic this will support broader use of our platform by other KOLS, as well as clinicians in the future.</w:t>
      </w:r>
    </w:p>
    <w:p>
      <w:pPr>
        <w:pStyle w:val="TextBody"/>
        <w:bidi w:val="0"/>
        <w:spacing w:before="200" w:after="0"/>
        <w:jc w:val="both"/>
        <w:rPr>
          <w:rFonts w:ascii="Arial;sans-serif" w:hAnsi="Arial;sans-serif"/>
          <w:b w:val="false"/>
          <w:sz w:val="18"/>
        </w:rPr>
      </w:pPr>
      <w:r>
        <w:rPr>
          <w:rFonts w:ascii="Arial;sans-serif" w:hAnsi="Arial;sans-serif"/>
          <w:b w:val="false"/>
          <w:sz w:val="18"/>
        </w:rPr>
        <w:t>Our work in oncology is underpinned by our experience and capacity for next-generation sequencing at scale. We have the capacity to sequence and analyze approximately 200 trillion bases of DNA per week in our facility. We believe that our capacity is already larger than most cancer genomics companies, and we continue to build automation and other infrastructure to scale further as demand increases. To date, we have sequenced more than 340,000 human samples, of which more than 170,000 were whole human genomes.</w:t>
      </w:r>
    </w:p>
    <w:p>
      <w:pPr>
        <w:pStyle w:val="TextBody"/>
        <w:bidi w:val="0"/>
        <w:spacing w:before="200" w:after="0"/>
        <w:jc w:val="both"/>
        <w:rPr>
          <w:rFonts w:ascii="Arial;sans-serif" w:hAnsi="Arial;sans-serif"/>
          <w:b w:val="false"/>
          <w:sz w:val="18"/>
        </w:rPr>
      </w:pPr>
      <w:r>
        <w:rPr>
          <w:rFonts w:ascii="Arial;sans-serif" w:hAnsi="Arial;sans-serif"/>
          <w:b w:val="false"/>
          <w:sz w:val="18"/>
        </w:rPr>
        <w:t>In October 2022, we relocated our corporate headquarters from Menlo Park, California to a new facility in Fremont, California. We signed a 13.5-year lease that extends to 2036 for the 100,000 square foot facility, which is approximately triple the size of our Menlo Park location. The new facility allows for expansion of our laboratory to support pharmaceutical customers and clinical diagnostic testing. In addition, the new space is intended to support the expansion of research and development efforts to bring leading edge products and services to the marketplace. We intend to vacate our Menlo Park facility in the future when all office and laboratory activities have been moved to the Fremont headquarters.</w:t>
      </w:r>
    </w:p>
    <w:p>
      <w:pPr>
        <w:pStyle w:val="TextBody"/>
        <w:bidi w:val="0"/>
        <w:spacing w:before="200" w:after="200"/>
        <w:jc w:val="both"/>
        <w:rPr>
          <w:rFonts w:ascii="Arial;sans-serif" w:hAnsi="Arial;sans-serif"/>
          <w:b/>
          <w:sz w:val="18"/>
        </w:rPr>
      </w:pPr>
      <w:r>
        <w:rPr>
          <w:rFonts w:ascii="Arial;sans-serif" w:hAnsi="Arial;sans-serif"/>
          <w:b/>
          <w:sz w:val="18"/>
        </w:rPr>
        <w:t>Second Quarter 2023 Highlights</w:t>
      </w:r>
    </w:p>
    <w:p>
      <w:pPr>
        <w:pStyle w:val="TextBody"/>
        <w:bidi w:val="0"/>
        <w:spacing w:before="200" w:after="0"/>
        <w:jc w:val="both"/>
        <w:rPr>
          <w:rFonts w:ascii="Arial;sans-serif" w:hAnsi="Arial;sans-serif"/>
          <w:b w:val="false"/>
          <w:sz w:val="18"/>
        </w:rPr>
      </w:pPr>
      <w:r>
        <w:rPr>
          <w:rFonts w:ascii="Arial;sans-serif" w:hAnsi="Arial;sans-serif"/>
          <w:b w:val="false"/>
          <w:sz w:val="18"/>
        </w:rPr>
        <w:t>Total revenue decreased 8%, or $1.5 million, during the second quarter of 2023 compared to the same period of last year, primarily due to lower revenue from pharma tests and population sequencing. Revenue from pharma tests was $6.1 million in the second quarter of 2023 compared to $7.3 million in the second quarter of 2022, a decrease of 16%. Revenue from population sequencing was $3.0 million in the second quarter of 2023 compared to $4.0 million in the second quarter of 2022, a decrease of 26%. Partially offsetting these decreases was higher sales to Natera under our partnership to provide advanced tumor analysis for use in Natera's minimal residual disease ("MRD") testing offerings, which increased from $6.9 million in the second quarter of 2022 to $7.4 million in the second quarter of 2023, or 7%.</w:t>
      </w:r>
    </w:p>
    <w:p>
      <w:pPr>
        <w:pStyle w:val="TextBody"/>
        <w:bidi w:val="0"/>
        <w:spacing w:before="200" w:after="0"/>
        <w:jc w:val="both"/>
        <w:rPr>
          <w:rFonts w:ascii="Arial;sans-serif" w:hAnsi="Arial;sans-serif"/>
          <w:b w:val="false"/>
          <w:sz w:val="18"/>
        </w:rPr>
      </w:pPr>
      <w:r>
        <w:rPr>
          <w:rFonts w:ascii="Arial;sans-serif" w:hAnsi="Arial;sans-serif"/>
          <w:b w:val="false"/>
          <w:sz w:val="18"/>
        </w:rPr>
        <w:t>We announce new product offerings, business developments, and research collaborations at various times during the year. Significant developments during the second quarter of 2023 included the following:</w:t>
      </w:r>
    </w:p>
    <w:p>
      <w:pPr>
        <w:pStyle w:val="TextBody"/>
        <w:bidi w:val="0"/>
        <w:spacing w:before="240" w:after="0"/>
        <w:jc w:val="center"/>
        <w:rPr>
          <w:rFonts w:ascii="Arial;sans-serif" w:hAnsi="Arial;sans-serif"/>
          <w:b w:val="false"/>
          <w:sz w:val="18"/>
        </w:rPr>
      </w:pPr>
      <w:r>
        <w:rPr>
          <w:rFonts w:ascii="Arial;sans-serif" w:hAnsi="Arial;sans-serif"/>
          <w:b w:val="false"/>
          <w:sz w:val="18"/>
        </w:rPr>
        <w:t>20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Announced a collaboration with National Cancer Center Hospital East and Ono Pharmaceutical Co. Ltd to perform exploratory biomarker analysis using highly sensitive and comprehensive genomic tests from Personalis to better predict immunotherapy response for resectable rectal cancer with mismatch repair deficiency (dMMR).</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Received notice from the VA MVP that it has exercised the first of four one-year renewal options under the September 2022 contract.</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Filed second patent infringement lawsuit against Foresight Diagnostics as part of the Company’s continuing efforts to protect its investment and industry-leading intellectual property position in whole genome, tumor-informed minimal residual disease (MRD) testing.</w:t>
      </w:r>
    </w:p>
    <w:p>
      <w:pPr>
        <w:pStyle w:val="TextBody"/>
        <w:bidi w:val="0"/>
        <w:spacing w:before="200" w:after="0"/>
        <w:jc w:val="both"/>
        <w:rPr>
          <w:rFonts w:ascii="Arial;sans-serif" w:hAnsi="Arial;sans-serif"/>
          <w:b/>
          <w:sz w:val="18"/>
        </w:rPr>
      </w:pPr>
      <w:r>
        <w:rPr>
          <w:rFonts w:ascii="Arial;sans-serif" w:hAnsi="Arial;sans-serif"/>
          <w:b/>
          <w:sz w:val="18"/>
        </w:rPr>
        <w:t>Components of Operating Results</w:t>
      </w:r>
    </w:p>
    <w:p>
      <w:pPr>
        <w:pStyle w:val="TextBody"/>
        <w:bidi w:val="0"/>
        <w:spacing w:before="200" w:after="0"/>
        <w:jc w:val="both"/>
        <w:rPr>
          <w:rFonts w:ascii="Arial;sans-serif" w:hAnsi="Arial;sans-serif"/>
          <w:b/>
          <w:i/>
          <w:sz w:val="18"/>
        </w:rPr>
      </w:pPr>
      <w:r>
        <w:rPr>
          <w:rFonts w:ascii="Arial;sans-serif" w:hAnsi="Arial;sans-serif"/>
          <w:b/>
          <w:i/>
          <w:sz w:val="18"/>
        </w:rPr>
        <w:t>Revenue</w:t>
      </w:r>
    </w:p>
    <w:p>
      <w:pPr>
        <w:pStyle w:val="TextBody"/>
        <w:bidi w:val="0"/>
        <w:spacing w:before="200" w:after="0"/>
        <w:jc w:val="both"/>
        <w:rPr>
          <w:rFonts w:ascii="Arial;sans-serif" w:hAnsi="Arial;sans-serif"/>
          <w:b w:val="false"/>
          <w:sz w:val="18"/>
        </w:rPr>
      </w:pPr>
      <w:r>
        <w:rPr>
          <w:rFonts w:ascii="Arial;sans-serif" w:hAnsi="Arial;sans-serif"/>
          <w:b w:val="false"/>
          <w:sz w:val="18"/>
        </w:rPr>
        <w:t>We derive our revenue primarily from sales of advanced sequencing and analytics to the following four groups of customers:</w:t>
      </w:r>
    </w:p>
    <w:p>
      <w:pPr>
        <w:pStyle w:val="TextBody"/>
        <w:bidi w:val="0"/>
        <w:spacing w:before="200" w:after="0"/>
        <w:jc w:val="both"/>
        <w:rPr/>
      </w:pPr>
      <w:r>
        <w:rPr/>
        <w:t>•</w:t>
      </w:r>
    </w:p>
    <w:p>
      <w:pPr>
        <w:pStyle w:val="TextBody"/>
        <w:bidi w:val="0"/>
        <w:spacing w:before="200" w:after="0"/>
        <w:jc w:val="both"/>
        <w:rPr/>
      </w:pPr>
      <w:r>
        <w:rPr>
          <w:rFonts w:ascii="Arial;sans-serif" w:hAnsi="Arial;sans-serif"/>
          <w:b/>
          <w:sz w:val="18"/>
        </w:rPr>
        <w:t>Pharma tests and services</w:t>
      </w:r>
      <w:r>
        <w:rPr/>
        <w:t xml:space="preserve"> </w:t>
      </w:r>
      <w:r>
        <w:rPr>
          <w:rFonts w:ascii="Arial;sans-serif" w:hAnsi="Arial;sans-serif"/>
          <w:b w:val="false"/>
          <w:sz w:val="18"/>
        </w:rPr>
        <w:t>includes sales of testing services and data analytics for clinical trials and research to pharmaceutical companies in support of their drug development programs.</w:t>
      </w:r>
    </w:p>
    <w:p>
      <w:pPr>
        <w:pStyle w:val="TextBody"/>
        <w:bidi w:val="0"/>
        <w:spacing w:before="200" w:after="0"/>
        <w:jc w:val="both"/>
        <w:rPr/>
      </w:pPr>
      <w:r>
        <w:rPr/>
        <w:t>•</w:t>
      </w:r>
    </w:p>
    <w:p>
      <w:pPr>
        <w:pStyle w:val="TextBody"/>
        <w:bidi w:val="0"/>
        <w:spacing w:before="200" w:after="0"/>
        <w:jc w:val="both"/>
        <w:rPr/>
      </w:pPr>
      <w:r>
        <w:rPr>
          <w:rFonts w:ascii="Arial;sans-serif" w:hAnsi="Arial;sans-serif"/>
          <w:b/>
          <w:sz w:val="18"/>
        </w:rPr>
        <w:t>Enterprise sales</w:t>
      </w:r>
      <w:r>
        <w:rPr/>
        <w:t xml:space="preserve"> </w:t>
      </w:r>
      <w:r>
        <w:rPr>
          <w:rFonts w:ascii="Arial;sans-serif" w:hAnsi="Arial;sans-serif"/>
          <w:b w:val="false"/>
          <w:sz w:val="18"/>
        </w:rPr>
        <w:t>includes sales of tumor profiling and diagnostic tests directly to other businesses as an input to their products. Revenue from our partnership with Natera to provide advanced tumor analysis for use in Natera's MRD test currently makes up substantially all of the revenue in this category.</w:t>
      </w:r>
    </w:p>
    <w:p>
      <w:pPr>
        <w:pStyle w:val="TextBody"/>
        <w:bidi w:val="0"/>
        <w:spacing w:before="200" w:after="0"/>
        <w:jc w:val="both"/>
        <w:rPr/>
      </w:pPr>
      <w:r>
        <w:rPr/>
        <w:t>•</w:t>
      </w:r>
    </w:p>
    <w:p>
      <w:pPr>
        <w:pStyle w:val="TextBody"/>
        <w:bidi w:val="0"/>
        <w:spacing w:before="200" w:after="0"/>
        <w:jc w:val="both"/>
        <w:rPr/>
      </w:pPr>
      <w:r>
        <w:rPr>
          <w:rFonts w:ascii="Arial;sans-serif" w:hAnsi="Arial;sans-serif"/>
          <w:b/>
          <w:sz w:val="18"/>
        </w:rPr>
        <w:t>Population sequencing</w:t>
      </w:r>
      <w:r>
        <w:rPr/>
        <w:t xml:space="preserve"> </w:t>
      </w:r>
      <w:r>
        <w:rPr>
          <w:rFonts w:ascii="Arial;sans-serif" w:hAnsi="Arial;sans-serif"/>
          <w:b w:val="false"/>
          <w:sz w:val="18"/>
        </w:rPr>
        <w:t>includes sales of genomic sequencing services and data analytics to support large-scale genetic research programs. All of the revenue in this category is from our partnership with the VA MVP.</w:t>
      </w:r>
    </w:p>
    <w:p>
      <w:pPr>
        <w:pStyle w:val="TextBody"/>
        <w:bidi w:val="0"/>
        <w:spacing w:before="200" w:after="0"/>
        <w:jc w:val="both"/>
        <w:rPr/>
      </w:pPr>
      <w:r>
        <w:rPr/>
        <w:t>•</w:t>
      </w:r>
    </w:p>
    <w:p>
      <w:pPr>
        <w:pStyle w:val="TextBody"/>
        <w:bidi w:val="0"/>
        <w:spacing w:before="200" w:after="283"/>
        <w:jc w:val="both"/>
        <w:rPr/>
      </w:pPr>
      <w:r>
        <w:rPr>
          <w:rFonts w:ascii="Arial;sans-serif" w:hAnsi="Arial;sans-serif"/>
          <w:b/>
          <w:sz w:val="18"/>
        </w:rPr>
        <w:t>Other</w:t>
      </w:r>
      <w:r>
        <w:rPr/>
        <w:t xml:space="preserve"> </w:t>
      </w:r>
      <w:r>
        <w:rPr>
          <w:rFonts w:ascii="Arial;sans-serif" w:hAnsi="Arial;sans-serif"/>
          <w:b w:val="false"/>
          <w:sz w:val="18"/>
        </w:rPr>
        <w:t>includes sales of genomic tests and analytics to universities and non-profits. This category also includes sales of diagnostics tests ordered by healthcare providers for cancer patients, which was insignificant to date in 2023.</w:t>
      </w:r>
    </w:p>
    <w:p>
      <w:pPr>
        <w:pStyle w:val="TextBody"/>
        <w:bidi w:val="0"/>
        <w:spacing w:before="200" w:after="0"/>
        <w:jc w:val="both"/>
        <w:rPr>
          <w:rFonts w:ascii="Arial;sans-serif" w:hAnsi="Arial;sans-serif"/>
          <w:b w:val="false"/>
          <w:sz w:val="18"/>
        </w:rPr>
      </w:pPr>
      <w:r>
        <w:rPr>
          <w:rFonts w:ascii="Arial;sans-serif" w:hAnsi="Arial;sans-serif"/>
          <w:b w:val="false"/>
          <w:sz w:val="18"/>
        </w:rPr>
        <w:t>Our ability to increase revenue will depend on our ability to further increase sales to these groups of customers and expand our customer base within each group. To do this, we are developing a growing set of state-of-the-art services and products, advancing our operational infrastructure, building our regulatory credentials, focusing our marketing efforts on large pharmaceutical companies, and seeking additional partnerships such as ours with Natera. We sell through a small direct sales force. We also anticipate increasing our revenue in the future through entrance into the clinical diagnostics market and have begun building our regulatory, clinical, and reimbursement capabilities, including hiring a national clinical sales force.</w:t>
      </w:r>
    </w:p>
    <w:p>
      <w:pPr>
        <w:pStyle w:val="TextBody"/>
        <w:bidi w:val="0"/>
        <w:spacing w:before="200" w:after="0"/>
        <w:jc w:val="both"/>
        <w:rPr>
          <w:rFonts w:ascii="Arial;sans-serif" w:hAnsi="Arial;sans-serif"/>
          <w:b w:val="false"/>
          <w:sz w:val="18"/>
        </w:rPr>
      </w:pPr>
      <w:r>
        <w:rPr>
          <w:rFonts w:ascii="Arial;sans-serif" w:hAnsi="Arial;sans-serif"/>
          <w:b w:val="false"/>
          <w:sz w:val="18"/>
        </w:rPr>
        <w:t>We have one reportable segment from the sale of sequencing and data analysis services. Most of our revenue to date has been derived from sales in the United States.</w:t>
      </w:r>
    </w:p>
    <w:p>
      <w:pPr>
        <w:pStyle w:val="TextBody"/>
        <w:bidi w:val="0"/>
        <w:spacing w:before="200" w:after="0"/>
        <w:jc w:val="both"/>
        <w:rPr>
          <w:rFonts w:ascii="Arial;sans-serif" w:hAnsi="Arial;sans-serif"/>
          <w:b/>
          <w:i/>
          <w:sz w:val="18"/>
        </w:rPr>
      </w:pPr>
      <w:r>
        <w:rPr>
          <w:rFonts w:ascii="Arial;sans-serif" w:hAnsi="Arial;sans-serif"/>
          <w:b/>
          <w:i/>
          <w:sz w:val="18"/>
        </w:rPr>
        <w:t>Costs and Expenses</w:t>
      </w:r>
    </w:p>
    <w:p>
      <w:pPr>
        <w:pStyle w:val="TextBody"/>
        <w:bidi w:val="0"/>
        <w:spacing w:before="200" w:after="0"/>
        <w:jc w:val="both"/>
        <w:rPr>
          <w:rFonts w:ascii="Arial;sans-serif" w:hAnsi="Arial;sans-serif"/>
          <w:b w:val="false"/>
          <w:i/>
          <w:sz w:val="18"/>
        </w:rPr>
      </w:pPr>
      <w:r>
        <w:rPr>
          <w:rFonts w:ascii="Arial;sans-serif" w:hAnsi="Arial;sans-serif"/>
          <w:b w:val="false"/>
          <w:i/>
          <w:sz w:val="18"/>
        </w:rPr>
        <w:t>Cost of Revenue</w:t>
      </w:r>
    </w:p>
    <w:p>
      <w:pPr>
        <w:pStyle w:val="TextBody"/>
        <w:bidi w:val="0"/>
        <w:spacing w:before="200" w:after="0"/>
        <w:jc w:val="both"/>
        <w:rPr>
          <w:rFonts w:ascii="Arial;sans-serif" w:hAnsi="Arial;sans-serif"/>
          <w:b w:val="false"/>
          <w:sz w:val="18"/>
        </w:rPr>
      </w:pPr>
      <w:r>
        <w:rPr>
          <w:rFonts w:ascii="Arial;sans-serif" w:hAnsi="Arial;sans-serif"/>
          <w:b w:val="false"/>
          <w:sz w:val="18"/>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 capabilities such as automation of laboratory workflows, processing of diagnostic tests for the clinical market while we work to secure reimbursement, and costs related to our new Fremont facility. Over the long-term, we anticipate higher gross margins as growing revenue leads to economies of scale.</w:t>
      </w:r>
    </w:p>
    <w:p>
      <w:pPr>
        <w:pStyle w:val="TextBody"/>
        <w:bidi w:val="0"/>
        <w:spacing w:before="200" w:after="0"/>
        <w:jc w:val="both"/>
        <w:rPr>
          <w:rFonts w:ascii="Arial;sans-serif" w:hAnsi="Arial;sans-serif"/>
          <w:b w:val="false"/>
          <w:i/>
          <w:sz w:val="18"/>
        </w:rPr>
      </w:pPr>
      <w:r>
        <w:rPr>
          <w:rFonts w:ascii="Arial;sans-serif" w:hAnsi="Arial;sans-serif"/>
          <w:b w:val="false"/>
          <w:i/>
          <w:sz w:val="18"/>
        </w:rPr>
        <w:t>Research and Development Expenses</w:t>
      </w:r>
    </w:p>
    <w:p>
      <w:pPr>
        <w:pStyle w:val="TextBody"/>
        <w:bidi w:val="0"/>
        <w:spacing w:before="200" w:after="0"/>
        <w:jc w:val="both"/>
        <w:rPr>
          <w:rFonts w:ascii="Arial;sans-serif" w:hAnsi="Arial;sans-serif"/>
          <w:b w:val="false"/>
          <w:sz w:val="18"/>
        </w:rPr>
      </w:pPr>
      <w:r>
        <w:rPr>
          <w:rFonts w:ascii="Arial;sans-serif" w:hAnsi="Arial;sans-serif"/>
          <w:b w:val="false"/>
          <w:sz w:val="18"/>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pStyle w:val="TextBody"/>
        <w:bidi w:val="0"/>
        <w:spacing w:before="200" w:after="0"/>
        <w:jc w:val="both"/>
        <w:rPr>
          <w:rFonts w:ascii="Arial;sans-serif" w:hAnsi="Arial;sans-serif"/>
          <w:b w:val="false"/>
          <w:sz w:val="18"/>
        </w:rPr>
      </w:pPr>
      <w:r>
        <w:rPr>
          <w:rFonts w:ascii="Arial;sans-serif" w:hAnsi="Arial;sans-serif"/>
          <w:b w:val="false"/>
          <w:sz w:val="18"/>
        </w:rPr>
        <w:t>We expense our research and development costs in the period in which they are incurred. We expect research and development expenses to stabilize overall in the medium term as we expand collaborations for clinical validation to secure reimbursement and develop our NeXT Personal test as an LDT for the clinical diagnostics market, offset by cost reductions from our first quarter 2023 reduction in workforce and anticipated savings from our closure of operations in China.</w:t>
      </w:r>
    </w:p>
    <w:p>
      <w:pPr>
        <w:pStyle w:val="TextBody"/>
        <w:bidi w:val="0"/>
        <w:spacing w:before="240" w:after="0"/>
        <w:jc w:val="center"/>
        <w:rPr>
          <w:rFonts w:ascii="Arial;sans-serif" w:hAnsi="Arial;sans-serif"/>
          <w:b w:val="false"/>
          <w:sz w:val="18"/>
        </w:rPr>
      </w:pPr>
      <w:r>
        <w:rPr>
          <w:rFonts w:ascii="Arial;sans-serif" w:hAnsi="Arial;sans-serif"/>
          <w:b w:val="false"/>
          <w:sz w:val="18"/>
        </w:rPr>
        <w:t>21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i/>
          <w:sz w:val="18"/>
        </w:rPr>
      </w:pPr>
      <w:r>
        <w:rPr>
          <w:rFonts w:ascii="Arial;sans-serif" w:hAnsi="Arial;sans-serif"/>
          <w:b w:val="false"/>
          <w:i/>
          <w:sz w:val="18"/>
        </w:rPr>
        <w:t>Selling, General and Administrative Expenses</w:t>
      </w:r>
    </w:p>
    <w:p>
      <w:pPr>
        <w:pStyle w:val="TextBody"/>
        <w:bidi w:val="0"/>
        <w:spacing w:before="200" w:after="0"/>
        <w:jc w:val="both"/>
        <w:rPr>
          <w:rFonts w:ascii="Arial;sans-serif" w:hAnsi="Arial;sans-serif"/>
          <w:b w:val="false"/>
          <w:sz w:val="18"/>
        </w:rPr>
      </w:pPr>
      <w:r>
        <w:rPr>
          <w:rFonts w:ascii="Arial;sans-serif" w:hAnsi="Arial;sans-serif"/>
          <w:b w:val="false"/>
          <w:sz w:val="18"/>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pStyle w:val="TextBody"/>
        <w:bidi w:val="0"/>
        <w:spacing w:before="200" w:after="0"/>
        <w:jc w:val="both"/>
        <w:rPr>
          <w:rFonts w:ascii="Arial;sans-serif" w:hAnsi="Arial;sans-serif"/>
          <w:b w:val="false"/>
          <w:sz w:val="18"/>
        </w:rPr>
      </w:pPr>
      <w:r>
        <w:rPr>
          <w:rFonts w:ascii="Arial;sans-serif" w:hAnsi="Arial;sans-serif"/>
          <w:b w:val="false"/>
          <w:sz w:val="18"/>
        </w:rPr>
        <w:t>Selling, general and administrative expenses have decreased significantly since the completion of our first quarter 2023 reduction in workforce. We expect slight increases from this lower level going forward due to investments in our diagnostic sales outreach efforts.</w:t>
      </w:r>
    </w:p>
    <w:p>
      <w:pPr>
        <w:pStyle w:val="TextBody"/>
        <w:bidi w:val="0"/>
        <w:spacing w:before="200" w:after="0"/>
        <w:jc w:val="both"/>
        <w:rPr>
          <w:rFonts w:ascii="Arial;sans-serif" w:hAnsi="Arial;sans-serif"/>
          <w:b w:val="false"/>
          <w:i/>
          <w:sz w:val="18"/>
        </w:rPr>
      </w:pPr>
      <w:r>
        <w:rPr>
          <w:rFonts w:ascii="Arial;sans-serif" w:hAnsi="Arial;sans-serif"/>
          <w:b w:val="false"/>
          <w:i/>
          <w:sz w:val="18"/>
        </w:rPr>
        <w:t>Restructuring and Other Charges</w:t>
      </w:r>
    </w:p>
    <w:p>
      <w:pPr>
        <w:pStyle w:val="TextBody"/>
        <w:bidi w:val="0"/>
        <w:spacing w:before="200" w:after="0"/>
        <w:jc w:val="both"/>
        <w:rPr>
          <w:rFonts w:ascii="Arial;sans-serif" w:hAnsi="Arial;sans-serif"/>
          <w:b w:val="false"/>
          <w:sz w:val="18"/>
        </w:rPr>
      </w:pPr>
      <w:r>
        <w:rPr>
          <w:rFonts w:ascii="Arial;sans-serif" w:hAnsi="Arial;sans-serif"/>
          <w:b w:val="false"/>
          <w:sz w:val="18"/>
        </w:rPr>
        <w:t>Restructuring and other charges consists of restructuring charges in connection with our 2023 reduction in workforce and charges in connection with the closure of our China operations.</w:t>
      </w:r>
    </w:p>
    <w:p>
      <w:pPr>
        <w:pStyle w:val="TextBody"/>
        <w:bidi w:val="0"/>
        <w:spacing w:before="200" w:after="0"/>
        <w:jc w:val="both"/>
        <w:rPr>
          <w:rFonts w:ascii="Arial;sans-serif" w:hAnsi="Arial;sans-serif"/>
          <w:b w:val="false"/>
          <w:i/>
          <w:sz w:val="18"/>
        </w:rPr>
      </w:pPr>
      <w:r>
        <w:rPr>
          <w:rFonts w:ascii="Arial;sans-serif" w:hAnsi="Arial;sans-serif"/>
          <w:b w:val="false"/>
          <w:i/>
          <w:sz w:val="18"/>
        </w:rPr>
        <w:t>Interest Income and Interest Expense</w:t>
      </w:r>
    </w:p>
    <w:p>
      <w:pPr>
        <w:pStyle w:val="TextBody"/>
        <w:bidi w:val="0"/>
        <w:spacing w:before="200" w:after="0"/>
        <w:jc w:val="both"/>
        <w:rPr>
          <w:rFonts w:ascii="Arial;sans-serif" w:hAnsi="Arial;sans-serif"/>
          <w:b w:val="false"/>
          <w:sz w:val="18"/>
        </w:rPr>
      </w:pPr>
      <w:r>
        <w:rPr>
          <w:rFonts w:ascii="Arial;sans-serif" w:hAnsi="Arial;sans-serif"/>
          <w:b w:val="false"/>
          <w:sz w:val="18"/>
        </w:rPr>
        <w:t>Interest income consists primarily of interest earned on our cash and cash equivalents and short-term investments. Interest expense is the recognition of imputed interest on noninterest bearing loans.</w:t>
      </w:r>
    </w:p>
    <w:p>
      <w:pPr>
        <w:pStyle w:val="TextBody"/>
        <w:bidi w:val="0"/>
        <w:spacing w:before="200" w:after="0"/>
        <w:jc w:val="both"/>
        <w:rPr>
          <w:rFonts w:ascii="Arial;sans-serif" w:hAnsi="Arial;sans-serif"/>
          <w:b w:val="false"/>
          <w:i/>
          <w:sz w:val="18"/>
        </w:rPr>
      </w:pPr>
      <w:r>
        <w:rPr>
          <w:rFonts w:ascii="Arial;sans-serif" w:hAnsi="Arial;sans-serif"/>
          <w:b w:val="false"/>
          <w:i/>
          <w:sz w:val="18"/>
        </w:rPr>
        <w:t>Other Income (Expense), Net</w:t>
      </w:r>
    </w:p>
    <w:p>
      <w:pPr>
        <w:pStyle w:val="TextBody"/>
        <w:bidi w:val="0"/>
        <w:spacing w:before="200" w:after="0"/>
        <w:jc w:val="both"/>
        <w:rPr>
          <w:rFonts w:ascii="Arial;sans-serif" w:hAnsi="Arial;sans-serif"/>
          <w:b w:val="false"/>
          <w:sz w:val="18"/>
        </w:rPr>
      </w:pPr>
      <w:r>
        <w:rPr>
          <w:rFonts w:ascii="Arial;sans-serif" w:hAnsi="Arial;sans-serif"/>
          <w:b w:val="false"/>
          <w:sz w:val="18"/>
        </w:rPr>
        <w:t>Other income (expense), net consists primarily of foreign currency exchange gains and losses.</w:t>
      </w:r>
    </w:p>
    <w:p>
      <w:pPr>
        <w:pStyle w:val="TextBody"/>
        <w:bidi w:val="0"/>
        <w:spacing w:before="200" w:after="0"/>
        <w:jc w:val="both"/>
        <w:rPr>
          <w:rFonts w:ascii="Arial;sans-serif" w:hAnsi="Arial;sans-serif"/>
          <w:b/>
          <w:sz w:val="18"/>
        </w:rPr>
      </w:pPr>
      <w:r>
        <w:rPr>
          <w:rFonts w:ascii="Arial;sans-serif" w:hAnsi="Arial;sans-serif"/>
          <w:b/>
          <w:sz w:val="18"/>
        </w:rPr>
        <w:t>Results of Operations</w:t>
      </w:r>
    </w:p>
    <w:p>
      <w:pPr>
        <w:pStyle w:val="TextBody"/>
        <w:bidi w:val="0"/>
        <w:spacing w:before="200" w:after="200"/>
        <w:jc w:val="both"/>
        <w:rPr>
          <w:rFonts w:ascii="Arial;sans-serif" w:hAnsi="Arial;sans-serif"/>
          <w:b w:val="false"/>
          <w:sz w:val="18"/>
        </w:rPr>
      </w:pPr>
      <w:r>
        <w:rPr>
          <w:rFonts w:ascii="Arial;sans-serif" w:hAnsi="Arial;sans-serif"/>
          <w:b w:val="false"/>
          <w:sz w:val="18"/>
        </w:rPr>
        <w:t>The following sets forth, for the periods presented, our unaudited condensed consolidated statements of operations and selected financial data (in thousands, except share and per share data):</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16,699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35,559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33,467</w:t>
            </w:r>
          </w:p>
        </w:tc>
        <w:tc>
          <w:tcPr>
            <w:tcW w:w="791" w:type="dxa"/>
            <w:tcBorders/>
            <w:vAlign w:val="center"/>
          </w:tcPr>
          <w:p>
            <w:pPr>
              <w:pStyle w:val="TableContents"/>
              <w:bidi w:val="0"/>
              <w:spacing w:before="0" w:after="0"/>
              <w:ind w:left="0" w:right="0" w:hanging="0"/>
              <w:jc w:val="left"/>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Costs and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3344"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11,907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26,037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24,908</w:t>
            </w:r>
          </w:p>
        </w:tc>
        <w:tc>
          <w:tcPr>
            <w:tcW w:w="791" w:type="dxa"/>
            <w:tcBorders/>
            <w:vAlign w:val="center"/>
          </w:tcPr>
          <w:p>
            <w:pPr>
              <w:pStyle w:val="TableContents"/>
              <w:bidi w:val="0"/>
              <w:spacing w:before="0" w:after="0"/>
              <w:ind w:left="0" w:right="0" w:firstLine="200"/>
              <w:jc w:val="left"/>
              <w:rPr/>
            </w:pPr>
            <w:r>
              <w:rPr/>
              <w:t> </w:t>
            </w:r>
          </w:p>
        </w:tc>
      </w:tr>
      <w:tr>
        <w:trPr/>
        <w:tc>
          <w:tcPr>
            <w:tcW w:w="3344"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17,852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16,288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34,425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33,386</w:t>
            </w:r>
          </w:p>
        </w:tc>
        <w:tc>
          <w:tcPr>
            <w:tcW w:w="791" w:type="dxa"/>
            <w:tcBorders/>
            <w:vAlign w:val="center"/>
          </w:tcPr>
          <w:p>
            <w:pPr>
              <w:pStyle w:val="TableContents"/>
              <w:bidi w:val="0"/>
              <w:spacing w:before="0" w:after="0"/>
              <w:ind w:left="0" w:right="0" w:firstLine="200"/>
              <w:jc w:val="left"/>
              <w:rPr/>
            </w:pPr>
            <w:r>
              <w:rPr/>
              <w:t> </w:t>
            </w:r>
          </w:p>
        </w:tc>
      </w:tr>
      <w:tr>
        <w:trPr/>
        <w:tc>
          <w:tcPr>
            <w:tcW w:w="3344"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15,874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26,231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31,360</w:t>
            </w:r>
          </w:p>
        </w:tc>
        <w:tc>
          <w:tcPr>
            <w:tcW w:w="791" w:type="dxa"/>
            <w:tcBorders/>
            <w:vAlign w:val="center"/>
          </w:tcPr>
          <w:p>
            <w:pPr>
              <w:pStyle w:val="TableContents"/>
              <w:bidi w:val="0"/>
              <w:spacing w:before="0" w:after="0"/>
              <w:ind w:left="0" w:right="0" w:firstLine="200"/>
              <w:jc w:val="left"/>
              <w:rPr/>
            </w:pPr>
            <w:r>
              <w:rPr/>
              <w:t> </w:t>
            </w:r>
          </w:p>
        </w:tc>
      </w:tr>
      <w:tr>
        <w:trPr/>
        <w:tc>
          <w:tcPr>
            <w:tcW w:w="3344"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Restructuring and other charges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344" w:type="dxa"/>
            <w:tcBorders/>
            <w:vAlign w:val="center"/>
          </w:tcPr>
          <w:p>
            <w:pPr>
              <w:pStyle w:val="TableContents"/>
              <w:bidi w:val="0"/>
              <w:spacing w:before="0" w:after="0"/>
              <w:ind w:left="400" w:right="0" w:hanging="0"/>
              <w:jc w:val="left"/>
              <w:rPr>
                <w:rFonts w:ascii="Arial;sans-serif" w:hAnsi="Arial;sans-serif"/>
                <w:b w:val="false"/>
                <w:sz w:val="18"/>
              </w:rPr>
            </w:pPr>
            <w:r>
              <w:rPr>
                <w:rFonts w:ascii="Arial;sans-serif" w:hAnsi="Arial;sans-serif"/>
                <w:b w:val="false"/>
                <w:sz w:val="18"/>
              </w:rPr>
              <w:t>Total costs and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42,045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46,121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90,730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89,654</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(25,346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(27,881</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(55,171</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(56,187</w:t>
            </w:r>
          </w:p>
        </w:tc>
        <w:tc>
          <w:tcPr>
            <w:tcW w:w="79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493</w:t>
            </w:r>
          </w:p>
        </w:tc>
        <w:tc>
          <w:tcPr>
            <w:tcW w:w="791" w:type="dxa"/>
            <w:tcBorders/>
            <w:vAlign w:val="center"/>
          </w:tcPr>
          <w:p>
            <w:pPr>
              <w:pStyle w:val="TableContents"/>
              <w:bidi w:val="0"/>
              <w:spacing w:before="0" w:after="0"/>
              <w:ind w:left="0" w:right="0" w:hanging="0"/>
              <w:jc w:val="left"/>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(86</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(109</w:t>
            </w:r>
          </w:p>
        </w:tc>
        <w:tc>
          <w:tcPr>
            <w:tcW w:w="79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69</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(23,919</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(27,532</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(52,564</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(55,734</w:t>
            </w:r>
          </w:p>
        </w:tc>
        <w:tc>
          <w:tcPr>
            <w:tcW w:w="79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Provision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344" w:type="dxa"/>
            <w:tcBorders/>
            <w:vAlign w:val="center"/>
          </w:tcPr>
          <w:p>
            <w:pPr>
              <w:pStyle w:val="TableContents"/>
              <w:bidi w:val="0"/>
              <w:spacing w:before="0" w:after="0"/>
              <w:ind w:left="600" w:right="0" w:hanging="0"/>
              <w:jc w:val="left"/>
              <w:rPr>
                <w:rFonts w:ascii="Arial;sans-serif" w:hAnsi="Arial;sans-serif"/>
                <w:b w:val="false"/>
                <w:sz w:val="18"/>
              </w:rPr>
            </w:pPr>
            <w:r>
              <w:rPr>
                <w:rFonts w:ascii="Arial;sans-serif" w:hAnsi="Arial;sans-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(23,955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(27,546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(52,614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(55,755</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(0.50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(0.60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(1.23</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44"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Weighted-average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47,669,513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45,637,838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47,204,891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45,316,795</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8010" w:type="dxa"/>
        <w:jc w:val="left"/>
        <w:tblInd w:w="0" w:type="dxa"/>
        <w:tblLayout w:type="fixed"/>
        <w:tblCellMar>
          <w:top w:w="28" w:type="dxa"/>
          <w:left w:w="28" w:type="dxa"/>
          <w:bottom w:w="28" w:type="dxa"/>
          <w:right w:w="28" w:type="dxa"/>
        </w:tblCellMar>
      </w:tblPr>
      <w:tblGrid>
        <w:gridCol w:w="4636"/>
        <w:gridCol w:w="146"/>
        <w:gridCol w:w="249"/>
        <w:gridCol w:w="921"/>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Cash and cash equivalents, and short-term investments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137,207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167,658</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Working capital</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132,363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166,568</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Total assets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249,038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292,700</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Total debt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2,596</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Long-term obligations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44,360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41,430</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Total liabilities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72,952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74,561</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Total stockholders' equity</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176,086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218,139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18"/>
        </w:rPr>
      </w:pPr>
      <w:r>
        <w:rPr>
          <w:rFonts w:ascii="Arial;sans-serif" w:hAnsi="Arial;sans-serif"/>
          <w:b w:val="false"/>
          <w:sz w:val="18"/>
        </w:rPr>
        <w:t>22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i/>
          <w:sz w:val="18"/>
        </w:rPr>
      </w:pPr>
      <w:r>
        <w:rPr>
          <w:rFonts w:ascii="Arial;sans-serif" w:hAnsi="Arial;sans-serif"/>
          <w:b/>
          <w:i/>
          <w:sz w:val="18"/>
        </w:rPr>
        <w:t>Revenue</w:t>
      </w:r>
    </w:p>
    <w:p>
      <w:pPr>
        <w:pStyle w:val="TextBody"/>
        <w:bidi w:val="0"/>
        <w:spacing w:before="200" w:after="200"/>
        <w:jc w:val="both"/>
        <w:rPr>
          <w:rFonts w:ascii="Arial;sans-serif" w:hAnsi="Arial;sans-serif"/>
          <w:b w:val="false"/>
          <w:sz w:val="18"/>
        </w:rPr>
      </w:pPr>
      <w:r>
        <w:rPr>
          <w:rFonts w:ascii="Arial;sans-serif" w:hAnsi="Arial;sans-serif"/>
          <w:b w:val="false"/>
          <w:sz w:val="18"/>
        </w:rPr>
        <w:t>The following table shows revenue by customer type (in thousands):</w:t>
      </w:r>
    </w:p>
    <w:tbl>
      <w:tblPr>
        <w:tblW w:w="9400" w:type="dxa"/>
        <w:jc w:val="left"/>
        <w:tblInd w:w="0" w:type="dxa"/>
        <w:tblLayout w:type="fixed"/>
        <w:tblCellMar>
          <w:top w:w="28" w:type="dxa"/>
          <w:left w:w="28" w:type="dxa"/>
          <w:bottom w:w="28" w:type="dxa"/>
          <w:right w:w="28" w:type="dxa"/>
        </w:tblCellMar>
      </w:tblPr>
      <w:tblGrid>
        <w:gridCol w:w="2266"/>
        <w:gridCol w:w="146"/>
        <w:gridCol w:w="251"/>
        <w:gridCol w:w="805"/>
        <w:gridCol w:w="173"/>
        <w:gridCol w:w="173"/>
        <w:gridCol w:w="251"/>
        <w:gridCol w:w="805"/>
        <w:gridCol w:w="146"/>
        <w:gridCol w:w="146"/>
        <w:gridCol w:w="721"/>
        <w:gridCol w:w="146"/>
        <w:gridCol w:w="229"/>
        <w:gridCol w:w="736"/>
        <w:gridCol w:w="159"/>
        <w:gridCol w:w="159"/>
        <w:gridCol w:w="229"/>
        <w:gridCol w:w="736"/>
        <w:gridCol w:w="146"/>
        <w:gridCol w:w="146"/>
        <w:gridCol w:w="8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r>
      <w:tr>
        <w:trPr/>
        <w:tc>
          <w:tcPr>
            <w:tcW w:w="2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Pharma tests and services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6,083</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(16%)</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12,416</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14,819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(16%)</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Enterprise sales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7,386</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7%</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16,844</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53%</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Population sequencing</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3,000</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(26%)</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6,005</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7,556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(21%)</w:t>
            </w:r>
          </w:p>
        </w:tc>
      </w:tr>
      <w:tr>
        <w:trPr/>
        <w:tc>
          <w:tcPr>
            <w:tcW w:w="22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230</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522%</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294</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246%</w:t>
            </w:r>
          </w:p>
        </w:tc>
      </w:tr>
      <w:tr>
        <w:trPr/>
        <w:tc>
          <w:tcPr>
            <w:tcW w:w="226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 revenue</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16,699</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18,240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35,559</w:t>
            </w:r>
          </w:p>
        </w:tc>
        <w:tc>
          <w:tcPr>
            <w:tcW w:w="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33,467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6%</w:t>
            </w:r>
          </w:p>
        </w:tc>
      </w:tr>
    </w:tbl>
    <w:p>
      <w:pPr>
        <w:pStyle w:val="TextBody"/>
        <w:bidi w:val="0"/>
        <w:spacing w:before="200" w:after="200"/>
        <w:jc w:val="both"/>
        <w:rPr>
          <w:rFonts w:ascii="Arial;sans-serif" w:hAnsi="Arial;sans-serif"/>
          <w:b w:val="false"/>
          <w:sz w:val="18"/>
        </w:rPr>
      </w:pPr>
      <w:r>
        <w:rPr>
          <w:rFonts w:ascii="Arial;sans-serif" w:hAnsi="Arial;sans-serif"/>
          <w:b w:val="false"/>
          <w:sz w:val="18"/>
        </w:rPr>
        <w:t>The following table shows customers that made up at least 10% of total revenue in each period presented:</w:t>
      </w:r>
    </w:p>
    <w:tbl>
      <w:tblPr>
        <w:tblW w:w="6532" w:type="dxa"/>
        <w:jc w:val="left"/>
        <w:tblInd w:w="0" w:type="dxa"/>
        <w:tblLayout w:type="fixed"/>
        <w:tblCellMar>
          <w:top w:w="28" w:type="dxa"/>
          <w:left w:w="28" w:type="dxa"/>
          <w:bottom w:w="28" w:type="dxa"/>
          <w:right w:w="28" w:type="dxa"/>
        </w:tblCellMar>
      </w:tblPr>
      <w:tblGrid>
        <w:gridCol w:w="1486"/>
        <w:gridCol w:w="146"/>
        <w:gridCol w:w="1068"/>
        <w:gridCol w:w="324"/>
        <w:gridCol w:w="1068"/>
        <w:gridCol w:w="146"/>
        <w:gridCol w:w="957"/>
        <w:gridCol w:w="290"/>
        <w:gridCol w:w="1047"/>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60"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9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r>
      <w:tr>
        <w:trPr/>
        <w:tc>
          <w:tcPr>
            <w:tcW w:w="14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r>
      <w:tr>
        <w:trPr/>
        <w:tc>
          <w:tcPr>
            <w:tcW w:w="14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Natera, Inc.</w:t>
            </w:r>
          </w:p>
        </w:tc>
        <w:tc>
          <w:tcPr>
            <w:tcW w:w="1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44%</w:t>
            </w:r>
          </w:p>
        </w:tc>
        <w:tc>
          <w:tcPr>
            <w:tcW w:w="324"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38%</w:t>
            </w:r>
          </w:p>
        </w:tc>
        <w:tc>
          <w:tcPr>
            <w:tcW w:w="146"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47%</w:t>
            </w:r>
          </w:p>
        </w:tc>
        <w:tc>
          <w:tcPr>
            <w:tcW w:w="290"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33%</w:t>
            </w:r>
          </w:p>
        </w:tc>
      </w:tr>
      <w:tr>
        <w:trPr/>
        <w:tc>
          <w:tcPr>
            <w:tcW w:w="14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VA MVP</w:t>
            </w:r>
          </w:p>
        </w:tc>
        <w:tc>
          <w:tcPr>
            <w:tcW w:w="1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18%</w:t>
            </w:r>
          </w:p>
        </w:tc>
        <w:tc>
          <w:tcPr>
            <w:tcW w:w="324"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22%</w:t>
            </w:r>
          </w:p>
        </w:tc>
        <w:tc>
          <w:tcPr>
            <w:tcW w:w="146"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17%</w:t>
            </w:r>
          </w:p>
        </w:tc>
        <w:tc>
          <w:tcPr>
            <w:tcW w:w="290"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23%</w:t>
            </w:r>
          </w:p>
        </w:tc>
      </w:tr>
      <w:tr>
        <w:trPr/>
        <w:tc>
          <w:tcPr>
            <w:tcW w:w="148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Merck &amp; Co., Inc.</w:t>
            </w:r>
          </w:p>
        </w:tc>
        <w:tc>
          <w:tcPr>
            <w:tcW w:w="1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w:t>
            </w:r>
          </w:p>
        </w:tc>
        <w:tc>
          <w:tcPr>
            <w:tcW w:w="324"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c>
          <w:tcPr>
            <w:tcW w:w="290"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w:t>
            </w:r>
          </w:p>
        </w:tc>
      </w:tr>
      <w:tr>
        <w:trPr/>
        <w:tc>
          <w:tcPr>
            <w:tcW w:w="6532" w:type="dxa"/>
            <w:gridSpan w:val="9"/>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 Less than 10% of revenue</w:t>
            </w:r>
          </w:p>
        </w:tc>
      </w:tr>
    </w:tbl>
    <w:p>
      <w:pPr>
        <w:pStyle w:val="TextBody"/>
        <w:bidi w:val="0"/>
        <w:spacing w:before="200" w:after="0"/>
        <w:jc w:val="both"/>
        <w:rPr>
          <w:rFonts w:ascii="Arial;sans-serif" w:hAnsi="Arial;sans-serif"/>
          <w:b w:val="false"/>
          <w:i/>
          <w:sz w:val="18"/>
        </w:rPr>
      </w:pPr>
      <w:r>
        <w:rPr>
          <w:rFonts w:ascii="Arial;sans-serif" w:hAnsi="Arial;sans-serif"/>
          <w:b w:val="false"/>
          <w:i/>
          <w:sz w:val="18"/>
        </w:rPr>
        <w:t>Pharma tests and services</w:t>
      </w:r>
    </w:p>
    <w:p>
      <w:pPr>
        <w:pStyle w:val="TextBody"/>
        <w:bidi w:val="0"/>
        <w:spacing w:before="200" w:after="0"/>
        <w:jc w:val="both"/>
        <w:rPr>
          <w:rFonts w:ascii="Arial;sans-serif" w:hAnsi="Arial;sans-serif"/>
          <w:b w:val="false"/>
          <w:sz w:val="18"/>
        </w:rPr>
      </w:pPr>
      <w:r>
        <w:rPr>
          <w:rFonts w:ascii="Arial;sans-serif" w:hAnsi="Arial;sans-serif"/>
          <w:b w:val="false"/>
          <w:sz w:val="18"/>
        </w:rPr>
        <w:t>Revenue from pharma tests and services decreased 16%, or $1.2 million, in the second quarter of 2023, and decreased 16%, or $2.4 million, in the first six months of 2023. This was primarily the result of variability in timing and spending levels on clinical trial projects by our pharmaceutical customers in general, and non-recurring projects with certain customers. For example, we recognized $0.5 million in revenue during the first six months of 2022 from an ImmunoID NeXT project with one of our largest pharmaceutical customers whereas we recognized no revenue from that same customer in the first six months of 2023. Additionally, revenue recognized for one of our biobank customers decreased $0.5 million during the second quarter of 2023 and $0.9 million during the first six months of 2023 as we are strategically shifting away from lower-margin pharma customer projects.</w:t>
      </w:r>
    </w:p>
    <w:p>
      <w:pPr>
        <w:pStyle w:val="TextBody"/>
        <w:bidi w:val="0"/>
        <w:spacing w:before="200" w:after="0"/>
        <w:jc w:val="both"/>
        <w:rPr>
          <w:rFonts w:ascii="Arial;sans-serif" w:hAnsi="Arial;sans-serif"/>
          <w:b w:val="false"/>
          <w:i/>
          <w:sz w:val="18"/>
        </w:rPr>
      </w:pPr>
      <w:r>
        <w:rPr>
          <w:rFonts w:ascii="Arial;sans-serif" w:hAnsi="Arial;sans-serif"/>
          <w:b w:val="false"/>
          <w:i/>
          <w:sz w:val="18"/>
        </w:rPr>
        <w:t>Enterprise sales</w:t>
      </w:r>
    </w:p>
    <w:p>
      <w:pPr>
        <w:pStyle w:val="TextBody"/>
        <w:bidi w:val="0"/>
        <w:spacing w:before="200" w:after="0"/>
        <w:jc w:val="both"/>
        <w:rPr>
          <w:rFonts w:ascii="Times New Roman" w:hAnsi="Times New Roman"/>
          <w:sz w:val="20"/>
        </w:rPr>
      </w:pPr>
      <w:r>
        <w:rPr>
          <w:rFonts w:ascii="Arial;sans-serif" w:hAnsi="Arial;sans-serif"/>
          <w:b w:val="false"/>
          <w:sz w:val="18"/>
        </w:rPr>
        <w:t>Revenue from enterprise sales increased 7%, or $0.5 million, in the second quarter of 2023, and increased 53%, or $5.8 million in the first six months of 2023. This was due to an increase in the volume of samples we tested for Natera for use in Natera's MRD testing offerings, partially offset by lower selling prices as a result of volume-based tiered pricing. The number of samples processed increased approximately 40% and 85% in the second quarter and first six months of 2023, respectively, as compared to the same periods of 2022.</w:t>
      </w:r>
      <w:r>
        <w:rPr>
          <w:rFonts w:ascii="Times New Roman" w:hAnsi="Times New Roman"/>
          <w:sz w:val="20"/>
        </w:rPr>
        <w:t xml:space="preserve"> </w:t>
      </w:r>
    </w:p>
    <w:p>
      <w:pPr>
        <w:pStyle w:val="TextBody"/>
        <w:bidi w:val="0"/>
        <w:spacing w:before="200" w:after="0"/>
        <w:jc w:val="both"/>
        <w:rPr>
          <w:rFonts w:ascii="Arial;sans-serif" w:hAnsi="Arial;sans-serif"/>
          <w:b w:val="false"/>
          <w:sz w:val="18"/>
        </w:rPr>
      </w:pPr>
      <w:r>
        <w:rPr>
          <w:rFonts w:ascii="Arial;sans-serif" w:hAnsi="Arial;sans-serif"/>
          <w:b w:val="false"/>
          <w:sz w:val="18"/>
        </w:rPr>
        <w:t>We entered into a new agreement with Natera during the second quarter of 2023 that replaces the previous tiered-pricing arrangement. We agreed to new fixed prices that are lower than the prices paid by Natera under the old arrangement during the first half of 2023, in exchange for minimum volume commitments that extend through at least the first quarter of 2024.</w:t>
      </w:r>
    </w:p>
    <w:p>
      <w:pPr>
        <w:pStyle w:val="TextBody"/>
        <w:bidi w:val="0"/>
        <w:spacing w:before="200" w:after="0"/>
        <w:jc w:val="both"/>
        <w:rPr>
          <w:rFonts w:ascii="Arial;sans-serif" w:hAnsi="Arial;sans-serif"/>
          <w:b w:val="false"/>
          <w:i/>
          <w:sz w:val="18"/>
        </w:rPr>
      </w:pPr>
      <w:r>
        <w:rPr>
          <w:rFonts w:ascii="Arial;sans-serif" w:hAnsi="Arial;sans-serif"/>
          <w:b w:val="false"/>
          <w:i/>
          <w:sz w:val="18"/>
        </w:rPr>
        <w:t>Population sequencing</w:t>
      </w:r>
    </w:p>
    <w:p>
      <w:pPr>
        <w:pStyle w:val="TextBody"/>
        <w:bidi w:val="0"/>
        <w:spacing w:before="200" w:after="0"/>
        <w:jc w:val="both"/>
        <w:rPr>
          <w:rFonts w:ascii="Arial;sans-serif" w:hAnsi="Arial;sans-serif"/>
          <w:b w:val="false"/>
          <w:sz w:val="18"/>
        </w:rPr>
      </w:pPr>
      <w:r>
        <w:rPr>
          <w:rFonts w:ascii="Arial;sans-serif" w:hAnsi="Arial;sans-serif"/>
          <w:b w:val="false"/>
          <w:sz w:val="18"/>
        </w:rPr>
        <w:t>Population sequencing revenue is made up entirely of sales to the VA MVP. The decline in revenue during 2023 was related to the timing of our fulfillment of samples received from the VA MVP under our annual task orders.</w:t>
      </w:r>
    </w:p>
    <w:p>
      <w:pPr>
        <w:pStyle w:val="TextBody"/>
        <w:bidi w:val="0"/>
        <w:spacing w:before="200" w:after="0"/>
        <w:jc w:val="both"/>
        <w:rPr>
          <w:rFonts w:ascii="Arial;sans-serif" w:hAnsi="Arial;sans-serif"/>
          <w:b w:val="false"/>
          <w:sz w:val="18"/>
        </w:rPr>
      </w:pPr>
      <w:r>
        <w:rPr>
          <w:rFonts w:ascii="Arial;sans-serif" w:hAnsi="Arial;sans-serif"/>
          <w:b w:val="false"/>
          <w:sz w:val="18"/>
        </w:rPr>
        <w:t>In September 2022, we entered into a new contract with the VA MVP to continue providing them WGS services. The performance period under the new contract includes a base period of one year, with four one-year renewal option periods that may be exercised upon discretion of the VA MVP. We concurrently received an initial task order with a value of up to $10.0 million, of which we have recognized $6.9 million to date. We expect to recognize the remaining $3.1 million unfulfilled portion of the order during the third quarter of 2023. We have received notice from the VA MVP that it has exercised the first of the four renewal option periods. The first renewal option period extends from September 30, 2023 through September 29, 2024.</w:t>
      </w:r>
    </w:p>
    <w:p>
      <w:pPr>
        <w:pStyle w:val="TextBody"/>
        <w:bidi w:val="0"/>
        <w:spacing w:before="200" w:after="0"/>
        <w:jc w:val="both"/>
        <w:rPr>
          <w:rFonts w:ascii="Arial;sans-serif" w:hAnsi="Arial;sans-serif"/>
          <w:b w:val="false"/>
          <w:i/>
          <w:sz w:val="18"/>
        </w:rPr>
      </w:pPr>
      <w:r>
        <w:rPr>
          <w:rFonts w:ascii="Arial;sans-serif" w:hAnsi="Arial;sans-serif"/>
          <w:b w:val="false"/>
          <w:i/>
          <w:sz w:val="18"/>
        </w:rPr>
        <w:t>Other</w:t>
      </w:r>
    </w:p>
    <w:p>
      <w:pPr>
        <w:pStyle w:val="TextBody"/>
        <w:bidi w:val="0"/>
        <w:spacing w:before="200" w:after="0"/>
        <w:jc w:val="both"/>
        <w:rPr>
          <w:rFonts w:ascii="Arial;sans-serif" w:hAnsi="Arial;sans-serif"/>
          <w:b w:val="false"/>
          <w:sz w:val="18"/>
        </w:rPr>
      </w:pPr>
      <w:r>
        <w:rPr>
          <w:rFonts w:ascii="Arial;sans-serif" w:hAnsi="Arial;sans-serif"/>
          <w:b w:val="false"/>
          <w:sz w:val="18"/>
        </w:rPr>
        <w:t>Other revenue increased 522% and 246% in the second quarter and six months of 2023, respectively, or $0.2 million for both periods, due to higher revenue from university research projects.</w:t>
      </w:r>
    </w:p>
    <w:p>
      <w:pPr>
        <w:pStyle w:val="TextBody"/>
        <w:bidi w:val="0"/>
        <w:spacing w:before="240" w:after="0"/>
        <w:jc w:val="center"/>
        <w:rPr>
          <w:rFonts w:ascii="Arial;sans-serif" w:hAnsi="Arial;sans-serif"/>
          <w:b w:val="false"/>
          <w:sz w:val="18"/>
        </w:rPr>
      </w:pPr>
      <w:r>
        <w:rPr>
          <w:rFonts w:ascii="Arial;sans-serif" w:hAnsi="Arial;sans-serif"/>
          <w:b w:val="false"/>
          <w:sz w:val="18"/>
        </w:rPr>
        <w:t>23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200"/>
        <w:jc w:val="both"/>
        <w:rPr>
          <w:rFonts w:ascii="Arial;sans-serif" w:hAnsi="Arial;sans-serif"/>
          <w:b/>
          <w:i/>
          <w:sz w:val="18"/>
        </w:rPr>
      </w:pPr>
      <w:r>
        <w:rPr>
          <w:rFonts w:ascii="Arial;sans-serif" w:hAnsi="Arial;sans-serif"/>
          <w:b/>
          <w:i/>
          <w:sz w:val="18"/>
        </w:rPr>
        <w:t>Costs and Expenses</w:t>
      </w:r>
    </w:p>
    <w:tbl>
      <w:tblPr>
        <w:tblW w:w="10090" w:type="dxa"/>
        <w:jc w:val="left"/>
        <w:tblInd w:w="0" w:type="dxa"/>
        <w:tblLayout w:type="fixed"/>
        <w:tblCellMar>
          <w:top w:w="28" w:type="dxa"/>
          <w:left w:w="28" w:type="dxa"/>
          <w:bottom w:w="28" w:type="dxa"/>
          <w:right w:w="28" w:type="dxa"/>
        </w:tblCellMar>
      </w:tblPr>
      <w:tblGrid>
        <w:gridCol w:w="2956"/>
        <w:gridCol w:w="146"/>
        <w:gridCol w:w="251"/>
        <w:gridCol w:w="805"/>
        <w:gridCol w:w="173"/>
        <w:gridCol w:w="173"/>
        <w:gridCol w:w="251"/>
        <w:gridCol w:w="805"/>
        <w:gridCol w:w="146"/>
        <w:gridCol w:w="146"/>
        <w:gridCol w:w="721"/>
        <w:gridCol w:w="146"/>
        <w:gridCol w:w="229"/>
        <w:gridCol w:w="736"/>
        <w:gridCol w:w="159"/>
        <w:gridCol w:w="159"/>
        <w:gridCol w:w="229"/>
        <w:gridCol w:w="736"/>
        <w:gridCol w:w="146"/>
        <w:gridCol w:w="146"/>
        <w:gridCol w:w="83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r>
      <w:tr>
        <w:trPr/>
        <w:tc>
          <w:tcPr>
            <w:tcW w:w="29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58" w:type="dxa"/>
            <w:gridSpan w:val="6"/>
            <w:tcBorders/>
            <w:vAlign w:val="center"/>
          </w:tcPr>
          <w:p>
            <w:pPr>
              <w:pStyle w:val="TableContents"/>
              <w:bidi w:val="0"/>
              <w:spacing w:before="0" w:after="0"/>
              <w:ind w:left="0" w:right="0" w:hanging="0"/>
              <w:jc w:val="center"/>
              <w:rPr>
                <w:rFonts w:ascii="Arial;sans-serif" w:hAnsi="Arial;sans-serif"/>
                <w:b w:val="false"/>
                <w:sz w:val="16"/>
              </w:rPr>
            </w:pPr>
            <w:r>
              <w:rPr>
                <w:rFonts w:ascii="Arial;sans-serif" w:hAnsi="Arial;sans-serif"/>
                <w:b w:val="false"/>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8" w:type="dxa"/>
            <w:gridSpan w:val="6"/>
            <w:tcBorders/>
            <w:vAlign w:val="center"/>
          </w:tcPr>
          <w:p>
            <w:pPr>
              <w:pStyle w:val="TableContents"/>
              <w:bidi w:val="0"/>
              <w:spacing w:before="0" w:after="0"/>
              <w:ind w:left="0" w:right="0" w:hanging="0"/>
              <w:jc w:val="center"/>
              <w:rPr>
                <w:rFonts w:ascii="Arial;sans-serif" w:hAnsi="Arial;sans-serif"/>
                <w:b w:val="false"/>
                <w:sz w:val="15"/>
              </w:rPr>
            </w:pPr>
            <w:r>
              <w:rPr>
                <w:rFonts w:ascii="Arial;sans-serif" w:hAnsi="Arial;sans-serif"/>
                <w:b w:val="false"/>
                <w:sz w:val="15"/>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Cost of revenue</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11,907</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(15%)</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26,037</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24,908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5%</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Research and development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17,852</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34,425</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12,134</w:t>
            </w:r>
          </w:p>
        </w:tc>
        <w:tc>
          <w:tcPr>
            <w:tcW w:w="173"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05"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(24%)</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26,231</w:t>
            </w:r>
          </w:p>
        </w:tc>
        <w:tc>
          <w:tcPr>
            <w:tcW w:w="159" w:type="dxa"/>
            <w:tcBorders/>
            <w:vAlign w:val="center"/>
          </w:tcPr>
          <w:p>
            <w:pPr>
              <w:pStyle w:val="TableContents"/>
              <w:bidi w:val="0"/>
              <w:spacing w:before="0" w:after="0"/>
              <w:ind w:left="0" w:right="0" w:hanging="0"/>
              <w:jc w:val="left"/>
              <w:rPr/>
            </w:pPr>
            <w:r>
              <w:rPr/>
              <w:t> </w:t>
            </w:r>
          </w:p>
        </w:tc>
        <w:tc>
          <w:tcPr>
            <w:tcW w:w="159"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31,360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(16%)</w:t>
            </w:r>
          </w:p>
        </w:tc>
      </w:tr>
      <w:tr>
        <w:trPr/>
        <w:tc>
          <w:tcPr>
            <w:tcW w:w="295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Restructuring and other charges</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152</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100%</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4,037</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firstLine="200"/>
              <w:jc w:val="center"/>
              <w:rPr>
                <w:rFonts w:ascii="Arial;sans-serif" w:hAnsi="Arial;sans-serif"/>
                <w:b w:val="false"/>
                <w:sz w:val="18"/>
              </w:rPr>
            </w:pPr>
            <w:r>
              <w:rPr>
                <w:rFonts w:ascii="Arial;sans-serif" w:hAnsi="Arial;sans-serif"/>
                <w:b w:val="false"/>
                <w:sz w:val="18"/>
              </w:rPr>
              <w:t>100%</w:t>
            </w:r>
          </w:p>
        </w:tc>
      </w:tr>
      <w:tr>
        <w:trPr/>
        <w:tc>
          <w:tcPr>
            <w:tcW w:w="2956" w:type="dxa"/>
            <w:tcBorders/>
            <w:vAlign w:val="center"/>
          </w:tcPr>
          <w:p>
            <w:pPr>
              <w:pStyle w:val="TableContents"/>
              <w:bidi w:val="0"/>
              <w:spacing w:before="0" w:after="0"/>
              <w:ind w:left="200" w:right="0" w:hanging="0"/>
              <w:jc w:val="left"/>
              <w:rPr>
                <w:rFonts w:ascii="Arial;sans-serif" w:hAnsi="Arial;sans-serif"/>
                <w:b w:val="false"/>
                <w:sz w:val="18"/>
              </w:rPr>
            </w:pPr>
            <w:r>
              <w:rPr>
                <w:rFonts w:ascii="Arial;sans-serif" w:hAnsi="Arial;sans-serif"/>
                <w:b w:val="false"/>
                <w:sz w:val="18"/>
              </w:rPr>
              <w:t>Total costs and expenses</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42,045</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46,121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(9%)</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90,730</w:t>
            </w:r>
          </w:p>
        </w:tc>
        <w:tc>
          <w:tcPr>
            <w:tcW w:w="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89,654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w:t>
            </w:r>
          </w:p>
        </w:tc>
      </w:tr>
    </w:tbl>
    <w:p>
      <w:pPr>
        <w:pStyle w:val="TextBody"/>
        <w:bidi w:val="0"/>
        <w:spacing w:before="200" w:after="0"/>
        <w:jc w:val="both"/>
        <w:rPr>
          <w:rFonts w:ascii="Arial;sans-serif" w:hAnsi="Arial;sans-serif"/>
          <w:b w:val="false"/>
          <w:i/>
          <w:sz w:val="18"/>
        </w:rPr>
      </w:pPr>
      <w:r>
        <w:rPr>
          <w:rFonts w:ascii="Arial;sans-serif" w:hAnsi="Arial;sans-serif"/>
          <w:b w:val="false"/>
          <w:i/>
          <w:sz w:val="18"/>
        </w:rPr>
        <w:t>Cost of revenue</w:t>
      </w:r>
    </w:p>
    <w:p>
      <w:pPr>
        <w:pStyle w:val="TextBody"/>
        <w:bidi w:val="0"/>
        <w:spacing w:before="200" w:after="0"/>
        <w:jc w:val="both"/>
        <w:rPr>
          <w:rFonts w:ascii="Arial;sans-serif" w:hAnsi="Arial;sans-serif"/>
          <w:b w:val="false"/>
          <w:sz w:val="18"/>
        </w:rPr>
      </w:pPr>
      <w:r>
        <w:rPr>
          <w:rFonts w:ascii="Arial;sans-serif" w:hAnsi="Arial;sans-serif"/>
          <w:b w:val="false"/>
          <w:sz w:val="18"/>
        </w:rPr>
        <w:t>The decrease in cost of revenue of 15%, or $2.1 million, in the second quarter of 2023 was due to lower revenue levels and dedication of more laboratory resources to support sample processing required for clinical evidence generation, which is a non-revenue generating activity and thus reported as R&amp;D expense. Specific components of the decrease were a $1.9 million decrease in shared laboratory costs due to said greater usage of our laboratory capacity for R&amp;D activities and a $1.0 million decrease in direct material costs due to lower revenue levels, partially offset by a $0.4 million increase in facilities costs, a $0.3 million increase in laboratory supplies and consumables (enterprise customer orders require more supplies to process as compared to other customer categories), and a $0.1 million increase in labor costs.</w:t>
      </w:r>
    </w:p>
    <w:p>
      <w:pPr>
        <w:pStyle w:val="TextBody"/>
        <w:bidi w:val="0"/>
        <w:spacing w:before="200" w:after="0"/>
        <w:jc w:val="both"/>
        <w:rPr>
          <w:rFonts w:ascii="Arial;sans-serif" w:hAnsi="Arial;sans-serif"/>
          <w:b w:val="false"/>
          <w:sz w:val="18"/>
        </w:rPr>
      </w:pPr>
      <w:r>
        <w:rPr>
          <w:rFonts w:ascii="Arial;sans-serif" w:hAnsi="Arial;sans-serif"/>
          <w:b w:val="false"/>
          <w:sz w:val="18"/>
        </w:rPr>
        <w:t>The increase in cost of revenue of 5%, or $1.1 million, in the first six months of 2023 was primarily due to higher revenue levels as well as higher fixed laboratory costs. Specific components of the increase were a $1.1 million increase in facilities costs and maintenance on lab equipment, a $0.5 million increase in raw material costs to support higher revenue levels, a $0.5 million increase in laboratory supplies and consumables (enterprise customer orders require more supplies to process as compared to other customer categories), and a $0.3 million increase in labor costs, partially offset by a $1.2 million decrease in shared laboratory costs due to greater usage of our laboratory capacity for R&amp;D activities.</w:t>
      </w:r>
    </w:p>
    <w:p>
      <w:pPr>
        <w:pStyle w:val="TextBody"/>
        <w:bidi w:val="0"/>
        <w:spacing w:before="200" w:after="0"/>
        <w:jc w:val="both"/>
        <w:rPr>
          <w:rFonts w:ascii="Arial;sans-serif" w:hAnsi="Arial;sans-serif"/>
          <w:b w:val="false"/>
          <w:i/>
          <w:sz w:val="18"/>
        </w:rPr>
      </w:pPr>
      <w:r>
        <w:rPr>
          <w:rFonts w:ascii="Arial;sans-serif" w:hAnsi="Arial;sans-serif"/>
          <w:b w:val="false"/>
          <w:i/>
          <w:sz w:val="18"/>
        </w:rPr>
        <w:t>Research and development</w:t>
      </w:r>
    </w:p>
    <w:p>
      <w:pPr>
        <w:pStyle w:val="TextBody"/>
        <w:bidi w:val="0"/>
        <w:spacing w:before="200" w:after="0"/>
        <w:jc w:val="both"/>
        <w:rPr>
          <w:rFonts w:ascii="Arial;sans-serif" w:hAnsi="Arial;sans-serif"/>
          <w:b w:val="false"/>
          <w:sz w:val="18"/>
        </w:rPr>
      </w:pPr>
      <w:r>
        <w:rPr>
          <w:rFonts w:ascii="Arial;sans-serif" w:hAnsi="Arial;sans-serif"/>
          <w:b w:val="false"/>
          <w:sz w:val="18"/>
        </w:rPr>
        <w:t>The increases in research and development expenses of 10%, or $1.6 million, in the second quarter of 2023, and 3%, or $1.0 million, in the first six months of 2023 were primarily due to increases in costs associated with clinical evidence generation and collaborations. Additionally, allocated facility costs have increased in 2023 as a result of the R&amp;D function moving into our new Fremont facility.</w:t>
      </w:r>
    </w:p>
    <w:p>
      <w:pPr>
        <w:pStyle w:val="TextBody"/>
        <w:bidi w:val="0"/>
        <w:spacing w:before="200" w:after="0"/>
        <w:jc w:val="both"/>
        <w:rPr>
          <w:rFonts w:ascii="Arial;sans-serif" w:hAnsi="Arial;sans-serif"/>
          <w:b w:val="false"/>
          <w:sz w:val="18"/>
        </w:rPr>
      </w:pPr>
      <w:r>
        <w:rPr>
          <w:rFonts w:ascii="Arial;sans-serif" w:hAnsi="Arial;sans-serif"/>
          <w:b w:val="false"/>
          <w:sz w:val="18"/>
        </w:rPr>
        <w:t>Specific components of the increase in the second quarter of 2023 were a $2.3 million increase in sample processing costs incurred in our laboratory for product development, collaborations, and clinical evidence generation; and a $1.4 million increase in facilities costs; partially offset by a $2.1 million decrease in personnel-related costs related to the 2023 reduction in workforce.</w:t>
      </w:r>
    </w:p>
    <w:p>
      <w:pPr>
        <w:pStyle w:val="TextBody"/>
        <w:bidi w:val="0"/>
        <w:spacing w:before="200" w:after="0"/>
        <w:jc w:val="both"/>
        <w:rPr>
          <w:rFonts w:ascii="Arial;sans-serif" w:hAnsi="Arial;sans-serif"/>
          <w:b w:val="false"/>
          <w:sz w:val="18"/>
        </w:rPr>
      </w:pPr>
      <w:r>
        <w:rPr>
          <w:rFonts w:ascii="Arial;sans-serif" w:hAnsi="Arial;sans-serif"/>
          <w:b w:val="false"/>
          <w:sz w:val="18"/>
        </w:rPr>
        <w:t>Specific components of the increase in the first six months of 2023 were a $2.9 million increase in facilities costs and a $1.3 million increase in sample processing costs incurred in our laboratory for product development, collaborations, and clinical evidence generation, partially offset by a $3.2 million decrease in personnel-related costs primarily related to the 2023 reduction in workforce.</w:t>
      </w:r>
    </w:p>
    <w:p>
      <w:pPr>
        <w:pStyle w:val="TextBody"/>
        <w:bidi w:val="0"/>
        <w:spacing w:before="200" w:after="0"/>
        <w:jc w:val="both"/>
        <w:rPr>
          <w:rFonts w:ascii="Arial;sans-serif" w:hAnsi="Arial;sans-serif"/>
          <w:b w:val="false"/>
          <w:i/>
          <w:sz w:val="18"/>
        </w:rPr>
      </w:pPr>
      <w:r>
        <w:rPr>
          <w:rFonts w:ascii="Arial;sans-serif" w:hAnsi="Arial;sans-serif"/>
          <w:b w:val="false"/>
          <w:i/>
          <w:sz w:val="18"/>
        </w:rPr>
        <w:t>Selling, general and administrative</w:t>
      </w:r>
    </w:p>
    <w:p>
      <w:pPr>
        <w:pStyle w:val="TextBody"/>
        <w:bidi w:val="0"/>
        <w:spacing w:before="200" w:after="0"/>
        <w:jc w:val="both"/>
        <w:rPr>
          <w:rFonts w:ascii="Arial;sans-serif" w:hAnsi="Arial;sans-serif"/>
          <w:b w:val="false"/>
          <w:sz w:val="18"/>
        </w:rPr>
      </w:pPr>
      <w:r>
        <w:rPr>
          <w:rFonts w:ascii="Arial;sans-serif" w:hAnsi="Arial;sans-serif"/>
          <w:b w:val="false"/>
          <w:sz w:val="18"/>
        </w:rPr>
        <w:t>The decreases in selling, general and administrative expenses of 24%, or $3.7 million, in the second quarter of 2023, and 16%, or $5.1 million, in the first six months of 2023 were primarily due to cost savings from our 2023 reduction in workforce.</w:t>
      </w:r>
    </w:p>
    <w:p>
      <w:pPr>
        <w:pStyle w:val="TextBody"/>
        <w:bidi w:val="0"/>
        <w:spacing w:before="200" w:after="0"/>
        <w:jc w:val="both"/>
        <w:rPr>
          <w:rFonts w:ascii="Arial;sans-serif" w:hAnsi="Arial;sans-serif"/>
          <w:b w:val="false"/>
          <w:sz w:val="18"/>
        </w:rPr>
      </w:pPr>
      <w:r>
        <w:rPr>
          <w:rFonts w:ascii="Arial;sans-serif" w:hAnsi="Arial;sans-serif"/>
          <w:b w:val="false"/>
          <w:sz w:val="18"/>
        </w:rPr>
        <w:t>Specific components of the decrease in the second quarter of 2023 were a $2.8 million decrease in personnel-related costs primarily related to the 2023 reduction in workforce, a $1.9 million decrease in facilities costs as a result of the R&amp;D function moving into our new Fremont facility and consequently receiving a share of such facility costs that were previously allocated to SG&amp;A, and a $0.4 million decrease in professional services, partially offset by a $1.4 million increase in depreciation of office-related fixtures and furniture (driven by our new Fremont headquarters).</w:t>
      </w:r>
    </w:p>
    <w:p>
      <w:pPr>
        <w:pStyle w:val="TextBody"/>
        <w:bidi w:val="0"/>
        <w:spacing w:before="200" w:after="0"/>
        <w:jc w:val="both"/>
        <w:rPr>
          <w:rFonts w:ascii="Arial;sans-serif" w:hAnsi="Arial;sans-serif"/>
          <w:b w:val="false"/>
          <w:sz w:val="18"/>
        </w:rPr>
      </w:pPr>
      <w:r>
        <w:rPr>
          <w:rFonts w:ascii="Arial;sans-serif" w:hAnsi="Arial;sans-serif"/>
          <w:b w:val="false"/>
          <w:sz w:val="18"/>
        </w:rPr>
        <w:t>Specific components of the decrease in the first six months of 2023 were a $4.6 million decrease in personnel-related costs primarily related to the 2023 reduction in workforce and a $3.6 million decrease in facilities costs as a result of the R&amp;D function moving into our new Fremont facility and consequently receiving a share of such facility costs that were previously allocated to SG&amp;A, partially offset by a $2.8 million increase in depreciation of office-related fixtures and furniture (driven by our new Fremont headquarters), and a $0.3 million increase in sales-related expenses.</w:t>
      </w:r>
    </w:p>
    <w:p>
      <w:pPr>
        <w:pStyle w:val="TextBody"/>
        <w:bidi w:val="0"/>
        <w:spacing w:before="200" w:after="0"/>
        <w:jc w:val="both"/>
        <w:rPr>
          <w:rFonts w:ascii="Arial;sans-serif" w:hAnsi="Arial;sans-serif"/>
          <w:b w:val="false"/>
          <w:i/>
          <w:sz w:val="18"/>
        </w:rPr>
      </w:pPr>
      <w:r>
        <w:rPr>
          <w:rFonts w:ascii="Arial;sans-serif" w:hAnsi="Arial;sans-serif"/>
          <w:b w:val="false"/>
          <w:i/>
          <w:sz w:val="18"/>
        </w:rPr>
        <w:t>Restructuring and other charges</w:t>
      </w:r>
    </w:p>
    <w:p>
      <w:pPr>
        <w:pStyle w:val="TextBody"/>
        <w:bidi w:val="0"/>
        <w:spacing w:before="200" w:after="0"/>
        <w:jc w:val="both"/>
        <w:rPr>
          <w:rFonts w:ascii="Arial;sans-serif" w:hAnsi="Arial;sans-serif"/>
          <w:b w:val="false"/>
          <w:sz w:val="18"/>
        </w:rPr>
      </w:pPr>
      <w:r>
        <w:rPr>
          <w:rFonts w:ascii="Arial;sans-serif" w:hAnsi="Arial;sans-serif"/>
          <w:b w:val="false"/>
          <w:sz w:val="18"/>
        </w:rPr>
        <w:t>The $4.0 million in restructuring and other charges recognized during the first six months of 2023 is comprised of $3.1 million in charges related to our 2023 reduction in workforce and $0.9 million in charges related to the closure of our China operations.</w:t>
      </w:r>
    </w:p>
    <w:p>
      <w:pPr>
        <w:pStyle w:val="TextBody"/>
        <w:bidi w:val="0"/>
        <w:spacing w:before="240" w:after="0"/>
        <w:jc w:val="center"/>
        <w:rPr>
          <w:rFonts w:ascii="Arial;sans-serif" w:hAnsi="Arial;sans-serif"/>
          <w:b w:val="false"/>
          <w:sz w:val="18"/>
        </w:rPr>
      </w:pPr>
      <w:r>
        <w:rPr>
          <w:rFonts w:ascii="Arial;sans-serif" w:hAnsi="Arial;sans-serif"/>
          <w:b w:val="false"/>
          <w:sz w:val="18"/>
        </w:rPr>
        <w:t>24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The workforce reduction affected nearly 100 employees and was substantially completed during the first quarter of 2023. We recognized $3.1 million in expenses during the first quarter in connection with these terminations, comprised of separation pay and healthcare benefits payable in cash, all of which were paid as of June 30, 2023.</w:t>
      </w:r>
    </w:p>
    <w:p>
      <w:pPr>
        <w:pStyle w:val="TextBody"/>
        <w:bidi w:val="0"/>
        <w:spacing w:before="200" w:after="0"/>
        <w:jc w:val="both"/>
        <w:rPr>
          <w:rFonts w:ascii="Arial;sans-serif" w:hAnsi="Arial;sans-serif"/>
          <w:b w:val="false"/>
          <w:sz w:val="18"/>
        </w:rPr>
      </w:pPr>
      <w:r>
        <w:rPr>
          <w:rFonts w:ascii="Arial;sans-serif" w:hAnsi="Arial;sans-serif"/>
          <w:b w:val="false"/>
          <w:sz w:val="18"/>
        </w:rPr>
        <w:t>During the second quarter and first six months of 2023, expenses of $0.1 million and $0.9 million were recognized, respectively, in connection with China closure activities. $0.3 million of such expenses related to one-time employee termination benefits for the Company's 12 employees located in China and were payable in cash. Substantially all of the terminations were completed during the first quarter of 2023, along with the related cash outlays. The remaining $0.6 million in expenses were comprised primarily of non-cash charges, including losses on disposal of fixed assets and impairments of other assets. We may incur additional costs as closure activities continue throughout 2023, however, such future costs are not expected to be significant.</w:t>
      </w:r>
    </w:p>
    <w:p>
      <w:pPr>
        <w:pStyle w:val="TextBody"/>
        <w:bidi w:val="0"/>
        <w:spacing w:before="200" w:after="200"/>
        <w:jc w:val="both"/>
        <w:rPr>
          <w:rFonts w:ascii="Arial;sans-serif" w:hAnsi="Arial;sans-serif"/>
          <w:b/>
          <w:i/>
          <w:sz w:val="18"/>
        </w:rPr>
      </w:pPr>
      <w:r>
        <w:rPr>
          <w:rFonts w:ascii="Arial;sans-serif" w:hAnsi="Arial;sans-serif"/>
          <w:b/>
          <w:i/>
          <w:sz w:val="18"/>
        </w:rPr>
        <w:t>Interest Income, Interest Expense, and Other Income (Expense), Net</w:t>
      </w:r>
    </w:p>
    <w:tbl>
      <w:tblPr>
        <w:tblW w:w="9540" w:type="dxa"/>
        <w:jc w:val="left"/>
        <w:tblInd w:w="0" w:type="dxa"/>
        <w:tblLayout w:type="fixed"/>
        <w:tblCellMar>
          <w:top w:w="28" w:type="dxa"/>
          <w:left w:w="28" w:type="dxa"/>
          <w:bottom w:w="28" w:type="dxa"/>
          <w:right w:w="28" w:type="dxa"/>
        </w:tblCellMar>
      </w:tblPr>
      <w:tblGrid>
        <w:gridCol w:w="2431"/>
        <w:gridCol w:w="146"/>
        <w:gridCol w:w="300"/>
        <w:gridCol w:w="814"/>
        <w:gridCol w:w="236"/>
        <w:gridCol w:w="208"/>
        <w:gridCol w:w="300"/>
        <w:gridCol w:w="600"/>
        <w:gridCol w:w="166"/>
        <w:gridCol w:w="146"/>
        <w:gridCol w:w="721"/>
        <w:gridCol w:w="146"/>
        <w:gridCol w:w="265"/>
        <w:gridCol w:w="719"/>
        <w:gridCol w:w="209"/>
        <w:gridCol w:w="184"/>
        <w:gridCol w:w="265"/>
        <w:gridCol w:w="606"/>
        <w:gridCol w:w="166"/>
        <w:gridCol w:w="146"/>
        <w:gridCol w:w="76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Change</w:t>
            </w:r>
          </w:p>
        </w:tc>
      </w:tr>
      <w:tr>
        <w:trPr/>
        <w:tc>
          <w:tcPr>
            <w:tcW w:w="24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pPr>
            <w:r>
              <w:rPr/>
              <w:t> </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Interest income</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1,465</w:t>
            </w:r>
          </w:p>
        </w:tc>
        <w:tc>
          <w:tcPr>
            <w:tcW w:w="23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0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320%</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1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2,718</w:t>
            </w:r>
          </w:p>
        </w:tc>
        <w:tc>
          <w:tcPr>
            <w:tcW w:w="209"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0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451%</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Interest expense</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(39</w:t>
            </w:r>
          </w:p>
        </w:tc>
        <w:tc>
          <w:tcPr>
            <w:tcW w:w="2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208"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(22%)</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(86</w:t>
            </w:r>
          </w:p>
        </w:tc>
        <w:tc>
          <w:tcPr>
            <w:tcW w:w="20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84"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606"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(109</w:t>
            </w:r>
          </w:p>
        </w:tc>
        <w:tc>
          <w:tcPr>
            <w:tcW w:w="16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(21%)</w:t>
            </w:r>
          </w:p>
        </w:tc>
      </w:tr>
      <w:tr>
        <w:trPr/>
        <w:tc>
          <w:tcPr>
            <w:tcW w:w="24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Other income (expense), net</w:t>
            </w:r>
          </w:p>
        </w:tc>
        <w:tc>
          <w:tcPr>
            <w:tcW w:w="146" w:type="dxa"/>
            <w:tcBorders/>
            <w:vAlign w:val="center"/>
          </w:tcPr>
          <w:p>
            <w:pPr>
              <w:pStyle w:val="TableContents"/>
              <w:bidi w:val="0"/>
              <w:spacing w:before="0" w:after="0"/>
              <w:ind w:left="0" w:right="0" w:hanging="0"/>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(98%)</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(25</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firstLine="200"/>
              <w:jc w:val="center"/>
              <w:rPr/>
            </w:pPr>
            <w:r>
              <w:rPr/>
              <w:t> </w:t>
            </w:r>
          </w:p>
        </w:tc>
      </w:tr>
      <w:tr>
        <w:trPr/>
        <w:tc>
          <w:tcPr>
            <w:tcW w:w="2431" w:type="dxa"/>
            <w:tcBorders/>
            <w:vAlign w:val="center"/>
          </w:tcPr>
          <w:p>
            <w:pPr>
              <w:pStyle w:val="TableContents"/>
              <w:bidi w:val="0"/>
              <w:spacing w:before="0" w:after="0"/>
              <w:ind w:left="0" w:right="0" w:firstLine="200"/>
              <w:jc w:val="left"/>
              <w:rPr>
                <w:rFonts w:ascii="Arial;sans-serif" w:hAnsi="Arial;sans-serif"/>
                <w:b w:val="false"/>
                <w:sz w:val="18"/>
              </w:rPr>
            </w:pPr>
            <w:r>
              <w:rPr>
                <w:rFonts w:ascii="Arial;sans-serif" w:hAnsi="Arial;sans-serif"/>
                <w:b w:val="false"/>
                <w:sz w:val="18"/>
              </w:rPr>
              <w:t>Total</w:t>
            </w:r>
          </w:p>
        </w:tc>
        <w:tc>
          <w:tcPr>
            <w:tcW w:w="146" w:type="dxa"/>
            <w:tcBorders/>
            <w:vAlign w:val="center"/>
          </w:tcPr>
          <w:p>
            <w:pPr>
              <w:pStyle w:val="TableContents"/>
              <w:bidi w:val="0"/>
              <w:spacing w:before="0" w:after="0"/>
              <w:ind w:left="200" w:right="0" w:hanging="0"/>
              <w:jc w:val="left"/>
              <w:rPr/>
            </w:pPr>
            <w:r>
              <w:rPr/>
              <w:t> </w:t>
            </w:r>
          </w:p>
        </w:tc>
        <w:tc>
          <w:tcPr>
            <w:tcW w:w="3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1,427</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2,607</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6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453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 </w:t>
            </w:r>
          </w:p>
        </w:tc>
      </w:tr>
    </w:tbl>
    <w:p>
      <w:pPr>
        <w:pStyle w:val="TextBody"/>
        <w:bidi w:val="0"/>
        <w:spacing w:before="200" w:after="0"/>
        <w:jc w:val="both"/>
        <w:rPr>
          <w:rFonts w:ascii="Arial;sans-serif" w:hAnsi="Arial;sans-serif"/>
          <w:b w:val="false"/>
          <w:i/>
          <w:sz w:val="18"/>
        </w:rPr>
      </w:pPr>
      <w:r>
        <w:rPr>
          <w:rFonts w:ascii="Arial;sans-serif" w:hAnsi="Arial;sans-serif"/>
          <w:b w:val="false"/>
          <w:i/>
          <w:sz w:val="18"/>
        </w:rPr>
        <w:t>Interest income and interest expense</w:t>
      </w:r>
    </w:p>
    <w:p>
      <w:pPr>
        <w:pStyle w:val="TextBody"/>
        <w:bidi w:val="0"/>
        <w:spacing w:before="200" w:after="0"/>
        <w:jc w:val="both"/>
        <w:rPr>
          <w:rFonts w:ascii="Arial;sans-serif" w:hAnsi="Arial;sans-serif"/>
          <w:b w:val="false"/>
          <w:sz w:val="18"/>
        </w:rPr>
      </w:pPr>
      <w:r>
        <w:rPr>
          <w:rFonts w:ascii="Arial;sans-serif" w:hAnsi="Arial;sans-serif"/>
          <w:b w:val="false"/>
          <w:sz w:val="18"/>
        </w:rPr>
        <w:t>The increases in interest income in the second quarter and first six months of 2023 were due to increased yields on our investments. Interest expense in both periods presented was the recognition of imputed interest on noninterest bearing loans.</w:t>
      </w:r>
    </w:p>
    <w:p>
      <w:pPr>
        <w:pStyle w:val="TextBody"/>
        <w:bidi w:val="0"/>
        <w:spacing w:before="200" w:after="0"/>
        <w:jc w:val="both"/>
        <w:rPr>
          <w:rFonts w:ascii="Arial;sans-serif" w:hAnsi="Arial;sans-serif"/>
          <w:b w:val="false"/>
          <w:i/>
          <w:sz w:val="18"/>
        </w:rPr>
      </w:pPr>
      <w:r>
        <w:rPr>
          <w:rFonts w:ascii="Arial;sans-serif" w:hAnsi="Arial;sans-serif"/>
          <w:b w:val="false"/>
          <w:i/>
          <w:sz w:val="18"/>
        </w:rPr>
        <w:t>Other income (expense), net</w:t>
      </w:r>
    </w:p>
    <w:p>
      <w:pPr>
        <w:pStyle w:val="TextBody"/>
        <w:bidi w:val="0"/>
        <w:spacing w:before="200" w:after="0"/>
        <w:jc w:val="both"/>
        <w:rPr>
          <w:rFonts w:ascii="Arial;sans-serif" w:hAnsi="Arial;sans-serif"/>
          <w:b w:val="false"/>
          <w:sz w:val="18"/>
        </w:rPr>
      </w:pPr>
      <w:r>
        <w:rPr>
          <w:rFonts w:ascii="Arial;sans-serif" w:hAnsi="Arial;sans-serif"/>
          <w:b w:val="false"/>
          <w:sz w:val="18"/>
        </w:rPr>
        <w:t>Other income (expense), net during the periods presented consisted mainly of foreign currency remeasurements.</w:t>
      </w:r>
    </w:p>
    <w:p>
      <w:pPr>
        <w:pStyle w:val="TextBody"/>
        <w:bidi w:val="0"/>
        <w:spacing w:before="200" w:after="0"/>
        <w:jc w:val="both"/>
        <w:rPr>
          <w:rFonts w:ascii="Arial;sans-serif" w:hAnsi="Arial;sans-serif"/>
          <w:b/>
          <w:sz w:val="18"/>
        </w:rPr>
      </w:pPr>
      <w:r>
        <w:rPr>
          <w:rFonts w:ascii="Arial;sans-serif" w:hAnsi="Arial;sans-serif"/>
          <w:b/>
          <w:sz w:val="18"/>
        </w:rPr>
        <w:t>Liquidity and Capital Resources</w:t>
      </w:r>
    </w:p>
    <w:p>
      <w:pPr>
        <w:pStyle w:val="TextBody"/>
        <w:bidi w:val="0"/>
        <w:spacing w:before="200" w:after="200"/>
        <w:jc w:val="both"/>
        <w:rPr>
          <w:rFonts w:ascii="Arial;sans-serif" w:hAnsi="Arial;sans-serif"/>
          <w:b w:val="false"/>
          <w:sz w:val="18"/>
        </w:rPr>
      </w:pPr>
      <w:r>
        <w:rPr>
          <w:rFonts w:ascii="Arial;sans-serif" w:hAnsi="Arial;sans-serif"/>
          <w:b w:val="false"/>
          <w:sz w:val="18"/>
        </w:rPr>
        <w:t>The following tables present selected financial information and cash flow information (in thousands):</w:t>
      </w:r>
    </w:p>
    <w:tbl>
      <w:tblPr>
        <w:tblW w:w="8010" w:type="dxa"/>
        <w:jc w:val="left"/>
        <w:tblInd w:w="0" w:type="dxa"/>
        <w:tblLayout w:type="fixed"/>
        <w:tblCellMar>
          <w:top w:w="28" w:type="dxa"/>
          <w:left w:w="28" w:type="dxa"/>
          <w:bottom w:w="28" w:type="dxa"/>
          <w:right w:w="28" w:type="dxa"/>
        </w:tblCellMar>
      </w:tblPr>
      <w:tblGrid>
        <w:gridCol w:w="4636"/>
        <w:gridCol w:w="146"/>
        <w:gridCol w:w="249"/>
        <w:gridCol w:w="921"/>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Cash and cash equivalents, and short-term investments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137,207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167,658</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59,486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61,935</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Contract liabilities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6,967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1,264</w:t>
            </w:r>
          </w:p>
        </w:tc>
        <w:tc>
          <w:tcPr>
            <w:tcW w:w="191" w:type="dxa"/>
            <w:tcBorders/>
            <w:vAlign w:val="center"/>
          </w:tcPr>
          <w:p>
            <w:pPr>
              <w:pStyle w:val="TableContents"/>
              <w:bidi w:val="0"/>
              <w:spacing w:before="0" w:after="0"/>
              <w:ind w:left="0" w:right="0" w:hanging="0"/>
              <w:jc w:val="left"/>
              <w:rPr/>
            </w:pPr>
            <w:r>
              <w:rPr/>
              <w:t> </w:t>
            </w:r>
          </w:p>
        </w:tc>
      </w:tr>
      <w:tr>
        <w:trPr/>
        <w:tc>
          <w:tcPr>
            <w:tcW w:w="463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Working capital</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132,363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1240"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166,568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Arial;sans-serif" w:hAnsi="Arial;sans-serif"/>
          <w:b w:val="false"/>
          <w:sz w:val="18"/>
        </w:rPr>
      </w:pPr>
      <w:r>
        <w:rPr>
          <w:rFonts w:ascii="Arial;sans-serif" w:hAnsi="Arial;sans-serif"/>
          <w:b w:val="false"/>
          <w:sz w:val="18"/>
        </w:rPr>
        <w:t>From our inception through June 30, 2023, we have funded our operations primarily from $279.0 million in net proceeds from our follow-on equity offerings in August 2020 and January 2021, $144.0 million in net proceeds from our IPO in June 2019, $89.6 million from issuance of redeemable convertible preferred stock, $1.9 million in net proceeds from our ATM facility, as well as cash from operations and debt financings. As of June 30, 2023, we had cash and cash equivalents of $97.2 million and short-term investments of $40.0 million.</w:t>
      </w:r>
    </w:p>
    <w:p>
      <w:pPr>
        <w:pStyle w:val="TextBody"/>
        <w:bidi w:val="0"/>
        <w:spacing w:before="200" w:after="0"/>
        <w:jc w:val="both"/>
        <w:rPr>
          <w:rFonts w:ascii="Arial;sans-serif" w:hAnsi="Arial;sans-serif"/>
          <w:b w:val="false"/>
          <w:sz w:val="18"/>
        </w:rPr>
      </w:pPr>
      <w:r>
        <w:rPr>
          <w:rFonts w:ascii="Arial;sans-serif" w:hAnsi="Arial;sans-serif"/>
          <w:b w:val="false"/>
          <w:sz w:val="18"/>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pStyle w:val="TextBody"/>
        <w:bidi w:val="0"/>
        <w:spacing w:before="200" w:after="0"/>
        <w:jc w:val="both"/>
        <w:rPr>
          <w:rFonts w:ascii="Arial;sans-serif" w:hAnsi="Arial;sans-serif"/>
          <w:b w:val="false"/>
          <w:sz w:val="18"/>
        </w:rPr>
      </w:pPr>
      <w:r>
        <w:rPr>
          <w:rFonts w:ascii="Arial;sans-serif" w:hAnsi="Arial;sans-serif"/>
          <w:b w:val="false"/>
          <w:sz w:val="18"/>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prospectus supplement in January 2022 pursuant to which we could offer and sell additional shares of our common stock up to an aggregate amount of $100.0 million through our ATM facility. As of June 30, 2023, $98.1 million in common stock remained available for future issuance under the facility.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pStyle w:val="TextBody"/>
        <w:bidi w:val="0"/>
        <w:spacing w:before="200" w:after="0"/>
        <w:jc w:val="both"/>
        <w:rPr>
          <w:rFonts w:ascii="Arial;sans-serif" w:hAnsi="Arial;sans-serif"/>
          <w:b w:val="false"/>
          <w:sz w:val="18"/>
        </w:rPr>
      </w:pPr>
      <w:r>
        <w:rPr>
          <w:rFonts w:ascii="Arial;sans-serif" w:hAnsi="Arial;sans-serif"/>
          <w:b w:val="false"/>
          <w:sz w:val="18"/>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pStyle w:val="TextBody"/>
        <w:bidi w:val="0"/>
        <w:spacing w:before="240" w:after="0"/>
        <w:jc w:val="center"/>
        <w:rPr>
          <w:rFonts w:ascii="Arial;sans-serif" w:hAnsi="Arial;sans-serif"/>
          <w:b w:val="false"/>
          <w:sz w:val="18"/>
        </w:rPr>
      </w:pPr>
      <w:r>
        <w:rPr>
          <w:rFonts w:ascii="Arial;sans-serif" w:hAnsi="Arial;sans-serif"/>
          <w:b w:val="false"/>
          <w:sz w:val="18"/>
        </w:rPr>
        <w:t>25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As of June 30, 2023, cash and cash equivalents held by foreign subsidiaries was $1.1 million, the majority of which was held by our China subsidiary. We announced the closure of our China operations early in 2023 and plan to repatriate any cash balances back to our headquarters by the end of 2023. Additionally, if in the future, we encounter a significant need for liquidity domestically or at a particular location that we cannot fulfill through borrowings, equity offerings, or other internal or external sources, or the cost to bring back the money is not significant from a tax perspective, we may determine that cash repatriations are necessary or desirable. Repatriation could result in additional material taxes. These factors may cause us to have an overall tax rate higher than other companies or higher than our tax rates have been in the past.</w:t>
      </w:r>
    </w:p>
    <w:p>
      <w:pPr>
        <w:pStyle w:val="TextBody"/>
        <w:bidi w:val="0"/>
        <w:spacing w:before="0" w:after="0"/>
        <w:jc w:val="left"/>
        <w:rPr/>
      </w:pPr>
      <w:r>
        <w:rPr/>
        <w:t> </w:t>
      </w:r>
    </w:p>
    <w:p>
      <w:pPr>
        <w:pStyle w:val="TextBody"/>
        <w:bidi w:val="0"/>
        <w:spacing w:before="0" w:after="0"/>
        <w:jc w:val="left"/>
        <w:rPr>
          <w:rFonts w:ascii="Arial;sans-serif" w:hAnsi="Arial;sans-serif"/>
          <w:b/>
          <w:i/>
          <w:sz w:val="18"/>
        </w:rPr>
      </w:pPr>
      <w:r>
        <w:rPr>
          <w:rFonts w:ascii="Arial;sans-serif" w:hAnsi="Arial;sans-serif"/>
          <w:b/>
          <w:i/>
          <w:sz w:val="18"/>
        </w:rPr>
        <w:t>Cash Flows</w:t>
      </w:r>
    </w:p>
    <w:p>
      <w:pPr>
        <w:pStyle w:val="TextBody"/>
        <w:bidi w:val="0"/>
        <w:spacing w:before="0" w:after="0"/>
        <w:jc w:val="left"/>
        <w:rPr/>
      </w:pPr>
      <w:r>
        <w:rPr/>
        <w:t> </w:t>
      </w:r>
    </w:p>
    <w:tbl>
      <w:tblPr>
        <w:tblW w:w="5997" w:type="dxa"/>
        <w:jc w:val="left"/>
        <w:tblInd w:w="0" w:type="dxa"/>
        <w:tblLayout w:type="fixed"/>
        <w:tblCellMar>
          <w:top w:w="28" w:type="dxa"/>
          <w:left w:w="28" w:type="dxa"/>
          <w:bottom w:w="28" w:type="dxa"/>
          <w:right w:w="28" w:type="dxa"/>
        </w:tblCellMar>
      </w:tblPr>
      <w:tblGrid>
        <w:gridCol w:w="3391"/>
        <w:gridCol w:w="146"/>
        <w:gridCol w:w="215"/>
        <w:gridCol w:w="751"/>
        <w:gridCol w:w="169"/>
        <w:gridCol w:w="148"/>
        <w:gridCol w:w="215"/>
        <w:gridCol w:w="751"/>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4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(26,159</w:t>
            </w:r>
          </w:p>
        </w:tc>
        <w:tc>
          <w:tcPr>
            <w:tcW w:w="169"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c>
          <w:tcPr>
            <w:tcW w:w="75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(38,706</w:t>
            </w:r>
          </w:p>
        </w:tc>
        <w:tc>
          <w:tcPr>
            <w:tcW w:w="21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339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33,342</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19,860</w:t>
            </w:r>
          </w:p>
        </w:tc>
        <w:tc>
          <w:tcPr>
            <w:tcW w:w="2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925</w:t>
            </w:r>
          </w:p>
        </w:tc>
        <w:tc>
          <w:tcPr>
            <w:tcW w:w="169"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sans-serif" w:hAnsi="Arial;sans-serif"/>
                <w:b w:val="false"/>
                <w:sz w:val="18"/>
              </w:rPr>
            </w:pPr>
            <w:r>
              <w:rPr>
                <w:rFonts w:ascii="Arial;sans-serif" w:hAnsi="Arial;sans-serif"/>
                <w:b w:val="false"/>
                <w:sz w:val="18"/>
              </w:rPr>
              <w:t>95</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Arial;sans-serif" w:hAnsi="Arial;sans-serif"/>
          <w:b w:val="false"/>
          <w:sz w:val="18"/>
        </w:rPr>
      </w:pPr>
      <w:r>
        <w:rPr>
          <w:rFonts w:ascii="Arial;sans-serif" w:hAnsi="Arial;sans-serif"/>
          <w:b w:val="false"/>
          <w:sz w:val="18"/>
        </w:rPr>
        <w:t>The $12.5 million decrease in cash used in operating activities during the first six months of 2023 as compared to the first six months of 2022 was primarily due to higher customer deposits received (primarily in connection with our agreement with Moderna to support its ongoing clinical trials evaluating a personalized cancer vaccine) and lower inventory purchases.</w:t>
      </w:r>
    </w:p>
    <w:p>
      <w:pPr>
        <w:pStyle w:val="TextBody"/>
        <w:bidi w:val="0"/>
        <w:spacing w:before="200" w:after="0"/>
        <w:jc w:val="both"/>
        <w:rPr>
          <w:rFonts w:ascii="Arial;sans-serif" w:hAnsi="Arial;sans-serif"/>
          <w:b w:val="false"/>
          <w:sz w:val="18"/>
        </w:rPr>
      </w:pPr>
      <w:r>
        <w:rPr>
          <w:rFonts w:ascii="Arial;sans-serif" w:hAnsi="Arial;sans-serif"/>
          <w:b w:val="false"/>
          <w:sz w:val="18"/>
        </w:rPr>
        <w:t>The $13.5 million increase in cash provided by investing activities during the first six months of 2023 as compared to the first six months of 2022 was primarily due to a reduction in capital expenditures, which were significantly higher during 2022 in connection with the build-out of our Fremont facility, and higher net proceeds from short-term investments.</w:t>
      </w:r>
    </w:p>
    <w:p>
      <w:pPr>
        <w:pStyle w:val="TextBody"/>
        <w:bidi w:val="0"/>
        <w:spacing w:before="200" w:after="0"/>
        <w:jc w:val="both"/>
        <w:rPr>
          <w:rFonts w:ascii="Arial;sans-serif" w:hAnsi="Arial;sans-serif"/>
          <w:b w:val="false"/>
          <w:sz w:val="18"/>
        </w:rPr>
      </w:pPr>
      <w:r>
        <w:rPr>
          <w:rFonts w:ascii="Arial;sans-serif" w:hAnsi="Arial;sans-serif"/>
          <w:b w:val="false"/>
          <w:sz w:val="18"/>
        </w:rPr>
        <w:t>The $0.8 million increase in cash provided by financing activities during the first six months of 2023 as compared to the first six months of 2022 was driven by $1.9 million in proceeds from sales of common stock under our ATM facility, partially offset by lower proceeds from employee stock option exercises.</w:t>
      </w:r>
    </w:p>
    <w:p>
      <w:pPr>
        <w:pStyle w:val="TextBody"/>
        <w:bidi w:val="0"/>
        <w:spacing w:before="200" w:after="0"/>
        <w:jc w:val="both"/>
        <w:rPr>
          <w:rFonts w:ascii="Arial;sans-serif" w:hAnsi="Arial;sans-serif"/>
          <w:b/>
          <w:sz w:val="18"/>
        </w:rPr>
      </w:pPr>
      <w:r>
        <w:rPr>
          <w:rFonts w:ascii="Arial;sans-serif" w:hAnsi="Arial;sans-serif"/>
          <w:b/>
          <w:sz w:val="18"/>
        </w:rPr>
        <w:t>Material Cash Requirements</w:t>
      </w:r>
    </w:p>
    <w:p>
      <w:pPr>
        <w:pStyle w:val="TextBody"/>
        <w:bidi w:val="0"/>
        <w:spacing w:before="200" w:after="0"/>
        <w:jc w:val="both"/>
        <w:rPr>
          <w:rFonts w:ascii="Arial;sans-serif" w:hAnsi="Arial;sans-serif"/>
          <w:b w:val="false"/>
          <w:sz w:val="18"/>
        </w:rPr>
      </w:pPr>
      <w:r>
        <w:rPr>
          <w:rFonts w:ascii="Arial;sans-serif" w:hAnsi="Arial;sans-serif"/>
          <w:b w:val="false"/>
          <w:sz w:val="18"/>
        </w:rPr>
        <w:t>Our material cash requirements in the short- and long-term consist primarily of variable costs of revenue, operating expenditures, capital expenditures, property leases, and other. We plan to fund our material cash requirements with our existing cash and cash equivalents and short-term investments, which amounted to $137.2 million as of June 30, 2023,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pStyle w:val="TextBody"/>
        <w:bidi w:val="0"/>
        <w:spacing w:before="200" w:after="0"/>
        <w:jc w:val="both"/>
        <w:rPr>
          <w:rFonts w:ascii="Times New Roman" w:hAnsi="Times New Roman"/>
          <w:sz w:val="20"/>
        </w:rPr>
      </w:pPr>
      <w:r>
        <w:rPr>
          <w:rFonts w:ascii="Arial;sans-serif" w:hAnsi="Arial;sans-serif"/>
          <w:b w:val="false"/>
          <w:i/>
          <w:sz w:val="18"/>
        </w:rPr>
        <w:t>Variable costs of revenue</w:t>
      </w:r>
      <w:r>
        <w:rPr>
          <w:rFonts w:ascii="Arial;sans-serif" w:hAnsi="Arial;sans-serif"/>
          <w:b w:val="false"/>
          <w:sz w:val="18"/>
        </w:rPr>
        <w:t>. 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increase in 2023 relative to 2022 to support expected higher levels of revenue.</w:t>
      </w:r>
    </w:p>
    <w:p>
      <w:pPr>
        <w:pStyle w:val="TextBody"/>
        <w:bidi w:val="0"/>
        <w:spacing w:before="200" w:after="0"/>
        <w:jc w:val="both"/>
        <w:rPr>
          <w:rFonts w:ascii="Times New Roman" w:hAnsi="Times New Roman"/>
          <w:sz w:val="20"/>
        </w:rPr>
      </w:pPr>
      <w:r>
        <w:rPr>
          <w:rFonts w:ascii="Arial;sans-serif" w:hAnsi="Arial;sans-serif"/>
          <w:b w:val="false"/>
          <w:i/>
          <w:sz w:val="18"/>
        </w:rPr>
        <w:t>Operating expenditures</w:t>
      </w:r>
      <w:r>
        <w:rPr>
          <w:rFonts w:ascii="Arial;sans-serif" w:hAnsi="Arial;sans-serif"/>
          <w:b w:val="false"/>
          <w:sz w:val="18"/>
        </w:rPr>
        <w:t>. Our primary use of cash relates to paying employees, spend on professional services, spend related to research and development projects, and other costs related to our research and development, selling, general and administrative functions. We currently expect to decrease our spend in these areas as a result of our first quarter 2023 workforce reduction. On a long-term basis, we manage future cash requirements relative to our long-term business plans.</w:t>
      </w:r>
    </w:p>
    <w:p>
      <w:pPr>
        <w:pStyle w:val="TextBody"/>
        <w:bidi w:val="0"/>
        <w:spacing w:before="200" w:after="0"/>
        <w:jc w:val="both"/>
        <w:rPr>
          <w:rFonts w:ascii="Times New Roman" w:hAnsi="Times New Roman"/>
          <w:sz w:val="20"/>
        </w:rPr>
      </w:pPr>
      <w:r>
        <w:rPr>
          <w:rFonts w:ascii="Arial;sans-serif" w:hAnsi="Arial;sans-serif"/>
          <w:b w:val="false"/>
          <w:i/>
          <w:sz w:val="18"/>
        </w:rPr>
        <w:t>Capital expenditures</w:t>
      </w:r>
      <w:r>
        <w:rPr>
          <w:rFonts w:ascii="Arial;sans-serif" w:hAnsi="Arial;sans-serif"/>
          <w:b w:val="false"/>
          <w:sz w:val="18"/>
        </w:rPr>
        <w:t>. Capital expenditures are expected to decrease significantly from 2022 levels as we have substantially completed the one-time build-out of our new headquarters and laboratory facility in Fremont, California as of the end of 2022. Going forward, our capital expenditures are expected to consist primarily of laboratory equipment and computer equipment. We currently expect capital expenditures to be approximately $8 million in 2023 and between $5 million to $7 million in each of the years 2024 and 2025.</w:t>
      </w:r>
    </w:p>
    <w:p>
      <w:pPr>
        <w:pStyle w:val="TextBody"/>
        <w:bidi w:val="0"/>
        <w:spacing w:before="200" w:after="0"/>
        <w:jc w:val="both"/>
        <w:rPr>
          <w:rFonts w:ascii="Times New Roman" w:hAnsi="Times New Roman"/>
          <w:sz w:val="20"/>
        </w:rPr>
      </w:pPr>
      <w:r>
        <w:rPr>
          <w:rFonts w:ascii="Arial;sans-serif" w:hAnsi="Arial;sans-serif"/>
          <w:b w:val="false"/>
          <w:i/>
          <w:sz w:val="18"/>
        </w:rPr>
        <w:t xml:space="preserve">Property leases. </w:t>
      </w:r>
      <w:r>
        <w:rPr>
          <w:rFonts w:ascii="Arial;sans-serif" w:hAnsi="Arial;sans-serif"/>
          <w:b w:val="false"/>
          <w:sz w:val="18"/>
        </w:rPr>
        <w:t>Our noncancelable operating lease payments were $83.0 million as of June 30, 2023. The timing of these future payments, by year, can be found in Part I, Item 1 of this Form 10-Q in the Notes to Unaudited Condensed Consolidated Financial Statements in Note 7, “Leases.”</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Arial;sans-serif" w:hAnsi="Arial;sans-serif"/>
          <w:b w:val="false"/>
          <w:i/>
          <w:sz w:val="18"/>
        </w:rPr>
        <w:t>Other.</w:t>
      </w:r>
      <w:r>
        <w:rPr>
          <w:rFonts w:ascii="Times New Roman" w:hAnsi="Times New Roman"/>
          <w:sz w:val="20"/>
        </w:rPr>
        <w:t xml:space="preserve"> </w:t>
      </w:r>
      <w:r>
        <w:rPr>
          <w:rFonts w:ascii="Arial;sans-serif" w:hAnsi="Arial;sans-serif"/>
          <w:b w:val="false"/>
          <w:sz w:val="18"/>
        </w:rPr>
        <w:t>As of June 30, 2023, we had one outstanding noninterest bearing loan that was used to finance the purchase of internal use software licenses and related ongoing support. We will make payments of $0.4 million in each of September 2023 and September 2024 to pay off this loan. Further discussion of this loan can be found in Part I, Item 1 of this Form 10-Q in the Notes to Unaudited Condensed Consolidated Financial Statements in Note 6, “Loans.”</w:t>
      </w:r>
    </w:p>
    <w:p>
      <w:pPr>
        <w:pStyle w:val="TextBody"/>
        <w:bidi w:val="0"/>
        <w:spacing w:before="240" w:after="0"/>
        <w:jc w:val="center"/>
        <w:rPr>
          <w:rFonts w:ascii="Arial;sans-serif" w:hAnsi="Arial;sans-serif"/>
          <w:b w:val="false"/>
          <w:sz w:val="18"/>
        </w:rPr>
      </w:pPr>
      <w:r>
        <w:rPr>
          <w:rFonts w:ascii="Arial;sans-serif" w:hAnsi="Arial;sans-serif"/>
          <w:b w:val="false"/>
          <w:sz w:val="18"/>
        </w:rPr>
        <w:t>26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sz w:val="18"/>
        </w:rPr>
      </w:pPr>
      <w:r>
        <w:rPr>
          <w:rFonts w:ascii="Arial;sans-serif" w:hAnsi="Arial;sans-serif"/>
          <w:b/>
          <w:sz w:val="18"/>
        </w:rPr>
        <w:t>Critical Accounting Policies and Estimates</w:t>
      </w:r>
    </w:p>
    <w:p>
      <w:pPr>
        <w:pStyle w:val="TextBody"/>
        <w:bidi w:val="0"/>
        <w:spacing w:before="200" w:after="0"/>
        <w:jc w:val="both"/>
        <w:rPr>
          <w:rFonts w:ascii="Arial;sans-serif" w:hAnsi="Arial;sans-serif"/>
          <w:b w:val="false"/>
          <w:sz w:val="18"/>
        </w:rPr>
      </w:pPr>
      <w:r>
        <w:rPr>
          <w:rFonts w:ascii="Arial;sans-serif" w:hAnsi="Arial;sans-serif"/>
          <w:b w:val="false"/>
          <w:sz w:val="18"/>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0"/>
        <w:jc w:val="both"/>
        <w:rPr>
          <w:rFonts w:ascii="Arial;sans-serif" w:hAnsi="Arial;sans-serif"/>
          <w:b w:val="false"/>
          <w:sz w:val="18"/>
        </w:rPr>
      </w:pPr>
      <w:r>
        <w:rPr>
          <w:rFonts w:ascii="Arial;sans-serif" w:hAnsi="Arial;sans-serif"/>
          <w:b w:val="false"/>
          <w:sz w:val="18"/>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stock-based compensation, and leases have the greatest potential impact on our condensed consolidated financial statements. Therefore, we consider these to be our critical accounting policies and estimates.</w:t>
      </w:r>
    </w:p>
    <w:p>
      <w:pPr>
        <w:pStyle w:val="TextBody"/>
        <w:bidi w:val="0"/>
        <w:spacing w:before="200" w:after="0"/>
        <w:jc w:val="both"/>
        <w:rPr>
          <w:rFonts w:ascii="Arial;sans-serif" w:hAnsi="Arial;sans-serif"/>
          <w:b w:val="false"/>
          <w:sz w:val="18"/>
        </w:rPr>
      </w:pPr>
      <w:r>
        <w:rPr>
          <w:rFonts w:ascii="Arial;sans-serif" w:hAnsi="Arial;sans-serif"/>
          <w:b w:val="false"/>
          <w:sz w:val="18"/>
        </w:rPr>
        <w:t>There have been no material changes to our critical accounting policies and estimates as compared to the critical accounting policies and estimates described in our Annual Report on Form 10-K for the fiscal year ended December 31, 2022 under the caption “Critical Accounting Policies and Estimates” in Management’s Discussion and Analysis of Financial Condition and Results of Operations, set forth in Part II, Item 7.</w:t>
      </w:r>
    </w:p>
    <w:p>
      <w:pPr>
        <w:pStyle w:val="TextBody"/>
        <w:bidi w:val="0"/>
        <w:spacing w:before="200" w:after="0"/>
        <w:jc w:val="both"/>
        <w:rPr>
          <w:rFonts w:ascii="Arial;sans-serif" w:hAnsi="Arial;sans-serif"/>
          <w:b/>
          <w:sz w:val="18"/>
        </w:rPr>
      </w:pPr>
      <w:r>
        <w:rPr>
          <w:rFonts w:ascii="Arial;sans-serif" w:hAnsi="Arial;sans-serif"/>
          <w:b/>
          <w:sz w:val="18"/>
        </w:rPr>
        <w:t>Recent Accounting Pronouncements</w:t>
      </w:r>
    </w:p>
    <w:p>
      <w:pPr>
        <w:pStyle w:val="TextBody"/>
        <w:bidi w:val="0"/>
        <w:spacing w:before="200" w:after="200"/>
        <w:jc w:val="both"/>
        <w:rPr>
          <w:rFonts w:ascii="Arial;sans-serif" w:hAnsi="Arial;sans-serif"/>
          <w:b w:val="false"/>
          <w:sz w:val="18"/>
        </w:rPr>
      </w:pPr>
      <w:r>
        <w:rPr>
          <w:rFonts w:ascii="Arial;sans-serif" w:hAnsi="Arial;sans-serif"/>
          <w:b w:val="false"/>
          <w:sz w:val="18"/>
        </w:rPr>
        <w:t>See the section titled “Summary of Significant Accounting Policies—Recent Accounting Pronouncements” in Note 2 to our unaudited condensed consolidated financial statements for additional information.</w:t>
      </w:r>
    </w:p>
    <w:p>
      <w:pPr>
        <w:pStyle w:val="TextBody"/>
        <w:bidi w:val="0"/>
        <w:spacing w:before="240" w:after="0"/>
        <w:jc w:val="center"/>
        <w:rPr>
          <w:rFonts w:ascii="Arial;sans-serif" w:hAnsi="Arial;sans-serif"/>
          <w:b w:val="false"/>
          <w:sz w:val="18"/>
        </w:rPr>
      </w:pPr>
      <w:r>
        <w:rPr>
          <w:rFonts w:ascii="Arial;sans-serif" w:hAnsi="Arial;sans-serif"/>
          <w:b w:val="false"/>
          <w:sz w:val="18"/>
        </w:rPr>
        <w:t>27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25" w:name="item_3_quantitative_qualitative_disclosu"/>
      <w:bookmarkEnd w:id="25"/>
      <w:r>
        <w:rPr>
          <w:rFonts w:ascii="Arial;sans-serif" w:hAnsi="Arial;sans-serif"/>
          <w:b/>
          <w:sz w:val="18"/>
        </w:rPr>
        <w:t>Item 3. Quantitative and Qualitative</w:t>
      </w:r>
      <w:r>
        <w:rPr>
          <w:rFonts w:ascii="Times New Roman" w:hAnsi="Times New Roman"/>
          <w:sz w:val="20"/>
        </w:rPr>
        <w:t xml:space="preserve"> </w:t>
      </w:r>
      <w:r>
        <w:rPr>
          <w:rFonts w:ascii="Arial;sans-serif" w:hAnsi="Arial;sans-serif"/>
          <w:b/>
          <w:sz w:val="18"/>
        </w:rPr>
        <w:t>Disclosures About Market Risk.</w:t>
      </w:r>
    </w:p>
    <w:p>
      <w:pPr>
        <w:pStyle w:val="TextBody"/>
        <w:bidi w:val="0"/>
        <w:spacing w:before="200" w:after="200"/>
        <w:jc w:val="both"/>
        <w:rPr>
          <w:rFonts w:ascii="Arial;sans-serif" w:hAnsi="Arial;sans-serif"/>
          <w:b w:val="false"/>
          <w:sz w:val="18"/>
        </w:rPr>
      </w:pPr>
      <w:r>
        <w:rPr>
          <w:rFonts w:ascii="Arial;sans-serif" w:hAnsi="Arial;sans-serif"/>
          <w:b w:val="false"/>
          <w:sz w:val="18"/>
        </w:rPr>
        <w:t>As a “smaller reporting company,” we are not required to provide the information under this item.</w:t>
      </w:r>
    </w:p>
    <w:p>
      <w:pPr>
        <w:pStyle w:val="TextBody"/>
        <w:bidi w:val="0"/>
        <w:spacing w:before="200" w:after="0"/>
        <w:jc w:val="both"/>
        <w:rPr>
          <w:rFonts w:ascii="Arial;sans-serif" w:hAnsi="Arial;sans-serif"/>
          <w:b/>
          <w:sz w:val="18"/>
        </w:rPr>
      </w:pPr>
      <w:bookmarkStart w:id="26" w:name="item_4_controls_procedures"/>
      <w:bookmarkEnd w:id="26"/>
      <w:r>
        <w:rPr>
          <w:rFonts w:ascii="Arial;sans-serif" w:hAnsi="Arial;sans-serif"/>
          <w:b/>
          <w:sz w:val="18"/>
        </w:rPr>
        <w:t>Item 4. Controls and Procedures.</w:t>
      </w:r>
    </w:p>
    <w:p>
      <w:pPr>
        <w:pStyle w:val="TextBody"/>
        <w:bidi w:val="0"/>
        <w:spacing w:before="200" w:after="0"/>
        <w:jc w:val="both"/>
        <w:rPr>
          <w:rFonts w:ascii="Arial;sans-serif" w:hAnsi="Arial;sans-serif"/>
          <w:b/>
          <w:sz w:val="18"/>
        </w:rPr>
      </w:pPr>
      <w:r>
        <w:rPr>
          <w:rFonts w:ascii="Arial;sans-serif" w:hAnsi="Arial;sans-serif"/>
          <w:b/>
          <w:sz w:val="18"/>
        </w:rPr>
        <w:t>Evaluation of Disclosure Controls and Procedures</w:t>
      </w:r>
    </w:p>
    <w:p>
      <w:pPr>
        <w:pStyle w:val="TextBody"/>
        <w:bidi w:val="0"/>
        <w:spacing w:before="200" w:after="0"/>
        <w:jc w:val="both"/>
        <w:rPr>
          <w:rFonts w:ascii="Arial;sans-serif" w:hAnsi="Arial;sans-serif"/>
          <w:b w:val="false"/>
          <w:sz w:val="18"/>
        </w:rPr>
      </w:pPr>
      <w:r>
        <w:rPr>
          <w:rFonts w:ascii="Arial;sans-serif" w:hAnsi="Arial;sans-serif"/>
          <w:b w:val="false"/>
          <w:sz w:val="18"/>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June 30, 2023,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200" w:after="0"/>
        <w:jc w:val="both"/>
        <w:rPr>
          <w:rFonts w:ascii="Arial;sans-serif" w:hAnsi="Arial;sans-serif"/>
          <w:b/>
          <w:sz w:val="18"/>
        </w:rPr>
      </w:pPr>
      <w:r>
        <w:rPr>
          <w:rFonts w:ascii="Arial;sans-serif" w:hAnsi="Arial;sans-serif"/>
          <w:b/>
          <w:sz w:val="18"/>
        </w:rPr>
        <w:t>Changes in Internal Control</w:t>
      </w:r>
    </w:p>
    <w:p>
      <w:pPr>
        <w:pStyle w:val="TextBody"/>
        <w:bidi w:val="0"/>
        <w:spacing w:before="200" w:after="0"/>
        <w:jc w:val="both"/>
        <w:rPr>
          <w:rFonts w:ascii="Arial;sans-serif" w:hAnsi="Arial;sans-serif"/>
          <w:b w:val="false"/>
          <w:sz w:val="18"/>
        </w:rPr>
      </w:pPr>
      <w:r>
        <w:rPr>
          <w:rFonts w:ascii="Arial;sans-serif" w:hAnsi="Arial;sans-serif"/>
          <w:b w:val="false"/>
          <w:sz w:val="18"/>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pStyle w:val="TextBody"/>
        <w:bidi w:val="0"/>
        <w:spacing w:before="200" w:after="0"/>
        <w:jc w:val="both"/>
        <w:rPr>
          <w:rFonts w:ascii="Arial;sans-serif" w:hAnsi="Arial;sans-serif"/>
          <w:b/>
          <w:sz w:val="18"/>
        </w:rPr>
      </w:pPr>
      <w:r>
        <w:rPr>
          <w:rFonts w:ascii="Arial;sans-serif" w:hAnsi="Arial;sans-serif"/>
          <w:b/>
          <w:sz w:val="18"/>
        </w:rPr>
        <w:t>Limitations on Controls</w:t>
      </w:r>
    </w:p>
    <w:p>
      <w:pPr>
        <w:pStyle w:val="TextBody"/>
        <w:bidi w:val="0"/>
        <w:spacing w:before="200" w:after="200"/>
        <w:jc w:val="both"/>
        <w:rPr>
          <w:rFonts w:ascii="Arial;sans-serif" w:hAnsi="Arial;sans-serif"/>
          <w:b w:val="false"/>
          <w:sz w:val="18"/>
        </w:rPr>
      </w:pPr>
      <w:r>
        <w:rPr>
          <w:rFonts w:ascii="Arial;sans-serif" w:hAnsi="Arial;sans-serif"/>
          <w:b w:val="false"/>
          <w:sz w:val="18"/>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240" w:after="0"/>
        <w:jc w:val="center"/>
        <w:rPr>
          <w:rFonts w:ascii="Arial;sans-serif" w:hAnsi="Arial;sans-serif"/>
          <w:b w:val="false"/>
          <w:sz w:val="18"/>
        </w:rPr>
      </w:pPr>
      <w:r>
        <w:rPr>
          <w:rFonts w:ascii="Arial;sans-serif" w:hAnsi="Arial;sans-serif"/>
          <w:b w:val="false"/>
          <w:sz w:val="18"/>
        </w:rPr>
        <w:t>28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7" w:name="part_iior_information"/>
      <w:bookmarkEnd w:id="27"/>
      <w:r>
        <w:rPr>
          <w:rFonts w:ascii="Arial;sans-serif" w:hAnsi="Arial;sans-serif"/>
          <w:b/>
          <w:sz w:val="18"/>
        </w:rPr>
        <w:t>PART II—OTHER</w:t>
      </w:r>
      <w:r>
        <w:rPr>
          <w:rFonts w:ascii="Times New Roman" w:hAnsi="Times New Roman"/>
          <w:sz w:val="20"/>
        </w:rPr>
        <w:t xml:space="preserve"> </w:t>
      </w:r>
      <w:r>
        <w:rPr>
          <w:rFonts w:ascii="Arial;sans-serif" w:hAnsi="Arial;sans-serif"/>
          <w:b/>
          <w:sz w:val="18"/>
        </w:rPr>
        <w:t>INFORMATION</w:t>
      </w:r>
    </w:p>
    <w:p>
      <w:pPr>
        <w:pStyle w:val="TextBody"/>
        <w:bidi w:val="0"/>
        <w:spacing w:before="240" w:after="0"/>
        <w:jc w:val="both"/>
        <w:rPr>
          <w:rFonts w:ascii="Arial;sans-serif" w:hAnsi="Arial;sans-serif"/>
          <w:b/>
          <w:sz w:val="18"/>
        </w:rPr>
      </w:pPr>
      <w:bookmarkStart w:id="28" w:name="item_1_legal_proceedings"/>
      <w:bookmarkEnd w:id="28"/>
      <w:r>
        <w:rPr>
          <w:rFonts w:ascii="Arial;sans-serif" w:hAnsi="Arial;sans-serif"/>
          <w:b/>
          <w:sz w:val="18"/>
        </w:rPr>
        <w:t>Item 1. Legal Proceedings.</w:t>
      </w:r>
    </w:p>
    <w:p>
      <w:pPr>
        <w:pStyle w:val="TextBody"/>
        <w:bidi w:val="0"/>
        <w:spacing w:before="200" w:after="0"/>
        <w:jc w:val="both"/>
        <w:rPr>
          <w:rFonts w:ascii="Arial;sans-serif" w:hAnsi="Arial;sans-serif"/>
          <w:b w:val="false"/>
          <w:sz w:val="18"/>
        </w:rPr>
      </w:pPr>
      <w:r>
        <w:rPr>
          <w:rFonts w:ascii="Arial;sans-serif" w:hAnsi="Arial;sans-serif"/>
          <w:b w:val="false"/>
          <w:sz w:val="18"/>
        </w:rPr>
        <w:t>See the section titled “Contingencies” in Note 9 to our unaudited condensed consolidated financial statements.</w:t>
      </w:r>
    </w:p>
    <w:p>
      <w:pPr>
        <w:pStyle w:val="TextBody"/>
        <w:bidi w:val="0"/>
        <w:spacing w:before="200" w:after="0"/>
        <w:jc w:val="both"/>
        <w:rPr>
          <w:rFonts w:ascii="Times New Roman" w:hAnsi="Times New Roman"/>
          <w:sz w:val="20"/>
        </w:rPr>
      </w:pPr>
      <w:bookmarkStart w:id="29" w:name="item_1a_risk_factors"/>
      <w:bookmarkEnd w:id="29"/>
      <w:r>
        <w:rPr>
          <w:rFonts w:ascii="Arial;sans-serif" w:hAnsi="Arial;sans-serif"/>
          <w:b/>
          <w:sz w:val="18"/>
        </w:rPr>
        <w:t>Item 1A. Risk</w:t>
      </w:r>
      <w:r>
        <w:rPr>
          <w:rFonts w:ascii="Times New Roman" w:hAnsi="Times New Roman"/>
          <w:sz w:val="20"/>
        </w:rPr>
        <w:t xml:space="preserve"> </w:t>
      </w:r>
      <w:r>
        <w:rPr>
          <w:rFonts w:ascii="Arial;sans-serif" w:hAnsi="Arial;sans-serif"/>
          <w:b/>
          <w:sz w:val="18"/>
        </w:rPr>
        <w:t>Factors.</w:t>
      </w:r>
    </w:p>
    <w:p>
      <w:pPr>
        <w:pStyle w:val="TextBody"/>
        <w:bidi w:val="0"/>
        <w:spacing w:before="200" w:after="0"/>
        <w:jc w:val="left"/>
        <w:rPr>
          <w:rFonts w:ascii="Arial;sans-serif" w:hAnsi="Arial;sans-serif"/>
          <w:b/>
          <w:sz w:val="18"/>
        </w:rPr>
      </w:pPr>
      <w:r>
        <w:rPr>
          <w:rFonts w:ascii="Arial;sans-serif" w:hAnsi="Arial;sans-serif"/>
          <w:b/>
          <w:sz w:val="18"/>
        </w:rPr>
        <w:t>Summary of Risk Factors</w:t>
      </w:r>
    </w:p>
    <w:p>
      <w:pPr>
        <w:pStyle w:val="TextBody"/>
        <w:bidi w:val="0"/>
        <w:spacing w:before="200" w:after="0"/>
        <w:jc w:val="both"/>
        <w:rPr>
          <w:rFonts w:ascii="Arial;sans-serif" w:hAnsi="Arial;sans-serif"/>
          <w:b w:val="false"/>
          <w:i/>
          <w:sz w:val="18"/>
        </w:rPr>
      </w:pPr>
      <w:r>
        <w:rPr>
          <w:rFonts w:ascii="Arial;sans-serif" w:hAnsi="Arial;sans-serif"/>
          <w:b w:val="false"/>
          <w:i/>
          <w:sz w:val="18"/>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pStyle w:val="TextBody"/>
        <w:bidi w:val="0"/>
        <w:spacing w:before="120" w:after="0"/>
        <w:jc w:val="both"/>
        <w:rPr>
          <w:rFonts w:ascii="Arial;sans-serif" w:hAnsi="Arial;sans-serif"/>
          <w:b/>
          <w:sz w:val="18"/>
        </w:rPr>
      </w:pPr>
      <w:r>
        <w:rPr>
          <w:rFonts w:ascii="Arial;sans-serif" w:hAnsi="Arial;sans-serif"/>
          <w:b/>
          <w:sz w:val="18"/>
        </w:rPr>
        <w:t>Operational, Strategic and Business Risks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We have a history of losses and we expect to incur significant losses for the foreseeable future and may not be able to generate sufficient revenue to achieve or sustain profitability.</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We rely on a limited number of suppliers, or in some cases, a sole supplier, for some laboratory instruments and materials, and we may not be able to replace or immediately transition to alternative suppliers should we need to do so.</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We will need to invest in our infrastructure in advance of increased demand for our services; our failure to accurately forecast demand would have a negative impact on our business and our ability to achieve or sustain profitability.</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If our facilities become damaged or inoperable, or we are required to vacate the facilities, our ability to sell and provide our services and pursue our research and development efforts may be jeopardized.</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If we cannot develop services and products to keep pace with rapid advances in technology, medicine, and science our operating results and competitive position could be harmed.</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The loss of key members of our executive management team or the inability to hire, retain, or motivate highly skilled personnel could adversely affect our business.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We may not be able to manage our future growth effectively, which could make it difficult to execute our business strategy.</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We may acquire businesses or assets, form joint ventures, or make investments in other companies or technologies that could harm our operating results, dilute stockholders’ ownership, or cause us to incur debt or significant expense.</w:t>
      </w:r>
    </w:p>
    <w:p>
      <w:pPr>
        <w:pStyle w:val="TextBody"/>
        <w:bidi w:val="0"/>
        <w:spacing w:before="120" w:after="0"/>
        <w:jc w:val="both"/>
        <w:rPr>
          <w:rFonts w:ascii="Arial;sans-serif" w:hAnsi="Arial;sans-serif"/>
          <w:b/>
          <w:sz w:val="18"/>
        </w:rPr>
      </w:pPr>
      <w:r>
        <w:rPr>
          <w:rFonts w:ascii="Arial;sans-serif" w:hAnsi="Arial;sans-serif"/>
          <w:b/>
          <w:sz w:val="18"/>
        </w:rPr>
        <w:t>Regulatory, Legal and Cybersecurity Risks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Complying with numerous statutes and regulations pertaining to our business is an expensive and time-consuming process, and we may be subject to regulatory action if we or our service or product offerings do not comply with applicable requirements.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Our internal information technology systems, or those of our third-party vendors, contractors, or consultants, may fail or suffer security breaches, loss or leakage of data, and other disruptions, which could adversely affect our business.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Changes in health care policy could increase our costs, decrease our revenue, and impact sales of and reimbursement for our tests. When we grow our business by developing in vitro diagnostic tests, we may be subject to reimbursement challenges.</w:t>
      </w:r>
    </w:p>
    <w:p>
      <w:pPr>
        <w:pStyle w:val="TextBody"/>
        <w:bidi w:val="0"/>
        <w:spacing w:before="240" w:after="0"/>
        <w:jc w:val="center"/>
        <w:rPr>
          <w:rFonts w:ascii="Arial;sans-serif" w:hAnsi="Arial;sans-serif"/>
          <w:b w:val="false"/>
          <w:sz w:val="18"/>
        </w:rPr>
      </w:pPr>
      <w:r>
        <w:rPr>
          <w:rFonts w:ascii="Arial;sans-serif" w:hAnsi="Arial;sans-serif"/>
          <w:b w:val="false"/>
          <w:sz w:val="18"/>
        </w:rPr>
        <w:t>29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The exit of the United Kingdom from the EU could lead to further regulatory divergence and require us to incur additional expenses in order to develop, manufacture, and commercialize our products and services.</w:t>
      </w:r>
    </w:p>
    <w:p>
      <w:pPr>
        <w:pStyle w:val="TextBody"/>
        <w:bidi w:val="0"/>
        <w:spacing w:before="120" w:after="0"/>
        <w:jc w:val="both"/>
        <w:rPr>
          <w:rFonts w:ascii="Arial;sans-serif" w:hAnsi="Arial;sans-serif"/>
          <w:b/>
          <w:sz w:val="18"/>
        </w:rPr>
      </w:pPr>
      <w:r>
        <w:rPr>
          <w:rFonts w:ascii="Arial;sans-serif" w:hAnsi="Arial;sans-serif"/>
          <w:b/>
          <w:sz w:val="18"/>
        </w:rPr>
        <w:t>Intellectual Property Risks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 xml:space="preserve">Litigation or other proceedings or claims of intellectual property infringement, misappropriation, breach of license terms or other violations may require us to spend significant time and money, including damages, and could prevent us from selling our tests. </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If we cannot license rights to use necessary technologies on reasonable terms, we may not be able to commercialize new services and products.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If we are unable to protect the confidentiality of our trade secrets and know-how, our business would be harmed.</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Our use of “open source” software could subject our proprietary software to general release, adversely affect our ability to sell our products and services, and subject us to possible litigation.</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If our trademarks and trade names are not adequately protected, then we may not be able to build name recognition in our markets of interest and our business may be adversely affected.</w:t>
      </w:r>
    </w:p>
    <w:p>
      <w:pPr>
        <w:pStyle w:val="TextBody"/>
        <w:bidi w:val="0"/>
        <w:spacing w:before="120" w:after="0"/>
        <w:jc w:val="both"/>
        <w:rPr>
          <w:rFonts w:ascii="Arial;sans-serif" w:hAnsi="Arial;sans-serif"/>
          <w:b/>
          <w:sz w:val="18"/>
        </w:rPr>
      </w:pPr>
      <w:r>
        <w:rPr>
          <w:rFonts w:ascii="Arial;sans-serif" w:hAnsi="Arial;sans-serif"/>
          <w:b/>
          <w:sz w:val="18"/>
        </w:rPr>
        <w:t>Financial and Market Risks and Risks Related to Owning Our Common Stock</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Our inability to raise additional capital on acceptable terms in the future may limit our ability to continue to operate our business and further expand our operations.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Our quarterly results may fluctuate significantly, which could adversely impact our common stock’s value.</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Insiders may exercise significant control over our company and will be able to influence corporate matters.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Future sales of shares by existing stockholders, or the perception that such sales could occur, could cause the stock price of our common stock to decline.</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We do not currently intend to pay dividends on our common stock and, consequently, your ability to achieve a return on your investment will depend on appreciation of the value of our common stock.</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Our ability to use net operating losses to offset future taxable income may be subject to limitations.</w:t>
      </w:r>
    </w:p>
    <w:p>
      <w:pPr>
        <w:pStyle w:val="TextBody"/>
        <w:bidi w:val="0"/>
        <w:spacing w:before="120" w:after="120"/>
        <w:jc w:val="both"/>
        <w:rPr/>
      </w:pPr>
      <w:r>
        <w:rPr/>
        <w:t>•</w:t>
      </w:r>
    </w:p>
    <w:p>
      <w:pPr>
        <w:pStyle w:val="TextBody"/>
        <w:bidi w:val="0"/>
        <w:spacing w:before="120" w:after="120"/>
        <w:jc w:val="both"/>
        <w:rPr>
          <w:rFonts w:ascii="Arial;sans-serif" w:hAnsi="Arial;sans-serif"/>
          <w:b w:val="false"/>
          <w:sz w:val="18"/>
        </w:rPr>
      </w:pPr>
      <w:r>
        <w:rPr>
          <w:rFonts w:ascii="Arial;sans-serif" w:hAnsi="Arial;sans-serif"/>
          <w:b w:val="false"/>
          <w:sz w:val="18"/>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pStyle w:val="TextBody"/>
        <w:bidi w:val="0"/>
        <w:spacing w:before="120" w:after="200"/>
        <w:jc w:val="both"/>
        <w:rPr/>
      </w:pPr>
      <w:r>
        <w:rPr/>
        <w:t>•</w:t>
      </w:r>
    </w:p>
    <w:p>
      <w:pPr>
        <w:pStyle w:val="TextBody"/>
        <w:bidi w:val="0"/>
        <w:spacing w:before="120" w:after="200"/>
        <w:jc w:val="both"/>
        <w:rPr>
          <w:rFonts w:ascii="Arial;sans-serif" w:hAnsi="Arial;sans-serif"/>
          <w:b w:val="false"/>
          <w:sz w:val="18"/>
        </w:rPr>
      </w:pPr>
      <w:r>
        <w:rPr>
          <w:rFonts w:ascii="Arial;sans-serif" w:hAnsi="Arial;sans-serif"/>
          <w:b w:val="false"/>
          <w:sz w:val="18"/>
        </w:rPr>
        <w:t>Our disclosure controls and procedures may not prevent or detect all errors or acts of fraud.</w:t>
      </w:r>
    </w:p>
    <w:p>
      <w:pPr>
        <w:pStyle w:val="TextBody"/>
        <w:bidi w:val="0"/>
        <w:spacing w:before="240" w:after="0"/>
        <w:jc w:val="center"/>
        <w:rPr>
          <w:rFonts w:ascii="Arial;sans-serif" w:hAnsi="Arial;sans-serif"/>
          <w:b w:val="false"/>
          <w:sz w:val="18"/>
        </w:rPr>
      </w:pPr>
      <w:r>
        <w:rPr>
          <w:rFonts w:ascii="Arial;sans-serif" w:hAnsi="Arial;sans-serif"/>
          <w:b w:val="false"/>
          <w:sz w:val="18"/>
        </w:rPr>
        <w:t>30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Arial;sans-serif" w:hAnsi="Arial;sans-serif"/>
          <w:b/>
          <w:sz w:val="18"/>
        </w:rPr>
        <w:t>Risk Factors.</w:t>
      </w:r>
      <w:r>
        <w:rPr>
          <w:rFonts w:ascii="Times New Roman" w:hAnsi="Times New Roman"/>
          <w:sz w:val="20"/>
        </w:rPr>
        <w:t xml:space="preserve"> </w:t>
      </w:r>
    </w:p>
    <w:p>
      <w:pPr>
        <w:pStyle w:val="TextBody"/>
        <w:bidi w:val="0"/>
        <w:spacing w:before="200" w:after="0"/>
        <w:jc w:val="both"/>
        <w:rPr>
          <w:rFonts w:ascii="Arial;sans-serif" w:hAnsi="Arial;sans-serif"/>
          <w:b w:val="false"/>
          <w:i/>
          <w:sz w:val="18"/>
        </w:rPr>
      </w:pPr>
      <w:r>
        <w:rPr>
          <w:rFonts w:ascii="Arial;sans-serif" w:hAnsi="Arial;sans-serif"/>
          <w:b w:val="false"/>
          <w:i/>
          <w:sz w:val="18"/>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2022 (Annual Report), which was filed with the SEC on February 23, 2023.</w:t>
      </w:r>
    </w:p>
    <w:p>
      <w:pPr>
        <w:pStyle w:val="TextBody"/>
        <w:bidi w:val="0"/>
        <w:spacing w:before="200" w:after="0"/>
        <w:jc w:val="both"/>
        <w:rPr>
          <w:rFonts w:ascii="Arial;sans-serif" w:hAnsi="Arial;sans-serif"/>
          <w:b/>
          <w:sz w:val="18"/>
        </w:rPr>
      </w:pPr>
      <w:r>
        <w:rPr>
          <w:rFonts w:ascii="Arial;sans-serif" w:hAnsi="Arial;sans-serif"/>
          <w:b/>
          <w:sz w:val="18"/>
        </w:rPr>
        <w:t>Operational, Strategic and Business Risks</w:t>
      </w:r>
    </w:p>
    <w:p>
      <w:pPr>
        <w:pStyle w:val="TextBody"/>
        <w:bidi w:val="0"/>
        <w:spacing w:before="200" w:after="0"/>
        <w:jc w:val="both"/>
        <w:rPr>
          <w:rFonts w:ascii="Arial;sans-serif" w:hAnsi="Arial;sans-serif"/>
          <w:b/>
          <w:i/>
          <w:sz w:val="18"/>
        </w:rPr>
      </w:pPr>
      <w:r>
        <w:rPr>
          <w:rFonts w:ascii="Arial;sans-serif" w:hAnsi="Arial;sans-serif"/>
          <w:b/>
          <w:i/>
          <w:sz w:val="18"/>
        </w:rPr>
        <w:t>We have a history of losses and we expect to incur significant losses for the foreseeable future and may not be able to generate sufficient revenue to achieve or sustain profitability.*</w:t>
      </w:r>
    </w:p>
    <w:p>
      <w:pPr>
        <w:pStyle w:val="TextBody"/>
        <w:bidi w:val="0"/>
        <w:spacing w:before="200" w:after="0"/>
        <w:jc w:val="both"/>
        <w:rPr>
          <w:rFonts w:ascii="Arial;sans-serif" w:hAnsi="Arial;sans-serif"/>
          <w:b w:val="false"/>
          <w:sz w:val="18"/>
        </w:rPr>
      </w:pPr>
      <w:r>
        <w:rPr>
          <w:rFonts w:ascii="Arial;sans-serif" w:hAnsi="Arial;sans-serif"/>
          <w:b w:val="false"/>
          <w:sz w:val="18"/>
        </w:rPr>
        <w:t>We have incurred net losses since our inception. For the years ended December 31, 2022, 2021, and 2020 we had net losses of $113.3 million, $65.2 million, and $41.3 million, respectively. For the six months ended June 30, 2023, we had a net loss of $52.6 million. As of June 30, 2023, we had an accumulated deficit of $413.0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pStyle w:val="TextBody"/>
        <w:bidi w:val="0"/>
        <w:spacing w:before="200" w:after="0"/>
        <w:jc w:val="both"/>
        <w:rPr>
          <w:rFonts w:ascii="Arial;sans-serif" w:hAnsi="Arial;sans-serif"/>
          <w:b/>
          <w:i/>
          <w:sz w:val="18"/>
        </w:rPr>
      </w:pPr>
      <w:r>
        <w:rPr>
          <w:rFonts w:ascii="Arial;sans-serif" w:hAnsi="Arial;sans-serif"/>
          <w:b/>
          <w:i/>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pStyle w:val="TextBody"/>
        <w:bidi w:val="0"/>
        <w:spacing w:before="200" w:after="0"/>
        <w:jc w:val="both"/>
        <w:rPr>
          <w:rFonts w:ascii="Arial;sans-serif" w:hAnsi="Arial;sans-serif"/>
          <w:b w:val="false"/>
          <w:sz w:val="18"/>
        </w:rPr>
      </w:pPr>
      <w:r>
        <w:rPr>
          <w:rFonts w:ascii="Arial;sans-serif" w:hAnsi="Arial;sans-serif"/>
          <w:b w:val="false"/>
          <w:sz w:val="18"/>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pStyle w:val="TextBody"/>
        <w:bidi w:val="0"/>
        <w:spacing w:before="160" w:after="0"/>
        <w:jc w:val="both"/>
        <w:rPr>
          <w:rFonts w:ascii="Arial;sans-serif" w:hAnsi="Arial;sans-serif"/>
          <w:b w:val="false"/>
          <w:sz w:val="18"/>
        </w:rPr>
      </w:pPr>
      <w:r>
        <w:rPr>
          <w:rFonts w:ascii="Arial;sans-serif" w:hAnsi="Arial;sans-serif"/>
          <w:b w:val="false"/>
          <w:sz w:val="18"/>
        </w:rPr>
        <w:t>Our ability to successfully market our services that we have developed, and may develop in the future, will depend on numerous factors, including:</w:t>
      </w:r>
    </w:p>
    <w:p>
      <w:pPr>
        <w:pStyle w:val="TextBody"/>
        <w:bidi w:val="0"/>
        <w:spacing w:before="120" w:after="0"/>
        <w:jc w:val="both"/>
        <w:rPr/>
      </w:pPr>
      <w:r>
        <w:rPr/>
        <w:t>•</w:t>
      </w:r>
    </w:p>
    <w:p>
      <w:pPr>
        <w:pStyle w:val="TextBody"/>
        <w:bidi w:val="0"/>
        <w:spacing w:before="120" w:after="0"/>
        <w:jc w:val="both"/>
        <w:rPr>
          <w:rFonts w:ascii="Arial;sans-serif" w:hAnsi="Arial;sans-serif"/>
          <w:b w:val="false"/>
          <w:sz w:val="18"/>
        </w:rPr>
      </w:pPr>
      <w:r>
        <w:rPr>
          <w:rFonts w:ascii="Arial;sans-serif" w:hAnsi="Arial;sans-serif"/>
          <w:b w:val="false"/>
          <w:sz w:val="18"/>
        </w:rPr>
        <w:t>our ability to demonstrate the utility and value of our services to our customers and potential customers;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18"/>
        </w:rPr>
      </w:pPr>
      <w:r>
        <w:rPr>
          <w:rFonts w:ascii="Arial;sans-serif" w:hAnsi="Arial;sans-serif"/>
          <w:b w:val="false"/>
          <w:sz w:val="18"/>
        </w:rPr>
        <w:t>the success of our commercial team, including sales and business development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18"/>
        </w:rPr>
      </w:pPr>
      <w:r>
        <w:rPr>
          <w:rFonts w:ascii="Arial;sans-serif" w:hAnsi="Arial;sans-serif"/>
          <w:b w:val="false"/>
          <w:sz w:val="18"/>
        </w:rPr>
        <w:t>the recruitment, hiring, and retention of our commercial team personnel;</w:t>
      </w:r>
    </w:p>
    <w:p>
      <w:pPr>
        <w:pStyle w:val="TextBody"/>
        <w:bidi w:val="0"/>
        <w:spacing w:before="120" w:after="0"/>
        <w:jc w:val="both"/>
        <w:rPr/>
      </w:pPr>
      <w:r>
        <w:rPr/>
        <w:t>•</w:t>
      </w:r>
    </w:p>
    <w:p>
      <w:pPr>
        <w:pStyle w:val="TextBody"/>
        <w:bidi w:val="0"/>
        <w:spacing w:before="120" w:after="0"/>
        <w:jc w:val="both"/>
        <w:rPr>
          <w:rFonts w:ascii="Arial;sans-serif" w:hAnsi="Arial;sans-serif"/>
          <w:b w:val="false"/>
          <w:sz w:val="18"/>
        </w:rPr>
      </w:pPr>
      <w:r>
        <w:rPr>
          <w:rFonts w:ascii="Arial;sans-serif" w:hAnsi="Arial;sans-serif"/>
          <w:b w:val="false"/>
          <w:sz w:val="18"/>
        </w:rPr>
        <w:t>whether our customers and potential customers accept that our services are sufficiently sensitive and specific;</w:t>
      </w:r>
    </w:p>
    <w:p>
      <w:pPr>
        <w:pStyle w:val="TextBody"/>
        <w:bidi w:val="0"/>
        <w:spacing w:before="120" w:after="0"/>
        <w:jc w:val="both"/>
        <w:rPr/>
      </w:pPr>
      <w:r>
        <w:rPr/>
        <w:t>•</w:t>
      </w:r>
    </w:p>
    <w:p>
      <w:pPr>
        <w:pStyle w:val="TextBody"/>
        <w:bidi w:val="0"/>
        <w:spacing w:before="120" w:after="0"/>
        <w:jc w:val="both"/>
        <w:rPr>
          <w:rFonts w:ascii="Arial;sans-serif" w:hAnsi="Arial;sans-serif"/>
          <w:b w:val="false"/>
          <w:sz w:val="18"/>
        </w:rPr>
      </w:pPr>
      <w:r>
        <w:rPr>
          <w:rFonts w:ascii="Arial;sans-serif" w:hAnsi="Arial;sans-serif"/>
          <w:b w:val="false"/>
          <w:sz w:val="18"/>
        </w:rPr>
        <w:t>our ability to convince our customers and potential customers of the utility of the comprehensiveness of our services and of testing patients at multiple time points;</w:t>
      </w:r>
    </w:p>
    <w:p>
      <w:pPr>
        <w:pStyle w:val="TextBody"/>
        <w:bidi w:val="0"/>
        <w:spacing w:before="120" w:after="0"/>
        <w:jc w:val="both"/>
        <w:rPr/>
      </w:pPr>
      <w:r>
        <w:rPr/>
        <w:t>•</w:t>
      </w:r>
    </w:p>
    <w:p>
      <w:pPr>
        <w:pStyle w:val="TextBody"/>
        <w:bidi w:val="0"/>
        <w:spacing w:before="120" w:after="0"/>
        <w:jc w:val="both"/>
        <w:rPr>
          <w:rFonts w:ascii="Arial;sans-serif" w:hAnsi="Arial;sans-serif"/>
          <w:b w:val="false"/>
          <w:sz w:val="18"/>
        </w:rPr>
      </w:pPr>
      <w:r>
        <w:rPr>
          <w:rFonts w:ascii="Arial;sans-serif" w:hAnsi="Arial;sans-serif"/>
          <w:b w:val="false"/>
          <w:sz w:val="18"/>
        </w:rPr>
        <w:t>our ability to continue to fund sales and marketing activities;</w:t>
      </w:r>
    </w:p>
    <w:p>
      <w:pPr>
        <w:pStyle w:val="TextBody"/>
        <w:bidi w:val="0"/>
        <w:spacing w:before="120" w:after="0"/>
        <w:jc w:val="both"/>
        <w:rPr/>
      </w:pPr>
      <w:r>
        <w:rPr/>
        <w:t>•</w:t>
      </w:r>
    </w:p>
    <w:p>
      <w:pPr>
        <w:pStyle w:val="TextBody"/>
        <w:bidi w:val="0"/>
        <w:spacing w:before="120" w:after="0"/>
        <w:jc w:val="both"/>
        <w:rPr>
          <w:rFonts w:ascii="Arial;sans-serif" w:hAnsi="Arial;sans-serif"/>
          <w:b w:val="false"/>
          <w:sz w:val="18"/>
        </w:rPr>
      </w:pPr>
      <w:r>
        <w:rPr>
          <w:rFonts w:ascii="Arial;sans-serif" w:hAnsi="Arial;sans-serif"/>
          <w:b w:val="false"/>
          <w:sz w:val="18"/>
        </w:rPr>
        <w:t>whether our services are considered superior to those of our competitors;</w:t>
      </w:r>
    </w:p>
    <w:p>
      <w:pPr>
        <w:pStyle w:val="TextBody"/>
        <w:bidi w:val="0"/>
        <w:spacing w:before="120" w:after="0"/>
        <w:jc w:val="both"/>
        <w:rPr/>
      </w:pPr>
      <w:r>
        <w:rPr/>
        <w:t>•</w:t>
      </w:r>
    </w:p>
    <w:p>
      <w:pPr>
        <w:pStyle w:val="TextBody"/>
        <w:bidi w:val="0"/>
        <w:spacing w:before="120" w:after="0"/>
        <w:jc w:val="both"/>
        <w:rPr>
          <w:rFonts w:ascii="Arial;sans-serif" w:hAnsi="Arial;sans-serif"/>
          <w:b w:val="false"/>
          <w:sz w:val="18"/>
        </w:rPr>
      </w:pPr>
      <w:r>
        <w:rPr>
          <w:rFonts w:ascii="Arial;sans-serif" w:hAnsi="Arial;sans-serif"/>
          <w:b w:val="false"/>
          <w:sz w:val="18"/>
        </w:rPr>
        <w:t>any negative publicity regarding our or our competitors’ services resulting from defects or errors;</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18"/>
        </w:rPr>
      </w:pPr>
      <w:r>
        <w:rPr>
          <w:rFonts w:ascii="Arial;sans-serif" w:hAnsi="Arial;sans-serif"/>
          <w:b w:val="false"/>
          <w:sz w:val="18"/>
        </w:rPr>
        <w:t>our success obtaining and maintaining patent and trade secret protection for our services and technologies; and</w:t>
      </w:r>
    </w:p>
    <w:p>
      <w:pPr>
        <w:pStyle w:val="TextBody"/>
        <w:bidi w:val="0"/>
        <w:spacing w:before="240" w:after="0"/>
        <w:jc w:val="center"/>
        <w:rPr>
          <w:rFonts w:ascii="Arial;sans-serif" w:hAnsi="Arial;sans-serif"/>
          <w:b w:val="false"/>
          <w:sz w:val="18"/>
        </w:rPr>
      </w:pPr>
      <w:r>
        <w:rPr>
          <w:rFonts w:ascii="Arial;sans-serif" w:hAnsi="Arial;sans-serif"/>
          <w:b w:val="false"/>
          <w:sz w:val="18"/>
        </w:rPr>
        <w:t>31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283"/>
        <w:jc w:val="both"/>
        <w:rPr>
          <w:rFonts w:ascii="Arial;sans-serif" w:hAnsi="Arial;sans-serif"/>
          <w:b w:val="false"/>
          <w:sz w:val="18"/>
        </w:rPr>
      </w:pPr>
      <w:r>
        <w:rPr>
          <w:rFonts w:ascii="Arial;sans-serif" w:hAnsi="Arial;sans-serif"/>
          <w:b w:val="false"/>
          <w:sz w:val="18"/>
        </w:rPr>
        <w:t>our success enforcing and defending intellectual property rights and claims.</w:t>
      </w:r>
    </w:p>
    <w:p>
      <w:pPr>
        <w:pStyle w:val="TextBody"/>
        <w:bidi w:val="0"/>
        <w:spacing w:before="160" w:after="0"/>
        <w:jc w:val="both"/>
        <w:rPr>
          <w:rFonts w:ascii="Arial;sans-serif" w:hAnsi="Arial;sans-serif"/>
          <w:b w:val="false"/>
          <w:sz w:val="18"/>
        </w:rPr>
      </w:pPr>
      <w:r>
        <w:rPr>
          <w:rFonts w:ascii="Arial;sans-serif" w:hAnsi="Arial;sans-serif"/>
          <w:b w:val="false"/>
          <w:sz w:val="18"/>
        </w:rPr>
        <w:t>Failure to achieve broad market acceptance of our services would materially harm our business, financial condition, and results of operations.</w:t>
      </w:r>
    </w:p>
    <w:p>
      <w:pPr>
        <w:pStyle w:val="TextBody"/>
        <w:bidi w:val="0"/>
        <w:spacing w:before="200" w:after="0"/>
        <w:jc w:val="both"/>
        <w:rPr>
          <w:rFonts w:ascii="Arial;sans-serif" w:hAnsi="Arial;sans-serif"/>
          <w:b/>
          <w:i/>
          <w:sz w:val="18"/>
        </w:rPr>
      </w:pPr>
      <w:r>
        <w:rPr>
          <w:rFonts w:ascii="Arial;sans-serif" w:hAnsi="Arial;sans-serif"/>
          <w:b/>
          <w:i/>
          <w:sz w:val="18"/>
        </w:rPr>
        <w:t>If we cannot compete successfully with our competitors, we may be unable to increase or sustain our revenue or achieve and sustain profitability.*</w:t>
      </w:r>
    </w:p>
    <w:p>
      <w:pPr>
        <w:pStyle w:val="TextBody"/>
        <w:bidi w:val="0"/>
        <w:spacing w:before="200" w:after="0"/>
        <w:jc w:val="both"/>
        <w:rPr>
          <w:rFonts w:ascii="Arial;sans-serif" w:hAnsi="Arial;sans-serif"/>
          <w:b w:val="false"/>
          <w:sz w:val="18"/>
        </w:rPr>
      </w:pPr>
      <w:r>
        <w:rPr>
          <w:rFonts w:ascii="Arial;sans-serif" w:hAnsi="Arial;sans-serif"/>
          <w:b w:val="false"/>
          <w:sz w:val="18"/>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and potential customers to use our comprehensive tests rather than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pStyle w:val="TextBody"/>
        <w:bidi w:val="0"/>
        <w:spacing w:before="200" w:after="0"/>
        <w:jc w:val="both"/>
        <w:rPr>
          <w:rFonts w:ascii="Arial;sans-serif" w:hAnsi="Arial;sans-serif"/>
          <w:b w:val="false"/>
          <w:sz w:val="18"/>
        </w:rPr>
      </w:pPr>
      <w:r>
        <w:rPr>
          <w:rFonts w:ascii="Arial;sans-serif" w:hAnsi="Arial;sans-serif"/>
          <w:b w:val="false"/>
          <w:sz w:val="18"/>
        </w:rPr>
        <w:t>Some of our present or potential competitors, including Adaptive Biotechnologies Corporation, Adela, Inc., ArcherDx, Inc., which was acquired by Invitae Corporation in October 2020, BillionToOne, Inc., BostonGene Corporation, C2i Genomics, Inc., Caris Life Sciences, Inc., Covance Inc., which was acquired by Laboratory Corporation of America Holdings ("Labcorp") in February 2015, Foresight Diagnostics Inc. (“Foresight”), Foundation Medicine, Inc., which was acquired by Roche Holdings, Inc. in July 2018, Freenome, Inc., Geneseeq Technology Inc., Genosity, Inc., which was acquired by Invitae Corporation in April 2021, GRAIL, Guardant Health, Inc., Haystack Oncology, Inc., which was acquired by Quest Diagnostics Incorporated in June 2023, Inivata Limited, which was acquired by NeoGenomics, Inc. in June 2021, Invitae Corporation, Natera, NeoGenomics, Inc., Personal Genome Diagnostics, Inc., which was acquired by Labcorp in February 2022, Predicine, Inc., Roche Molecular Systems, Inc., Strata Oncology, Inc., and Tempus,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six months ended June 30, 2023, revenue under our agreement accounted for 47%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pStyle w:val="TextBody"/>
        <w:bidi w:val="0"/>
        <w:spacing w:before="200" w:after="0"/>
        <w:jc w:val="both"/>
        <w:rPr>
          <w:rFonts w:ascii="Times New Roman" w:hAnsi="Times New Roman"/>
          <w:sz w:val="20"/>
        </w:rPr>
      </w:pPr>
      <w:r>
        <w:rPr>
          <w:rFonts w:ascii="Arial;sans-serif" w:hAnsi="Arial;sans-serif"/>
          <w:b w:val="false"/>
          <w:sz w:val="18"/>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32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never developed an FDA-approved companion diagnostic, and may be unable to successfully compete against companies with more experience developing and commercializing companion diagnostics.</w:t>
      </w:r>
    </w:p>
    <w:p>
      <w:pPr>
        <w:pStyle w:val="TextBody"/>
        <w:bidi w:val="0"/>
        <w:spacing w:before="200" w:after="0"/>
        <w:jc w:val="both"/>
        <w:rPr>
          <w:rFonts w:ascii="Times New Roman" w:hAnsi="Times New Roman"/>
          <w:sz w:val="20"/>
        </w:rPr>
      </w:pPr>
      <w:r>
        <w:rPr>
          <w:rFonts w:ascii="Arial;sans-serif" w:hAnsi="Arial;sans-serif"/>
          <w:b w:val="false"/>
          <w:sz w:val="18"/>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r>
        <w:rPr>
          <w:rFonts w:ascii="Times New Roman" w:hAnsi="Times New Roman"/>
          <w:sz w:val="20"/>
        </w:rPr>
        <w:t xml:space="preserve"> </w:t>
      </w:r>
    </w:p>
    <w:p>
      <w:pPr>
        <w:pStyle w:val="TextBody"/>
        <w:bidi w:val="0"/>
        <w:spacing w:before="200" w:after="0"/>
        <w:jc w:val="both"/>
        <w:rPr>
          <w:rFonts w:ascii="Arial;sans-serif" w:hAnsi="Arial;sans-serif"/>
          <w:b/>
          <w:i/>
          <w:sz w:val="18"/>
        </w:rPr>
      </w:pPr>
      <w:r>
        <w:rPr>
          <w:rFonts w:ascii="Arial;sans-serif" w:hAnsi="Arial;sans-serif"/>
          <w:b/>
          <w:i/>
          <w:sz w:val="18"/>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pStyle w:val="TextBody"/>
        <w:bidi w:val="0"/>
        <w:spacing w:before="200" w:after="0"/>
        <w:jc w:val="both"/>
        <w:rPr>
          <w:rFonts w:ascii="Times New Roman" w:hAnsi="Times New Roman"/>
          <w:sz w:val="20"/>
        </w:rPr>
      </w:pPr>
      <w:r>
        <w:rPr>
          <w:rFonts w:ascii="Arial;sans-serif" w:hAnsi="Arial;sans-serif"/>
          <w:b w:val="false"/>
          <w:sz w:val="18"/>
        </w:rPr>
        <w:t>Like other genomic profiling companies that sell to the pharmaceutical industry, we have substantial customer concentration. We currently derive a significant portion of our revenue from the VA MVP, which accounted for 17% and 23% of our revenue for the six months ended June 30, 2023 and 2022, respectively. Revenue from Natera accounted for 47% and 33% of our revenue for the six months ended June 30, 2023 and 2022, respectively. Our top five customers, including the VA MVP and Natera, accounted for 82% and 77% of our revenue for the six months ended June 30, 2023 and 2022, respectively. There are inherent risks whenever a large percentage of revenue is concentrated with a limited number of customers. While we have attempted to grow our customer base and diversify our revenue concentration beyond the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r>
        <w:rPr>
          <w:rFonts w:ascii="Times New Roman" w:hAnsi="Times New Roman"/>
          <w:sz w:val="20"/>
        </w:rPr>
        <w:t xml:space="preserve"> </w:t>
      </w:r>
    </w:p>
    <w:p>
      <w:pPr>
        <w:pStyle w:val="TextBody"/>
        <w:bidi w:val="0"/>
        <w:spacing w:before="200" w:after="0"/>
        <w:jc w:val="both"/>
        <w:rPr>
          <w:rFonts w:ascii="Arial;sans-serif" w:hAnsi="Arial;sans-serif"/>
          <w:b/>
          <w:i/>
          <w:sz w:val="18"/>
        </w:rPr>
      </w:pPr>
      <w:r>
        <w:rPr>
          <w:rFonts w:ascii="Arial;sans-serif" w:hAnsi="Arial;sans-serif"/>
          <w:b/>
          <w:i/>
          <w:sz w:val="18"/>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p>
    <w:p>
      <w:pPr>
        <w:pStyle w:val="TextBody"/>
        <w:bidi w:val="0"/>
        <w:spacing w:before="200" w:after="0"/>
        <w:jc w:val="both"/>
        <w:rPr>
          <w:rFonts w:ascii="Arial;sans-serif" w:hAnsi="Arial;sans-serif"/>
          <w:b w:val="false"/>
          <w:sz w:val="18"/>
        </w:rPr>
      </w:pPr>
      <w:r>
        <w:rPr>
          <w:rFonts w:ascii="Arial;sans-serif" w:hAnsi="Arial;sans-serif"/>
          <w:b w:val="false"/>
          <w:sz w:val="18"/>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in the first six months of 2023, revenue under our agreement accounted for 47% of our total revenue. In May 2023, we entered into a new agreement with Natera that replaces the previous tiered-pricing arrangement with new fixed prices that are lower than the prices paid by Natera under the old arrangement, in exchange for minimum volume commitments that extend through at least the first quarter of 2024.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pStyle w:val="TextBody"/>
        <w:bidi w:val="0"/>
        <w:spacing w:before="200" w:after="0"/>
        <w:jc w:val="both"/>
        <w:rPr>
          <w:rFonts w:ascii="Times New Roman" w:hAnsi="Times New Roman"/>
          <w:sz w:val="20"/>
        </w:rPr>
      </w:pPr>
      <w:r>
        <w:rPr>
          <w:rFonts w:ascii="Arial;sans-serif" w:hAnsi="Arial;sans-serif"/>
          <w:b w:val="false"/>
          <w:sz w:val="18"/>
        </w:rPr>
        <w:t>Additionally, Natera may allege that such failures to achieve the required metrics are a breach of our agreement and seek to terminate our agreement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in the future.</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33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we have announced the launch of NeXT Personal,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 unable to successfully research, develop, launch and/or commercialize our services or service capabilities, including NeXT Personal, our business, financial condition, revenue and other operating results, and cash flows may be materially harmed.</w:t>
      </w:r>
    </w:p>
    <w:p>
      <w:pPr>
        <w:pStyle w:val="TextBody"/>
        <w:bidi w:val="0"/>
        <w:spacing w:before="200" w:after="0"/>
        <w:jc w:val="both"/>
        <w:rPr>
          <w:rFonts w:ascii="Arial;sans-serif" w:hAnsi="Arial;sans-serif"/>
          <w:b/>
          <w:i/>
          <w:sz w:val="18"/>
        </w:rPr>
      </w:pPr>
      <w:r>
        <w:rPr>
          <w:rFonts w:ascii="Arial;sans-serif" w:hAnsi="Arial;sans-serif"/>
          <w:b/>
          <w:i/>
          <w:sz w:val="18"/>
        </w:rPr>
        <w:t>We have derived a substantial portion of our current revenue from DNA sequencing and data analysis services that we provided to our largest customer,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pStyle w:val="TextBody"/>
        <w:bidi w:val="0"/>
        <w:spacing w:before="200" w:after="0"/>
        <w:jc w:val="both"/>
        <w:rPr>
          <w:rFonts w:ascii="Arial;sans-serif" w:hAnsi="Arial;sans-serif"/>
          <w:b w:val="false"/>
          <w:sz w:val="18"/>
        </w:rPr>
      </w:pPr>
      <w:r>
        <w:rPr>
          <w:rFonts w:ascii="Arial;sans-serif" w:hAnsi="Arial;sans-serif"/>
          <w:b w:val="false"/>
          <w:sz w:val="18"/>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That contract did not include a renewal option. In September 2022, we entered into a new contract with the VA MVP to continue providing them WGS services. The performance period under the new contract includes a base period of one year, with four one-year renewal option periods that may be exercised upon discretion of the VA MVP. We concurrently received an initial task order with a value of up to $10.0 million, subject to the receipt of samples from the VA MVP. We received notice that the VA MVP has elected to exercise its first of the four renewal options under the September 2022 contract. However, there is no guarantee that the VA MVP will exercise any subsequent renewal option.</w:t>
      </w:r>
    </w:p>
    <w:p>
      <w:pPr>
        <w:pStyle w:val="TextBody"/>
        <w:bidi w:val="0"/>
        <w:spacing w:before="200" w:after="0"/>
        <w:jc w:val="both"/>
        <w:rPr>
          <w:rFonts w:ascii="Arial;sans-serif" w:hAnsi="Arial;sans-serif"/>
          <w:b w:val="false"/>
          <w:sz w:val="18"/>
        </w:rPr>
      </w:pPr>
      <w:r>
        <w:rPr>
          <w:rFonts w:ascii="Arial;sans-serif" w:hAnsi="Arial;sans-serif"/>
          <w:b w:val="false"/>
          <w:sz w:val="18"/>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the VA MVP contracted orders received in September 2021 and 2022 had values of $9.7 million and $10.0 million, respectively, which represents a substantial decline. We have no certainty that funding will be made available for our services, or that the VA MVP will award any future contracts, contract renewals or contracted orders to us. The priorities of the VA, the VA MVP, or the U.S. government may change, including in response to COVID-19 or another health epidemic or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pStyle w:val="TextBody"/>
        <w:bidi w:val="0"/>
        <w:spacing w:before="200" w:after="0"/>
        <w:jc w:val="both"/>
        <w:rPr>
          <w:rFonts w:ascii="Arial;sans-serif" w:hAnsi="Arial;sans-serif"/>
          <w:b w:val="false"/>
          <w:sz w:val="18"/>
        </w:rPr>
      </w:pPr>
      <w:r>
        <w:rPr>
          <w:rFonts w:ascii="Arial;sans-serif" w:hAnsi="Arial;sans-serif"/>
          <w:b w:val="false"/>
          <w:sz w:val="18"/>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such as COVID-19. For example, in March 2020, the VA MVP announced that it was suspending sample collection due to the COVID-19 pandemic. In addition, we believe the COVID-19 pandemic may have been a contributing factor to the reduction in values of the September 2021 and 2022 VA MVP contracted orders compared to the September 2020 contracted order, as the VA MVP delayed new enrollment and also may have needed to divert resources to respond to the pandemic. A resurgence of COVID-19 or another health epidemic or pandemic may negatively impact the value of any potential new VA MVP contract or order.</w:t>
      </w:r>
    </w:p>
    <w:p>
      <w:pPr>
        <w:pStyle w:val="TextBody"/>
        <w:bidi w:val="0"/>
        <w:spacing w:before="200" w:after="0"/>
        <w:jc w:val="both"/>
        <w:rPr>
          <w:rFonts w:ascii="Arial;sans-serif" w:hAnsi="Arial;sans-serif"/>
          <w:b/>
          <w:i/>
          <w:sz w:val="18"/>
        </w:rPr>
      </w:pPr>
      <w:r>
        <w:rPr>
          <w:rFonts w:ascii="Arial;sans-serif" w:hAnsi="Arial;sans-serif"/>
          <w:b/>
          <w:i/>
          <w:sz w:val="18"/>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pStyle w:val="TextBody"/>
        <w:bidi w:val="0"/>
        <w:spacing w:before="200" w:after="0"/>
        <w:jc w:val="both"/>
        <w:rPr>
          <w:rFonts w:ascii="Times New Roman" w:hAnsi="Times New Roman"/>
          <w:sz w:val="20"/>
        </w:rPr>
      </w:pPr>
      <w:r>
        <w:rPr>
          <w:rFonts w:ascii="Arial;sans-serif" w:hAnsi="Arial;sans-serif"/>
          <w:b w:val="false"/>
          <w:sz w:val="18"/>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34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pStyle w:val="TextBody"/>
        <w:bidi w:val="0"/>
        <w:spacing w:before="200" w:after="0"/>
        <w:jc w:val="both"/>
        <w:rPr>
          <w:rFonts w:ascii="Arial;sans-serif" w:hAnsi="Arial;sans-serif"/>
          <w:b w:val="false"/>
          <w:sz w:val="18"/>
        </w:rPr>
      </w:pPr>
      <w:r>
        <w:rPr>
          <w:rFonts w:ascii="Arial;sans-serif" w:hAnsi="Arial;sans-serif"/>
          <w:b w:val="false"/>
          <w:sz w:val="18"/>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pStyle w:val="TextBody"/>
        <w:bidi w:val="0"/>
        <w:spacing w:before="200" w:after="0"/>
        <w:jc w:val="both"/>
        <w:rPr>
          <w:rFonts w:ascii="Arial;sans-serif" w:hAnsi="Arial;sans-serif"/>
          <w:b w:val="false"/>
          <w:sz w:val="18"/>
        </w:rPr>
      </w:pPr>
      <w:r>
        <w:rPr>
          <w:rFonts w:ascii="Arial;sans-serif" w:hAnsi="Arial;sans-serif"/>
          <w:b w:val="false"/>
          <w:sz w:val="18"/>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pStyle w:val="TextBody"/>
        <w:bidi w:val="0"/>
        <w:spacing w:before="200" w:after="0"/>
        <w:jc w:val="both"/>
        <w:rPr>
          <w:rFonts w:ascii="Arial;sans-serif" w:hAnsi="Arial;sans-serif"/>
          <w:b/>
          <w:i/>
          <w:sz w:val="18"/>
        </w:rPr>
      </w:pPr>
      <w:r>
        <w:rPr>
          <w:rFonts w:ascii="Arial;sans-serif" w:hAnsi="Arial;sans-serif"/>
          <w:b/>
          <w:i/>
          <w:sz w:val="18"/>
        </w:rPr>
        <w:t>When we grow our business by developing in vitro diagnostic tests, we may be subject to reimbursement challenges.*</w:t>
      </w:r>
    </w:p>
    <w:p>
      <w:pPr>
        <w:pStyle w:val="TextBody"/>
        <w:bidi w:val="0"/>
        <w:spacing w:before="200" w:after="0"/>
        <w:jc w:val="both"/>
        <w:rPr>
          <w:rFonts w:ascii="Arial;sans-serif" w:hAnsi="Arial;sans-serif"/>
          <w:b w:val="false"/>
          <w:sz w:val="18"/>
        </w:rPr>
      </w:pPr>
      <w:r>
        <w:rPr>
          <w:rFonts w:ascii="Arial;sans-serif" w:hAnsi="Arial;sans-serif"/>
          <w:b w:val="false"/>
          <w:sz w:val="18"/>
        </w:rPr>
        <w:t>The coverage and reimbursement status of newly-approved or cleared laboratory tests, including our NeXT Dx offering, is uncertain. We are seeking reimbursement for our NeXT Dx offering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pStyle w:val="TextBody"/>
        <w:bidi w:val="0"/>
        <w:spacing w:before="200" w:after="0"/>
        <w:jc w:val="both"/>
        <w:rPr>
          <w:rFonts w:ascii="Arial;sans-serif" w:hAnsi="Arial;sans-serif"/>
          <w:b/>
          <w:i/>
          <w:sz w:val="18"/>
        </w:rPr>
      </w:pPr>
      <w:r>
        <w:rPr>
          <w:rFonts w:ascii="Arial;sans-serif" w:hAnsi="Arial;sans-serif"/>
          <w:b/>
          <w:i/>
          <w:sz w:val="18"/>
        </w:rPr>
        <w:t>We rely on a limited number of suppliers, or in some cases, a sole supplier, for some of our laboratory instruments and materials, and we may not be able to find replacements or immediately transition to alternative suppliers should we need to do so.*</w:t>
      </w:r>
    </w:p>
    <w:p>
      <w:pPr>
        <w:pStyle w:val="TextBody"/>
        <w:bidi w:val="0"/>
        <w:spacing w:before="200" w:after="0"/>
        <w:jc w:val="both"/>
        <w:rPr>
          <w:rFonts w:ascii="Arial;sans-serif" w:hAnsi="Arial;sans-serif"/>
          <w:b w:val="false"/>
          <w:sz w:val="18"/>
        </w:rPr>
      </w:pPr>
      <w:r>
        <w:rPr>
          <w:rFonts w:ascii="Arial;sans-serif" w:hAnsi="Arial;sans-serif"/>
          <w:b w:val="false"/>
          <w:sz w:val="18"/>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In August 2021, Illumina completed its acquisition of GRAIL, a company focused on early cancer detection and potentially other forms of cancer analysis using next-generation sequencing technology. Any disruption in Illumina’s operations, or our inability to negotiate pricing with Illumina on acceptable terms, or at all, or any competitive pressure resulting from Illumina’s acquisition of GRAIL, could negatively impact our supply chain and laboratory operations and our ability to conduct our business and generate revenue. Additionally, COVID-19 previously disrupted Illumina’s ability to fulfill our purchase orders for reagents or other materials in a timely manner and a resurgence of COVID-19 or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pStyle w:val="TextBody"/>
        <w:bidi w:val="0"/>
        <w:spacing w:before="200" w:after="0"/>
        <w:jc w:val="both"/>
        <w:rPr>
          <w:rFonts w:ascii="Times New Roman" w:hAnsi="Times New Roman"/>
          <w:sz w:val="20"/>
        </w:rPr>
      </w:pPr>
      <w:r>
        <w:rPr>
          <w:rFonts w:ascii="Arial;sans-serif" w:hAnsi="Arial;sans-serif"/>
          <w:b w:val="false"/>
          <w:sz w:val="18"/>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35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pStyle w:val="TextBody"/>
        <w:bidi w:val="0"/>
        <w:spacing w:before="200" w:after="0"/>
        <w:jc w:val="both"/>
        <w:rPr>
          <w:rFonts w:ascii="Arial;sans-serif" w:hAnsi="Arial;sans-serif"/>
          <w:b/>
          <w:i/>
          <w:sz w:val="18"/>
        </w:rPr>
      </w:pPr>
      <w:r>
        <w:rPr>
          <w:rFonts w:ascii="Arial;sans-serif" w:hAnsi="Arial;sans-serif"/>
          <w:b/>
          <w:i/>
          <w:sz w:val="18"/>
        </w:rPr>
        <w:t>We will need to invest in our infrastructure in advance of increased demand for our services; our failure to accurately forecast demand would have a negative impact on our business and our ability to achieve and sustain profitability.</w:t>
      </w:r>
    </w:p>
    <w:p>
      <w:pPr>
        <w:pStyle w:val="TextBody"/>
        <w:bidi w:val="0"/>
        <w:spacing w:before="200" w:after="0"/>
        <w:jc w:val="both"/>
        <w:rPr>
          <w:rFonts w:ascii="Arial;sans-serif" w:hAnsi="Arial;sans-serif"/>
          <w:b w:val="false"/>
          <w:sz w:val="18"/>
        </w:rPr>
      </w:pPr>
      <w:r>
        <w:rPr>
          <w:rFonts w:ascii="Arial;sans-serif" w:hAnsi="Arial;sans-serif"/>
          <w:b w:val="false"/>
          <w:sz w:val="18"/>
        </w:rPr>
        <w:t>In order to execute our business model, we need to invest in scaling our infrastructure, including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pStyle w:val="TextBody"/>
        <w:bidi w:val="0"/>
        <w:spacing w:before="200" w:after="0"/>
        <w:jc w:val="both"/>
        <w:rPr>
          <w:rFonts w:ascii="Arial;sans-serif" w:hAnsi="Arial;sans-serif"/>
          <w:b w:val="false"/>
          <w:sz w:val="18"/>
        </w:rPr>
      </w:pPr>
      <w:r>
        <w:rPr>
          <w:rFonts w:ascii="Arial;sans-serif" w:hAnsi="Arial;sans-serif"/>
          <w:b w:val="false"/>
          <w:sz w:val="18"/>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pStyle w:val="TextBody"/>
        <w:bidi w:val="0"/>
        <w:spacing w:before="200" w:after="0"/>
        <w:jc w:val="both"/>
        <w:rPr>
          <w:rFonts w:ascii="Arial;sans-serif" w:hAnsi="Arial;sans-serif"/>
          <w:b/>
          <w:i/>
          <w:sz w:val="18"/>
        </w:rPr>
      </w:pPr>
      <w:r>
        <w:rPr>
          <w:rFonts w:ascii="Arial;sans-serif" w:hAnsi="Arial;sans-serif"/>
          <w:b/>
          <w:i/>
          <w:sz w:val="18"/>
        </w:rPr>
        <w:t>If our facilities become damaged or inoperable, or we are required to vacate the facilities, our ability to sell and provide our services and pursue our research and development efforts may be jeopardized.*</w:t>
      </w:r>
    </w:p>
    <w:p>
      <w:pPr>
        <w:pStyle w:val="TextBody"/>
        <w:bidi w:val="0"/>
        <w:spacing w:before="200" w:after="0"/>
        <w:jc w:val="both"/>
        <w:rPr>
          <w:rFonts w:ascii="Arial;sans-serif" w:hAnsi="Arial;sans-serif"/>
          <w:b w:val="false"/>
          <w:sz w:val="18"/>
        </w:rPr>
      </w:pPr>
      <w:r>
        <w:rPr>
          <w:rFonts w:ascii="Arial;sans-serif" w:hAnsi="Arial;sans-serif"/>
          <w:b w:val="false"/>
          <w:sz w:val="18"/>
        </w:rPr>
        <w:t>We currently derive our revenue from our genomic analysis conducted in our laboratories. Currently, our only clinical reference or research and development laboratory facilities are our facilities in Menlo Park, California and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our use of the Fremont facility due to a failure of an electrical bus duct serving the facility. See “—The process of opening our new laboratory facilities in Fremont, California has diverted and could continue to divert management’s attention and has disrupted and could continue to disrupt our ongoing business.” Furthermore, our facilities and the equipment we use to perform our services and our research and development work could be costly and time-consuming to repair or replace.</w:t>
      </w:r>
    </w:p>
    <w:p>
      <w:pPr>
        <w:pStyle w:val="TextBody"/>
        <w:bidi w:val="0"/>
        <w:spacing w:before="200" w:after="0"/>
        <w:jc w:val="both"/>
        <w:rPr>
          <w:rFonts w:ascii="Times New Roman" w:hAnsi="Times New Roman"/>
          <w:sz w:val="20"/>
        </w:rPr>
      </w:pPr>
      <w:r>
        <w:rPr>
          <w:rFonts w:ascii="Arial;sans-serif" w:hAnsi="Arial;sans-serif"/>
          <w:b w:val="false"/>
          <w:sz w:val="18"/>
        </w:rPr>
        <w:t>Additionally, a key component of our research and development process involves using biological samples as the basis for the development of our services, and our services typically involve using biological samples provided by or on behalf of our customers or</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36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collaborators. In some cases, these samples are difficult to obtain. If the parts of our laboratory facilities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pStyle w:val="TextBody"/>
        <w:bidi w:val="0"/>
        <w:spacing w:before="200" w:after="0"/>
        <w:jc w:val="both"/>
        <w:rPr>
          <w:rFonts w:ascii="Arial;sans-serif" w:hAnsi="Arial;sans-serif"/>
          <w:b w:val="false"/>
          <w:sz w:val="18"/>
        </w:rPr>
      </w:pPr>
      <w:r>
        <w:rPr>
          <w:rFonts w:ascii="Arial;sans-serif" w:hAnsi="Arial;sans-serif"/>
          <w:b w:val="false"/>
          <w:sz w:val="18"/>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pStyle w:val="TextBody"/>
        <w:bidi w:val="0"/>
        <w:spacing w:before="200" w:after="0"/>
        <w:jc w:val="both"/>
        <w:rPr>
          <w:rFonts w:ascii="Arial;sans-serif" w:hAnsi="Arial;sans-serif"/>
          <w:b/>
          <w:i/>
          <w:sz w:val="18"/>
        </w:rPr>
      </w:pPr>
      <w:r>
        <w:rPr>
          <w:rFonts w:ascii="Arial;sans-serif" w:hAnsi="Arial;sans-serif"/>
          <w:b/>
          <w:i/>
          <w:sz w:val="18"/>
        </w:rPr>
        <w:t>Our success depends on our ability to provide reliable and timely, high-quality genomic data and analyses and to rapidly evolve to meet our customers’ needs.</w:t>
      </w:r>
    </w:p>
    <w:p>
      <w:pPr>
        <w:pStyle w:val="TextBody"/>
        <w:bidi w:val="0"/>
        <w:spacing w:before="200" w:after="0"/>
        <w:jc w:val="both"/>
        <w:rPr>
          <w:rFonts w:ascii="Arial;sans-serif" w:hAnsi="Arial;sans-serif"/>
          <w:b w:val="false"/>
          <w:sz w:val="18"/>
        </w:rPr>
      </w:pPr>
      <w:r>
        <w:rPr>
          <w:rFonts w:ascii="Arial;sans-serif" w:hAnsi="Arial;sans-serif"/>
          <w:b w:val="false"/>
          <w:sz w:val="18"/>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pStyle w:val="TextBody"/>
        <w:bidi w:val="0"/>
        <w:spacing w:before="200" w:after="0"/>
        <w:jc w:val="both"/>
        <w:rPr>
          <w:rFonts w:ascii="Arial;sans-serif" w:hAnsi="Arial;sans-serif"/>
          <w:b w:val="false"/>
          <w:sz w:val="18"/>
        </w:rPr>
      </w:pPr>
      <w:r>
        <w:rPr>
          <w:rFonts w:ascii="Arial;sans-serif" w:hAnsi="Arial;sans-serif"/>
          <w:b w:val="false"/>
          <w:sz w:val="18"/>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pStyle w:val="TextBody"/>
        <w:bidi w:val="0"/>
        <w:spacing w:before="200" w:after="0"/>
        <w:jc w:val="both"/>
        <w:rPr>
          <w:rFonts w:ascii="Arial;sans-serif" w:hAnsi="Arial;sans-serif"/>
          <w:b w:val="false"/>
          <w:sz w:val="18"/>
        </w:rPr>
      </w:pPr>
      <w:r>
        <w:rPr>
          <w:rFonts w:ascii="Arial;sans-serif" w:hAnsi="Arial;sans-serif"/>
          <w:b w:val="false"/>
          <w:sz w:val="18"/>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pStyle w:val="TextBody"/>
        <w:bidi w:val="0"/>
        <w:spacing w:before="200" w:after="0"/>
        <w:jc w:val="both"/>
        <w:rPr>
          <w:rFonts w:ascii="Arial;sans-serif" w:hAnsi="Arial;sans-serif"/>
          <w:b/>
          <w:i/>
          <w:sz w:val="18"/>
        </w:rPr>
      </w:pPr>
      <w:r>
        <w:rPr>
          <w:rFonts w:ascii="Arial;sans-serif" w:hAnsi="Arial;sans-serif"/>
          <w:b/>
          <w:i/>
          <w:sz w:val="18"/>
        </w:rPr>
        <w:t>If we cannot develop services and products to keep pace with rapid advances in technology, medicine, and science, or if we experience delays in developing such services and products, our operating results and competitive position could be harmed.</w:t>
      </w:r>
    </w:p>
    <w:p>
      <w:pPr>
        <w:pStyle w:val="TextBody"/>
        <w:bidi w:val="0"/>
        <w:spacing w:before="200" w:after="0"/>
        <w:jc w:val="both"/>
        <w:rPr>
          <w:rFonts w:ascii="Arial;sans-serif" w:hAnsi="Arial;sans-serif"/>
          <w:b w:val="false"/>
          <w:sz w:val="18"/>
        </w:rPr>
      </w:pPr>
      <w:r>
        <w:rPr>
          <w:rFonts w:ascii="Arial;sans-serif" w:hAnsi="Arial;sans-serif"/>
          <w:b w:val="false"/>
          <w:sz w:val="18"/>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pStyle w:val="TextBody"/>
        <w:bidi w:val="0"/>
        <w:spacing w:before="200" w:after="0"/>
        <w:jc w:val="both"/>
        <w:rPr>
          <w:rFonts w:ascii="Arial;sans-serif" w:hAnsi="Arial;sans-serif"/>
          <w:b/>
          <w:i/>
          <w:sz w:val="18"/>
        </w:rPr>
      </w:pPr>
      <w:r>
        <w:rPr>
          <w:rFonts w:ascii="Arial;sans-serif" w:hAnsi="Arial;sans-serif"/>
          <w:b/>
          <w:i/>
          <w:sz w:val="18"/>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pStyle w:val="TextBody"/>
        <w:bidi w:val="0"/>
        <w:spacing w:before="200" w:after="0"/>
        <w:jc w:val="both"/>
        <w:rPr>
          <w:rFonts w:ascii="Times New Roman" w:hAnsi="Times New Roman"/>
          <w:sz w:val="20"/>
        </w:rPr>
      </w:pPr>
      <w:r>
        <w:rPr>
          <w:rFonts w:ascii="Arial;sans-serif" w:hAnsi="Arial;sans-serif"/>
          <w:b w:val="false"/>
          <w:sz w:val="18"/>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37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expense, especially if our improvements fail to perform as expected. If we are not able to realize the benefits of our efforts to improve our tests or test features, it could have an adverse effect on our business, financial condition, and results of operations.</w:t>
      </w:r>
    </w:p>
    <w:p>
      <w:pPr>
        <w:pStyle w:val="TextBody"/>
        <w:bidi w:val="0"/>
        <w:spacing w:before="200" w:after="0"/>
        <w:jc w:val="both"/>
        <w:rPr>
          <w:rFonts w:ascii="Arial;sans-serif" w:hAnsi="Arial;sans-serif"/>
          <w:b/>
          <w:i/>
          <w:sz w:val="18"/>
        </w:rPr>
      </w:pPr>
      <w:r>
        <w:rPr>
          <w:rFonts w:ascii="Arial;sans-serif" w:hAnsi="Arial;sans-serif"/>
          <w:b/>
          <w:i/>
          <w:sz w:val="18"/>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pStyle w:val="TextBody"/>
        <w:bidi w:val="0"/>
        <w:spacing w:before="200" w:after="0"/>
        <w:jc w:val="both"/>
        <w:rPr>
          <w:rFonts w:ascii="Arial;sans-serif" w:hAnsi="Arial;sans-serif"/>
          <w:b w:val="false"/>
          <w:sz w:val="18"/>
        </w:rPr>
      </w:pPr>
      <w:r>
        <w:rPr>
          <w:rFonts w:ascii="Arial;sans-serif" w:hAnsi="Arial;sans-serif"/>
          <w:b w:val="false"/>
          <w:sz w:val="18"/>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pStyle w:val="TextBody"/>
        <w:bidi w:val="0"/>
        <w:spacing w:before="200" w:after="0"/>
        <w:jc w:val="both"/>
        <w:rPr>
          <w:rFonts w:ascii="Arial;sans-serif" w:hAnsi="Arial;sans-serif"/>
          <w:b w:val="false"/>
          <w:sz w:val="18"/>
        </w:rPr>
      </w:pPr>
      <w:r>
        <w:rPr>
          <w:rFonts w:ascii="Arial;sans-serif" w:hAnsi="Arial;sans-serif"/>
          <w:b w:val="false"/>
          <w:sz w:val="18"/>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pStyle w:val="TextBody"/>
        <w:bidi w:val="0"/>
        <w:spacing w:before="200" w:after="0"/>
        <w:jc w:val="both"/>
        <w:rPr>
          <w:rFonts w:ascii="Arial;sans-serif" w:hAnsi="Arial;sans-serif"/>
          <w:b w:val="false"/>
          <w:sz w:val="18"/>
        </w:rPr>
      </w:pPr>
      <w:r>
        <w:rPr>
          <w:rFonts w:ascii="Arial;sans-serif" w:hAnsi="Arial;sans-serif"/>
          <w:b w:val="false"/>
          <w:sz w:val="18"/>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(“GSPRs”) set out in Annex I of the IVDR. Compliance with these requirements is a prerequisite to be able to affix the CE Mark to IVDs, without which they cannot be marketed or sold in the EEA.</w:t>
      </w:r>
    </w:p>
    <w:p>
      <w:pPr>
        <w:pStyle w:val="TextBody"/>
        <w:bidi w:val="0"/>
        <w:spacing w:before="200" w:after="0"/>
        <w:jc w:val="both"/>
        <w:rPr>
          <w:rFonts w:ascii="Arial;sans-serif" w:hAnsi="Arial;sans-serif"/>
          <w:b w:val="false"/>
          <w:sz w:val="18"/>
        </w:rPr>
      </w:pPr>
      <w:r>
        <w:rPr>
          <w:rFonts w:ascii="Arial;sans-serif" w:hAnsi="Arial;sans-serif"/>
          <w:b w:val="false"/>
          <w:sz w:val="18"/>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pStyle w:val="TextBody"/>
        <w:bidi w:val="0"/>
        <w:spacing w:before="200" w:after="0"/>
        <w:jc w:val="both"/>
        <w:rPr>
          <w:rFonts w:ascii="Arial;sans-serif" w:hAnsi="Arial;sans-serif"/>
          <w:b w:val="false"/>
          <w:sz w:val="18"/>
        </w:rPr>
      </w:pPr>
      <w:r>
        <w:rPr>
          <w:rFonts w:ascii="Arial;sans-serif" w:hAnsi="Arial;sans-serif"/>
          <w:b w:val="false"/>
          <w:sz w:val="18"/>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instruments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pStyle w:val="TextBody"/>
        <w:bidi w:val="0"/>
        <w:spacing w:before="200" w:after="0"/>
        <w:jc w:val="both"/>
        <w:rPr>
          <w:rFonts w:ascii="Arial;sans-serif" w:hAnsi="Arial;sans-serif"/>
          <w:b w:val="false"/>
          <w:sz w:val="18"/>
        </w:rPr>
      </w:pPr>
      <w:r>
        <w:rPr>
          <w:rFonts w:ascii="Arial;sans-serif" w:hAnsi="Arial;sans-serif"/>
          <w:b w:val="false"/>
          <w:sz w:val="18"/>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pStyle w:val="TextBody"/>
        <w:bidi w:val="0"/>
        <w:spacing w:before="200" w:after="0"/>
        <w:jc w:val="both"/>
        <w:rPr>
          <w:rFonts w:ascii="Arial;sans-serif" w:hAnsi="Arial;sans-serif"/>
          <w:b/>
          <w:i/>
          <w:sz w:val="18"/>
        </w:rPr>
      </w:pPr>
      <w:r>
        <w:rPr>
          <w:rFonts w:ascii="Arial;sans-serif" w:hAnsi="Arial;sans-serif"/>
          <w:b/>
          <w:i/>
          <w:sz w:val="18"/>
        </w:rPr>
        <w:t>The loss of key members of our executive management team could adversely affect our business.*</w:t>
      </w:r>
    </w:p>
    <w:p>
      <w:pPr>
        <w:pStyle w:val="TextBody"/>
        <w:bidi w:val="0"/>
        <w:spacing w:before="200" w:after="0"/>
        <w:jc w:val="both"/>
        <w:rPr>
          <w:rFonts w:ascii="Times New Roman" w:hAnsi="Times New Roman"/>
          <w:sz w:val="20"/>
        </w:rPr>
      </w:pPr>
      <w:r>
        <w:rPr>
          <w:rFonts w:ascii="Arial;sans-serif" w:hAnsi="Arial;sans-serif"/>
          <w:b w:val="false"/>
          <w:sz w:val="18"/>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Effective December 31, 2022, John West retired from his role as our Chief Executive Officer. Aaron Tachibana, our Chief Financial Officer, served as our interim Chief Executive Officer from December 31, 2022 until March 2, 2023, when Christopher Hall, who served as our SVP and Head, Diagnostics Business, was appointed Chief Executive Officer, in addition to his role as our President. As</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38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with any change in leadership,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pStyle w:val="TextBody"/>
        <w:bidi w:val="0"/>
        <w:spacing w:before="200" w:after="0"/>
        <w:jc w:val="both"/>
        <w:rPr>
          <w:rFonts w:ascii="Arial;sans-serif" w:hAnsi="Arial;sans-serif"/>
          <w:b w:val="false"/>
          <w:sz w:val="18"/>
        </w:rPr>
      </w:pPr>
      <w:r>
        <w:rPr>
          <w:rFonts w:ascii="Arial;sans-serif" w:hAnsi="Arial;sans-serif"/>
          <w:b w:val="false"/>
          <w:sz w:val="18"/>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pStyle w:val="TextBody"/>
        <w:bidi w:val="0"/>
        <w:spacing w:before="200" w:after="0"/>
        <w:jc w:val="both"/>
        <w:rPr>
          <w:rFonts w:ascii="Arial;sans-serif" w:hAnsi="Arial;sans-serif"/>
          <w:b/>
          <w:i/>
          <w:sz w:val="18"/>
        </w:rPr>
      </w:pPr>
      <w:r>
        <w:rPr>
          <w:rFonts w:ascii="Arial;sans-serif" w:hAnsi="Arial;sans-serif"/>
          <w:b/>
          <w:i/>
          <w:sz w:val="18"/>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bidi w:val="0"/>
        <w:spacing w:before="200" w:after="0"/>
        <w:jc w:val="both"/>
        <w:rPr>
          <w:rFonts w:ascii="Arial;sans-serif" w:hAnsi="Arial;sans-serif"/>
          <w:b w:val="false"/>
          <w:sz w:val="18"/>
        </w:rPr>
      </w:pPr>
      <w:r>
        <w:rPr>
          <w:rFonts w:ascii="Arial;sans-serif" w:hAnsi="Arial;sans-serif"/>
          <w:b w:val="false"/>
          <w:sz w:val="18"/>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bidi w:val="0"/>
        <w:spacing w:before="200" w:after="0"/>
        <w:jc w:val="both"/>
        <w:rPr>
          <w:rFonts w:ascii="Arial;sans-serif" w:hAnsi="Arial;sans-serif"/>
          <w:b/>
          <w:i/>
          <w:sz w:val="18"/>
        </w:rPr>
      </w:pPr>
      <w:r>
        <w:rPr>
          <w:rFonts w:ascii="Arial;sans-serif" w:hAnsi="Arial;sans-serif"/>
          <w:b/>
          <w:i/>
          <w:sz w:val="18"/>
        </w:rPr>
        <w:t>The process of opening our new laboratory facilities in Fremont, California has diverted and could continue to divert management’s attention and has disrupted and could continue to disrupt our ongoing business.*</w:t>
      </w:r>
    </w:p>
    <w:p>
      <w:pPr>
        <w:pStyle w:val="TextBody"/>
        <w:bidi w:val="0"/>
        <w:spacing w:before="200" w:after="0"/>
        <w:jc w:val="both"/>
        <w:rPr>
          <w:rFonts w:ascii="Arial;sans-serif" w:hAnsi="Arial;sans-serif"/>
          <w:b w:val="false"/>
          <w:sz w:val="18"/>
        </w:rPr>
      </w:pPr>
      <w:r>
        <w:rPr>
          <w:rFonts w:ascii="Arial;sans-serif" w:hAnsi="Arial;sans-serif"/>
          <w:b w:val="false"/>
          <w:sz w:val="18"/>
        </w:rPr>
        <w:t>We have relocated our corporate headquarters to Fremont, California. We also plan to move our laboratory operations to our Fremont facility in 2023. These efforts have involved, and will continue to involve, significant tenant improvements, construction and regulatory compliance activities to be undertaken. Such efforts have distracted and may continue to distract management from current operations, have disrupted and may continue to disrupt planned research, development or regulatory compliance activities, and have resulted in and may continue to result in greater than expected liabilities and expenses, any of which could result in a material adverse effect on our business prospects, financial condition, or results of operations. For example, delays in the completion of updates to our new corporate headquarters delayed our previously planned move-in date. Additionally, from January 2023 through April 2023, we experienced substantial disruption to our use of the Fremont facility due to a failure of an electrical bus duct serving the facility. We used backup generators to power our laboratories and emergency lights at the facility through February 2023 but were unable to use the office portions of the facility, or use the facility's heating, ventilation and air conditioning system during this time. We were able to restore full power to the facility on a temporary basis during March 2023 and April 2023 using additional generators, and regular electrical service to the facility has since been restored. However, we may experience additional disruptions in the future. We incurred costs in maintaining temporary power to the facility and in attempting to permanently remedy the problem, including obtaining additional backup generators, equipment, and back up batteries, and purchasing fuel for the generators on a daily basis. While the bus duct and related electrical main equipment are the landlord’s responsibility under our lease for the facility, and we expect the landlord to reimburse our costs incurred in connection with remedying the electrical failure, there is no guarantee we will be successful in obtaining such reimbursement within a reasonable timeframe or at all. If we experience additional disruptions to our power supply, it could further delay the completion of our move to the Fremont facility, may result in a loss in productivity, including delays to research and development programs, and could render it difficult or impossible for us to sell or perform certain of our services for some period of time. Additionally, if the backup generators were to fail, it could result in damage to biological samples stored within the Fremont facility, which may include certain customer samples. See “—If our facilities become damaged or inoperable, or we are required to vacate the facilities, our ability to sell and provide our services and pursue our research and development efforts may be jeopardized."</w:t>
      </w:r>
    </w:p>
    <w:p>
      <w:pPr>
        <w:pStyle w:val="TextBody"/>
        <w:bidi w:val="0"/>
        <w:spacing w:before="240" w:after="0"/>
        <w:jc w:val="center"/>
        <w:rPr>
          <w:rFonts w:ascii="Arial;sans-serif" w:hAnsi="Arial;sans-serif"/>
          <w:b w:val="false"/>
          <w:sz w:val="18"/>
        </w:rPr>
      </w:pPr>
      <w:r>
        <w:rPr>
          <w:rFonts w:ascii="Arial;sans-serif" w:hAnsi="Arial;sans-serif"/>
          <w:b w:val="false"/>
          <w:sz w:val="18"/>
        </w:rPr>
        <w:t>39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i/>
          <w:sz w:val="18"/>
        </w:rPr>
      </w:pPr>
      <w:r>
        <w:rPr>
          <w:rFonts w:ascii="Arial;sans-serif" w:hAnsi="Arial;sans-serif"/>
          <w:b/>
          <w:i/>
          <w:sz w:val="18"/>
        </w:rPr>
        <w:t>We may not be able to manage our future growth effectively, which could make it difficult to execute our business strategy.</w:t>
      </w:r>
    </w:p>
    <w:p>
      <w:pPr>
        <w:pStyle w:val="TextBody"/>
        <w:bidi w:val="0"/>
        <w:spacing w:before="200" w:after="0"/>
        <w:jc w:val="both"/>
        <w:rPr>
          <w:rFonts w:ascii="Arial;sans-serif" w:hAnsi="Arial;sans-serif"/>
          <w:b w:val="false"/>
          <w:sz w:val="18"/>
        </w:rPr>
      </w:pPr>
      <w:r>
        <w:rPr>
          <w:rFonts w:ascii="Arial;sans-serif" w:hAnsi="Arial;sans-serif"/>
          <w:b w:val="false"/>
          <w:sz w:val="18"/>
        </w:rPr>
        <w:t>Our expected future growth could create a strain on our organizational, administrative, and operational infrastructure, including facilities (such as our new facility in Fremont, California),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pStyle w:val="TextBody"/>
        <w:bidi w:val="0"/>
        <w:spacing w:before="200" w:after="0"/>
        <w:jc w:val="both"/>
        <w:rPr>
          <w:rFonts w:ascii="Arial;sans-serif" w:hAnsi="Arial;sans-serif"/>
          <w:b/>
          <w:i/>
          <w:sz w:val="18"/>
        </w:rPr>
      </w:pPr>
      <w:r>
        <w:rPr>
          <w:rFonts w:ascii="Arial;sans-serif" w:hAnsi="Arial;sans-serif"/>
          <w:b/>
          <w:i/>
          <w:sz w:val="18"/>
        </w:rPr>
        <w:t>We may acquire businesses or assets, form joint ventures, or make investments in other companies or technologies that could harm our operating results, dilute our stockholders’ ownership, or cause us to incur debt or significant expense.</w:t>
      </w:r>
    </w:p>
    <w:p>
      <w:pPr>
        <w:pStyle w:val="TextBody"/>
        <w:bidi w:val="0"/>
        <w:spacing w:before="200" w:after="0"/>
        <w:jc w:val="both"/>
        <w:rPr>
          <w:rFonts w:ascii="Arial;sans-serif" w:hAnsi="Arial;sans-serif"/>
          <w:b w:val="false"/>
          <w:sz w:val="18"/>
        </w:rPr>
      </w:pPr>
      <w:r>
        <w:rPr>
          <w:rFonts w:ascii="Arial;sans-serif" w:hAnsi="Arial;sans-serif"/>
          <w:b w:val="false"/>
          <w:sz w:val="18"/>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pStyle w:val="TextBody"/>
        <w:bidi w:val="0"/>
        <w:spacing w:before="200" w:after="0"/>
        <w:jc w:val="both"/>
        <w:rPr>
          <w:rFonts w:ascii="Arial;sans-serif" w:hAnsi="Arial;sans-serif"/>
          <w:b w:val="false"/>
          <w:sz w:val="18"/>
        </w:rPr>
      </w:pPr>
      <w:r>
        <w:rPr>
          <w:rFonts w:ascii="Arial;sans-serif" w:hAnsi="Arial;sans-serif"/>
          <w:b w:val="false"/>
          <w:sz w:val="18"/>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pStyle w:val="TextBody"/>
        <w:bidi w:val="0"/>
        <w:spacing w:before="200" w:after="0"/>
        <w:jc w:val="both"/>
        <w:rPr>
          <w:rFonts w:ascii="Arial;sans-serif" w:hAnsi="Arial;sans-serif"/>
          <w:b/>
          <w:i/>
          <w:sz w:val="18"/>
        </w:rPr>
      </w:pPr>
      <w:r>
        <w:rPr>
          <w:rFonts w:ascii="Arial;sans-serif" w:hAnsi="Arial;sans-serif"/>
          <w:b/>
          <w:i/>
          <w:sz w:val="18"/>
        </w:rPr>
        <w:t>Ethical, legal, and social concerns related to the use of genetic information could reduce demand for our tests.</w:t>
      </w:r>
    </w:p>
    <w:p>
      <w:pPr>
        <w:pStyle w:val="TextBody"/>
        <w:bidi w:val="0"/>
        <w:spacing w:before="200" w:after="0"/>
        <w:jc w:val="both"/>
        <w:rPr>
          <w:rFonts w:ascii="Arial;sans-serif" w:hAnsi="Arial;sans-serif"/>
          <w:b w:val="false"/>
          <w:sz w:val="18"/>
        </w:rPr>
      </w:pPr>
      <w:r>
        <w:rPr>
          <w:rFonts w:ascii="Arial;sans-serif" w:hAnsi="Arial;sans-serif"/>
          <w:b w:val="false"/>
          <w:sz w:val="18"/>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pStyle w:val="TextBody"/>
        <w:bidi w:val="0"/>
        <w:spacing w:before="200" w:after="0"/>
        <w:jc w:val="both"/>
        <w:rPr>
          <w:rFonts w:ascii="Arial;sans-serif" w:hAnsi="Arial;sans-serif"/>
          <w:b/>
          <w:i/>
          <w:sz w:val="18"/>
        </w:rPr>
      </w:pPr>
      <w:r>
        <w:rPr>
          <w:rFonts w:ascii="Arial;sans-serif" w:hAnsi="Arial;sans-serif"/>
          <w:b/>
          <w:i/>
          <w:sz w:val="18"/>
        </w:rPr>
        <w:t>Any collaboration arrangements that we have entered into or may enter into in the future may not be successful, which could adversely affect our ability to develop and commercialize our services and products.*</w:t>
      </w:r>
    </w:p>
    <w:p>
      <w:pPr>
        <w:pStyle w:val="TextBody"/>
        <w:bidi w:val="0"/>
        <w:spacing w:before="200" w:after="0"/>
        <w:jc w:val="both"/>
        <w:rPr>
          <w:rFonts w:ascii="Arial;sans-serif" w:hAnsi="Arial;sans-serif"/>
          <w:b w:val="false"/>
          <w:sz w:val="18"/>
        </w:rPr>
      </w:pPr>
      <w:r>
        <w:rPr>
          <w:rFonts w:ascii="Arial;sans-serif" w:hAnsi="Arial;sans-serif"/>
          <w:b w:val="false"/>
          <w:sz w:val="18"/>
        </w:rPr>
        <w:t>Any current or future collaborations, including any strategic alliances or any collaborations to develop companion diagnostic tests, that we have entered (for example, our collaborations with Cancer Research UK, University College London, and the Francis Crick Institute (the TRACERx study); Vall d'Hebron Institute of Oncology ("VHIO"); BC Cancer; Duke University; UCSF; and Criterium and the Academic Breast Cancer Consortium) or may enter into may not be successful. The success of our collaboration arrangements will depend heavily on the efforts and activities of our collaborators. Collaborations are subject to numerous risks, which include that:</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collaborators have significant discretion in determining the efforts and resources that they will apply to collaborations;</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 xml:space="preserve">collaborators may not pursue development and commercialization of our services or products or may elect not to continue or renew development or commercialization programs based on trial or test results, changes in their strategic focus due to </w:t>
      </w:r>
    </w:p>
    <w:p>
      <w:pPr>
        <w:pStyle w:val="TextBody"/>
        <w:bidi w:val="0"/>
        <w:spacing w:before="240" w:after="0"/>
        <w:jc w:val="center"/>
        <w:rPr>
          <w:rFonts w:ascii="Arial;sans-serif" w:hAnsi="Arial;sans-serif"/>
          <w:b w:val="false"/>
          <w:sz w:val="18"/>
        </w:rPr>
      </w:pPr>
      <w:r>
        <w:rPr>
          <w:rFonts w:ascii="Arial;sans-serif" w:hAnsi="Arial;sans-serif"/>
          <w:b w:val="false"/>
          <w:sz w:val="18"/>
        </w:rPr>
        <w:t>40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the acquisition of competitive services or products, availability of funding, or other external factors, such as a business combination that diverts resources or creates competing priorities for our collaborator;</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collaborators could independently develop, or develop with third parties, services or products that compete directly or indirectly with our services or products;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collaborators with marketing, manufacturing, and distribution rights to one or more services or products may not commit sufficient resources to or otherwise not perform satisfactorily in carrying out these activities;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we could grant exclusive rights to our collaborators that would prevent us from collaborating with others;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 large percentage of our revenue may be concentrated with the collaborators if the collaborations are successful and we may experience further losses if they are or later become unsuccessful;</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collaborations may be terminated, and, if terminated, may result in a need for additional capital to pursue further development or commercialization of the applicable current or future services or products;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collaborators may own or co-own intellectual property covering our services or products that results from our collaborating with them, and in such cases, we would not have the exclusive right to develop or commercialize such intellectual property;</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collaborators’ activities or use of our services or deliverables may create additional regulatory obligations and could lead to side effects or adverse events in patients, exposing us to potential liability or regulatory review; and</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collaborators’ sales and marketing activities or other operations may not be in compliance with applicable laws resulting in civil or criminal proceedings.</w:t>
      </w:r>
    </w:p>
    <w:p>
      <w:pPr>
        <w:pStyle w:val="TextBody"/>
        <w:bidi w:val="0"/>
        <w:spacing w:before="200" w:after="0"/>
        <w:jc w:val="both"/>
        <w:rPr>
          <w:rFonts w:ascii="Arial;sans-serif" w:hAnsi="Arial;sans-serif"/>
          <w:b w:val="false"/>
          <w:sz w:val="18"/>
        </w:rPr>
      </w:pPr>
      <w:r>
        <w:rPr>
          <w:rFonts w:ascii="Arial;sans-serif" w:hAnsi="Arial;sans-serif"/>
          <w:b w:val="false"/>
          <w:sz w:val="18"/>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pStyle w:val="TextBody"/>
        <w:bidi w:val="0"/>
        <w:spacing w:before="200" w:after="0"/>
        <w:jc w:val="both"/>
        <w:rPr>
          <w:rFonts w:ascii="Arial;sans-serif" w:hAnsi="Arial;sans-serif"/>
          <w:b/>
          <w:i/>
          <w:sz w:val="18"/>
        </w:rPr>
      </w:pPr>
      <w:r>
        <w:rPr>
          <w:rFonts w:ascii="Arial;sans-serif" w:hAnsi="Arial;sans-serif"/>
          <w:b/>
          <w:i/>
          <w:sz w:val="18"/>
        </w:rPr>
        <w:t>Our operations and employees face risks related to health crises that could adversely affect our operations, our financial condition, and the business or operations of our customers or other third parties with whom we conduct business.</w:t>
      </w:r>
    </w:p>
    <w:p>
      <w:pPr>
        <w:pStyle w:val="TextBody"/>
        <w:bidi w:val="0"/>
        <w:spacing w:before="200" w:after="0"/>
        <w:jc w:val="both"/>
        <w:rPr>
          <w:rFonts w:ascii="Arial;sans-serif" w:hAnsi="Arial;sans-serif"/>
          <w:b w:val="false"/>
          <w:sz w:val="18"/>
        </w:rPr>
      </w:pPr>
      <w:r>
        <w:rPr>
          <w:rFonts w:ascii="Arial;sans-serif" w:hAnsi="Arial;sans-serif"/>
          <w:b w:val="false"/>
          <w:sz w:val="18"/>
        </w:rPr>
        <w:t>Our business could be adversely impacted by the effects of a health crisis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pStyle w:val="TextBody"/>
        <w:bidi w:val="0"/>
        <w:spacing w:before="200" w:after="0"/>
        <w:jc w:val="both"/>
        <w:rPr>
          <w:rFonts w:ascii="Arial;sans-serif" w:hAnsi="Arial;sans-serif"/>
          <w:b w:val="false"/>
          <w:sz w:val="18"/>
        </w:rPr>
      </w:pPr>
      <w:r>
        <w:rPr>
          <w:rFonts w:ascii="Arial;sans-serif" w:hAnsi="Arial;sans-serif"/>
          <w:b w:val="false"/>
          <w:sz w:val="18"/>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COVID-19 or another health epidemic or pandemic or if other supply chain issues arise as a result of such a public health crisis. 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a resurgence of COVID-19 or the emergence of another health epidemic or pandemic.</w:t>
      </w:r>
    </w:p>
    <w:p>
      <w:pPr>
        <w:pStyle w:val="TextBody"/>
        <w:bidi w:val="0"/>
        <w:spacing w:before="200" w:after="0"/>
        <w:jc w:val="both"/>
        <w:rPr>
          <w:rFonts w:ascii="Arial;sans-serif" w:hAnsi="Arial;sans-serif"/>
          <w:b w:val="false"/>
          <w:sz w:val="18"/>
        </w:rPr>
      </w:pPr>
      <w:r>
        <w:rPr>
          <w:rFonts w:ascii="Arial;sans-serif" w:hAnsi="Arial;sans-serif"/>
          <w:b w:val="false"/>
          <w:sz w:val="18"/>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pStyle w:val="TextBody"/>
        <w:bidi w:val="0"/>
        <w:spacing w:before="240" w:after="0"/>
        <w:jc w:val="center"/>
        <w:rPr>
          <w:rFonts w:ascii="Arial;sans-serif" w:hAnsi="Arial;sans-serif"/>
          <w:b w:val="false"/>
          <w:sz w:val="18"/>
        </w:rPr>
      </w:pPr>
      <w:r>
        <w:rPr>
          <w:rFonts w:ascii="Arial;sans-serif" w:hAnsi="Arial;sans-serif"/>
          <w:b w:val="false"/>
          <w:sz w:val="18"/>
        </w:rPr>
        <w:t>41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i/>
          <w:sz w:val="18"/>
        </w:rPr>
      </w:pPr>
      <w:r>
        <w:rPr>
          <w:rFonts w:ascii="Arial;sans-serif" w:hAnsi="Arial;sans-serif"/>
          <w:b/>
          <w:i/>
          <w:sz w:val="18"/>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pStyle w:val="TextBody"/>
        <w:bidi w:val="0"/>
        <w:spacing w:before="200" w:after="0"/>
        <w:jc w:val="both"/>
        <w:rPr>
          <w:rFonts w:ascii="Arial;sans-serif" w:hAnsi="Arial;sans-serif"/>
          <w:b w:val="false"/>
          <w:sz w:val="18"/>
        </w:rPr>
      </w:pPr>
      <w:r>
        <w:rPr>
          <w:rFonts w:ascii="Arial;sans-serif" w:hAnsi="Arial;sans-serif"/>
          <w:b w:val="false"/>
          <w:sz w:val="18"/>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pStyle w:val="TextBody"/>
        <w:bidi w:val="0"/>
        <w:spacing w:before="200" w:after="0"/>
        <w:jc w:val="both"/>
        <w:rPr>
          <w:rFonts w:ascii="Arial;sans-serif" w:hAnsi="Arial;sans-serif"/>
          <w:b/>
          <w:sz w:val="18"/>
        </w:rPr>
      </w:pPr>
      <w:r>
        <w:rPr>
          <w:rFonts w:ascii="Arial;sans-serif" w:hAnsi="Arial;sans-serif"/>
          <w:b/>
          <w:sz w:val="18"/>
        </w:rPr>
        <w:t>Regulatory, Legal and Cybersecurity Risks</w:t>
      </w:r>
    </w:p>
    <w:p>
      <w:pPr>
        <w:pStyle w:val="TextBody"/>
        <w:bidi w:val="0"/>
        <w:spacing w:before="200" w:after="0"/>
        <w:jc w:val="both"/>
        <w:rPr>
          <w:rFonts w:ascii="Arial;sans-serif" w:hAnsi="Arial;sans-serif"/>
          <w:b/>
          <w:i/>
          <w:sz w:val="18"/>
        </w:rPr>
      </w:pPr>
      <w:r>
        <w:rPr>
          <w:rFonts w:ascii="Arial;sans-serif" w:hAnsi="Arial;sans-serif"/>
          <w:b/>
          <w:i/>
          <w:sz w:val="18"/>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pStyle w:val="TextBody"/>
        <w:bidi w:val="0"/>
        <w:spacing w:before="200" w:after="0"/>
        <w:jc w:val="both"/>
        <w:rPr>
          <w:rFonts w:ascii="Arial;sans-serif" w:hAnsi="Arial;sans-serif"/>
          <w:b w:val="false"/>
          <w:sz w:val="18"/>
        </w:rPr>
      </w:pPr>
      <w:r>
        <w:rPr>
          <w:rFonts w:ascii="Arial;sans-serif" w:hAnsi="Arial;sans-serif"/>
          <w:b w:val="false"/>
          <w:sz w:val="18"/>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pStyle w:val="TextBody"/>
        <w:bidi w:val="0"/>
        <w:spacing w:before="200" w:after="0"/>
        <w:jc w:val="both"/>
        <w:rPr>
          <w:rFonts w:ascii="Arial;sans-serif" w:hAnsi="Arial;sans-serif"/>
          <w:b w:val="false"/>
          <w:sz w:val="18"/>
        </w:rPr>
      </w:pPr>
      <w:r>
        <w:rPr>
          <w:rFonts w:ascii="Arial;sans-serif" w:hAnsi="Arial;sans-serif"/>
          <w:b w:val="false"/>
          <w:sz w:val="18"/>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and authorities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voluntarily submit one or more of our tests for premarket notification, review, clearance or approval by the FDA as medical devices. For example, under our collaboration with MapKure, we expect to develop new, advanced biomarkers selected by MapKure for regulatory submission and approval as a companion diagnostic, in which case we would also be subject to potentially burdensome additional regulatory controls and submissions for one or more of our tests.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pStyle w:val="TextBody"/>
        <w:bidi w:val="0"/>
        <w:spacing w:before="240" w:after="0"/>
        <w:jc w:val="center"/>
        <w:rPr>
          <w:rFonts w:ascii="Arial;sans-serif" w:hAnsi="Arial;sans-serif"/>
          <w:b w:val="false"/>
          <w:sz w:val="18"/>
        </w:rPr>
      </w:pPr>
      <w:r>
        <w:rPr>
          <w:rFonts w:ascii="Arial;sans-serif" w:hAnsi="Arial;sans-serif"/>
          <w:b w:val="false"/>
          <w:sz w:val="18"/>
        </w:rPr>
        <w:t>42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pStyle w:val="TextBody"/>
        <w:bidi w:val="0"/>
        <w:spacing w:before="200" w:after="0"/>
        <w:jc w:val="both"/>
        <w:rPr>
          <w:rFonts w:ascii="Arial;sans-serif" w:hAnsi="Arial;sans-serif"/>
          <w:b w:val="false"/>
          <w:sz w:val="18"/>
        </w:rPr>
      </w:pPr>
      <w:r>
        <w:rPr>
          <w:rFonts w:ascii="Arial;sans-serif" w:hAnsi="Arial;sans-serif"/>
          <w:b w:val="false"/>
          <w:sz w:val="18"/>
        </w:rPr>
        <w:t>Legislative proposals addressing oversight of genetic testing and LDTs have been introduced in previous Congresses, and we expect that new legislative proposals will be introduced from time to time in the future. For example, the proposed “Verifying Accurate, Leading-edge IVCT Development” Act (the “VALID Act”) would clarify and enhance FDA’s authority to regulate LDTs, including pre-market review of non-exempted tests. We cannot predict whether the VALID Act will become legislation and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pStyle w:val="TextBody"/>
        <w:bidi w:val="0"/>
        <w:spacing w:before="200" w:after="0"/>
        <w:jc w:val="both"/>
        <w:rPr>
          <w:rFonts w:ascii="Arial;sans-serif" w:hAnsi="Arial;sans-serif"/>
          <w:b w:val="false"/>
          <w:sz w:val="18"/>
        </w:rPr>
      </w:pPr>
      <w:r>
        <w:rPr>
          <w:rFonts w:ascii="Arial;sans-serif" w:hAnsi="Arial;sans-serif"/>
          <w:b w:val="false"/>
          <w:sz w:val="18"/>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pStyle w:val="TextBody"/>
        <w:bidi w:val="0"/>
        <w:spacing w:before="200" w:after="0"/>
        <w:jc w:val="both"/>
        <w:rPr>
          <w:rFonts w:ascii="Arial;sans-serif" w:hAnsi="Arial;sans-serif"/>
          <w:b/>
          <w:i/>
          <w:sz w:val="18"/>
        </w:rPr>
      </w:pPr>
      <w:r>
        <w:rPr>
          <w:rFonts w:ascii="Arial;sans-serif" w:hAnsi="Arial;sans-serif"/>
          <w:b/>
          <w:i/>
          <w:sz w:val="18"/>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pStyle w:val="TextBody"/>
        <w:bidi w:val="0"/>
        <w:spacing w:before="200" w:after="0"/>
        <w:jc w:val="both"/>
        <w:rPr>
          <w:rFonts w:ascii="Arial;sans-serif" w:hAnsi="Arial;sans-serif"/>
          <w:b w:val="false"/>
          <w:sz w:val="18"/>
        </w:rPr>
      </w:pPr>
      <w:r>
        <w:rPr>
          <w:rFonts w:ascii="Arial;sans-serif" w:hAnsi="Arial;sans-serif"/>
          <w:b w:val="false"/>
          <w:sz w:val="18"/>
        </w:rPr>
        <w:t>If the FDA determines that our tests and associated software do not fall within the definition of an LDT, or there are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pStyle w:val="TextBody"/>
        <w:bidi w:val="0"/>
        <w:spacing w:before="200" w:after="0"/>
        <w:jc w:val="both"/>
        <w:rPr>
          <w:rFonts w:ascii="Times New Roman" w:hAnsi="Times New Roman"/>
          <w:sz w:val="20"/>
        </w:rPr>
      </w:pPr>
      <w:r>
        <w:rPr>
          <w:rFonts w:ascii="Arial;sans-serif" w:hAnsi="Arial;sans-serif"/>
          <w:b w:val="false"/>
          <w:sz w:val="18"/>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43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premarket approval. It is possible for a manufacturer to obtain a Class I or Class II designation without an appropriate predicate by submitting a de novo request for reclassification.</w:t>
      </w:r>
    </w:p>
    <w:p>
      <w:pPr>
        <w:pStyle w:val="TextBody"/>
        <w:bidi w:val="0"/>
        <w:spacing w:before="200" w:after="0"/>
        <w:jc w:val="both"/>
        <w:rPr>
          <w:rFonts w:ascii="Arial;sans-serif" w:hAnsi="Arial;sans-serif"/>
          <w:b w:val="false"/>
          <w:sz w:val="18"/>
        </w:rPr>
      </w:pPr>
      <w:r>
        <w:rPr>
          <w:rFonts w:ascii="Arial;sans-serif" w:hAnsi="Arial;sans-serif"/>
          <w:b w:val="false"/>
          <w:sz w:val="18"/>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pStyle w:val="TextBody"/>
        <w:bidi w:val="0"/>
        <w:spacing w:before="200" w:after="0"/>
        <w:jc w:val="both"/>
        <w:rPr>
          <w:rFonts w:ascii="Arial;sans-serif" w:hAnsi="Arial;sans-serif"/>
          <w:b w:val="false"/>
          <w:sz w:val="18"/>
        </w:rPr>
      </w:pPr>
      <w:r>
        <w:rPr>
          <w:rFonts w:ascii="Arial;sans-serif" w:hAnsi="Arial;sans-serif"/>
          <w:b w:val="false"/>
          <w:sz w:val="18"/>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pStyle w:val="TextBody"/>
        <w:bidi w:val="0"/>
        <w:spacing w:before="200" w:after="0"/>
        <w:jc w:val="both"/>
        <w:rPr>
          <w:rFonts w:ascii="Arial;sans-serif" w:hAnsi="Arial;sans-serif"/>
          <w:b w:val="false"/>
          <w:sz w:val="18"/>
        </w:rPr>
      </w:pPr>
      <w:r>
        <w:rPr>
          <w:rFonts w:ascii="Arial;sans-serif" w:hAnsi="Arial;sans-serif"/>
          <w:b w:val="false"/>
          <w:sz w:val="18"/>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pStyle w:val="TextBody"/>
        <w:bidi w:val="0"/>
        <w:spacing w:before="200" w:after="0"/>
        <w:jc w:val="both"/>
        <w:rPr>
          <w:rFonts w:ascii="Arial;sans-serif" w:hAnsi="Arial;sans-serif"/>
          <w:b w:val="false"/>
          <w:sz w:val="18"/>
        </w:rPr>
      </w:pPr>
      <w:r>
        <w:rPr>
          <w:rFonts w:ascii="Arial;sans-serif" w:hAnsi="Arial;sans-serif"/>
          <w:b w:val="false"/>
          <w:sz w:val="18"/>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an EU Member State, or a foreign regulatory authority.</w:t>
      </w:r>
    </w:p>
    <w:p>
      <w:pPr>
        <w:pStyle w:val="TextBody"/>
        <w:bidi w:val="0"/>
        <w:spacing w:before="200" w:after="0"/>
        <w:jc w:val="both"/>
        <w:rPr>
          <w:rFonts w:ascii="Arial;sans-serif" w:hAnsi="Arial;sans-serif"/>
          <w:b w:val="false"/>
          <w:sz w:val="18"/>
        </w:rPr>
      </w:pPr>
      <w:r>
        <w:rPr>
          <w:rFonts w:ascii="Arial;sans-serif" w:hAnsi="Arial;sans-serif"/>
          <w:b w:val="false"/>
          <w:sz w:val="18"/>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pStyle w:val="TextBody"/>
        <w:bidi w:val="0"/>
        <w:spacing w:before="200" w:after="0"/>
        <w:jc w:val="both"/>
        <w:rPr>
          <w:rFonts w:ascii="Arial;sans-serif" w:hAnsi="Arial;sans-serif"/>
          <w:b w:val="false"/>
          <w:sz w:val="18"/>
        </w:rPr>
      </w:pPr>
      <w:r>
        <w:rPr>
          <w:rFonts w:ascii="Arial;sans-serif" w:hAnsi="Arial;sans-serif"/>
          <w:b w:val="false"/>
          <w:sz w:val="18"/>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pStyle w:val="TextBody"/>
        <w:bidi w:val="0"/>
        <w:spacing w:before="240" w:after="0"/>
        <w:jc w:val="center"/>
        <w:rPr>
          <w:rFonts w:ascii="Arial;sans-serif" w:hAnsi="Arial;sans-serif"/>
          <w:b w:val="false"/>
          <w:sz w:val="18"/>
        </w:rPr>
      </w:pPr>
      <w:r>
        <w:rPr>
          <w:rFonts w:ascii="Arial;sans-serif" w:hAnsi="Arial;sans-serif"/>
          <w:b w:val="false"/>
          <w:sz w:val="18"/>
        </w:rPr>
        <w:t>44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restrictions on manufacturing processes;</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restrictions on service or product marketing;</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warning letters;</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withdrawal or recall of services or products from the market;</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refusal to approve pending PMAs, 510(k)s, or supplements to approved PMAs or cleared 510(k)s that we submit;</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fines, restitution, or disgorgement of profits or revenue;</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suspension or withdrawal of regulatory clearances or approvals;</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limitation on, or refusal to permit, import or export of our products;</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product seizures;</w:t>
      </w:r>
    </w:p>
    <w:p>
      <w:pPr>
        <w:pStyle w:val="TextBody"/>
        <w:bidi w:val="0"/>
        <w:spacing w:before="160" w:after="0"/>
        <w:jc w:val="both"/>
        <w:rPr/>
      </w:pPr>
      <w:r>
        <w:rPr/>
        <w:t>•</w:t>
      </w:r>
    </w:p>
    <w:p>
      <w:pPr>
        <w:pStyle w:val="TextBody"/>
        <w:bidi w:val="0"/>
        <w:spacing w:before="160" w:after="0"/>
        <w:jc w:val="both"/>
        <w:rPr>
          <w:rFonts w:ascii="Arial;sans-serif" w:hAnsi="Arial;sans-serif"/>
          <w:b w:val="false"/>
          <w:sz w:val="18"/>
        </w:rPr>
      </w:pPr>
      <w:r>
        <w:rPr>
          <w:rFonts w:ascii="Arial;sans-serif" w:hAnsi="Arial;sans-serif"/>
          <w:b w:val="false"/>
          <w:sz w:val="18"/>
        </w:rPr>
        <w:t>injunctions; or</w:t>
      </w:r>
    </w:p>
    <w:p>
      <w:pPr>
        <w:pStyle w:val="TextBody"/>
        <w:bidi w:val="0"/>
        <w:spacing w:before="160" w:after="0"/>
        <w:jc w:val="both"/>
        <w:rPr/>
      </w:pPr>
      <w:r>
        <w:rPr/>
        <w:t>•</w:t>
      </w:r>
    </w:p>
    <w:p>
      <w:pPr>
        <w:pStyle w:val="TextBody"/>
        <w:bidi w:val="0"/>
        <w:spacing w:before="160" w:after="283"/>
        <w:jc w:val="both"/>
        <w:rPr>
          <w:rFonts w:ascii="Arial;sans-serif" w:hAnsi="Arial;sans-serif"/>
          <w:b w:val="false"/>
          <w:sz w:val="18"/>
        </w:rPr>
      </w:pPr>
      <w:r>
        <w:rPr>
          <w:rFonts w:ascii="Arial;sans-serif" w:hAnsi="Arial;sans-serif"/>
          <w:b w:val="false"/>
          <w:sz w:val="18"/>
        </w:rPr>
        <w:t>imposition of civil or criminal penalties.</w:t>
      </w:r>
    </w:p>
    <w:p>
      <w:pPr>
        <w:pStyle w:val="TextBody"/>
        <w:bidi w:val="0"/>
        <w:spacing w:before="200" w:after="0"/>
        <w:jc w:val="both"/>
        <w:rPr>
          <w:rFonts w:ascii="Arial;sans-serif" w:hAnsi="Arial;sans-serif"/>
          <w:b w:val="false"/>
          <w:sz w:val="18"/>
        </w:rPr>
      </w:pPr>
      <w:r>
        <w:rPr>
          <w:rFonts w:ascii="Arial;sans-serif" w:hAnsi="Arial;sans-serif"/>
          <w:b w:val="false"/>
          <w:sz w:val="18"/>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pStyle w:val="TextBody"/>
        <w:bidi w:val="0"/>
        <w:spacing w:before="200" w:after="0"/>
        <w:jc w:val="both"/>
        <w:rPr>
          <w:rFonts w:ascii="Arial;sans-serif" w:hAnsi="Arial;sans-serif"/>
          <w:b/>
          <w:i/>
          <w:sz w:val="18"/>
        </w:rPr>
      </w:pPr>
      <w:r>
        <w:rPr>
          <w:rFonts w:ascii="Arial;sans-serif" w:hAnsi="Arial;sans-serif"/>
          <w:b/>
          <w:i/>
          <w:sz w:val="18"/>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pStyle w:val="TextBody"/>
        <w:bidi w:val="0"/>
        <w:spacing w:before="200" w:after="0"/>
        <w:jc w:val="both"/>
        <w:rPr>
          <w:rFonts w:ascii="Arial;sans-serif" w:hAnsi="Arial;sans-serif"/>
          <w:b w:val="false"/>
          <w:sz w:val="18"/>
        </w:rPr>
      </w:pPr>
      <w:r>
        <w:rPr>
          <w:rFonts w:ascii="Arial;sans-serif" w:hAnsi="Arial;sans-serif"/>
          <w:b w:val="false"/>
          <w:sz w:val="18"/>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laboratories in Fremont and Menlo Park, California. To renew this certificate, we are subject to survey and inspection every two years. Because we are a CAP-accredited laboratory, the CMS does not perform this survey and inspection and relies on our CAP survey and inspection. We also may be subject to additional unannounced inspections.</w:t>
      </w:r>
    </w:p>
    <w:p>
      <w:pPr>
        <w:pStyle w:val="TextBody"/>
        <w:bidi w:val="0"/>
        <w:spacing w:before="240" w:after="0"/>
        <w:jc w:val="center"/>
        <w:rPr>
          <w:rFonts w:ascii="Arial;sans-serif" w:hAnsi="Arial;sans-serif"/>
          <w:b w:val="false"/>
          <w:sz w:val="18"/>
        </w:rPr>
      </w:pPr>
      <w:r>
        <w:rPr>
          <w:rFonts w:ascii="Arial;sans-serif" w:hAnsi="Arial;sans-serif"/>
          <w:b w:val="false"/>
          <w:sz w:val="18"/>
        </w:rPr>
        <w:t>45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pStyle w:val="TextBody"/>
        <w:bidi w:val="0"/>
        <w:spacing w:before="200" w:after="0"/>
        <w:jc w:val="both"/>
        <w:rPr>
          <w:rFonts w:ascii="Arial;sans-serif" w:hAnsi="Arial;sans-serif"/>
          <w:b w:val="false"/>
          <w:sz w:val="18"/>
        </w:rPr>
      </w:pPr>
      <w:r>
        <w:rPr>
          <w:rFonts w:ascii="Arial;sans-serif" w:hAnsi="Arial;sans-serif"/>
          <w:b w:val="false"/>
          <w:sz w:val="18"/>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bidi w:val="0"/>
        <w:spacing w:before="200" w:after="0"/>
        <w:jc w:val="both"/>
        <w:rPr>
          <w:rFonts w:ascii="Arial;sans-serif" w:hAnsi="Arial;sans-serif"/>
          <w:b w:val="false"/>
          <w:sz w:val="18"/>
        </w:rPr>
      </w:pPr>
      <w:r>
        <w:rPr>
          <w:rFonts w:ascii="Arial;sans-serif" w:hAnsi="Arial;sans-serif"/>
          <w:b w:val="false"/>
          <w:sz w:val="18"/>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pStyle w:val="TextBody"/>
        <w:bidi w:val="0"/>
        <w:spacing w:before="200" w:after="0"/>
        <w:jc w:val="both"/>
        <w:rPr>
          <w:rFonts w:ascii="Arial;sans-serif" w:hAnsi="Arial;sans-serif"/>
          <w:b w:val="false"/>
          <w:sz w:val="18"/>
        </w:rPr>
      </w:pPr>
      <w:r>
        <w:rPr>
          <w:rFonts w:ascii="Arial;sans-serif" w:hAnsi="Arial;sans-serif"/>
          <w:b w:val="false"/>
          <w:sz w:val="18"/>
        </w:rPr>
        <w:t>Although we market our tests as LDTs that are currently subject to the FDA’s exercise of enforcement discretion, if we fail to operate within the conditions of that exercise of enforcement discretion, if any of our services or products otherwise fail to comply with FDA regulatory requirements as enforced, or if we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pStyle w:val="TextBody"/>
        <w:bidi w:val="0"/>
        <w:spacing w:before="200" w:after="0"/>
        <w:jc w:val="both"/>
        <w:rPr>
          <w:rFonts w:ascii="Arial;sans-serif" w:hAnsi="Arial;sans-serif"/>
          <w:b/>
          <w:i/>
          <w:sz w:val="18"/>
        </w:rPr>
      </w:pPr>
      <w:r>
        <w:rPr>
          <w:rFonts w:ascii="Arial;sans-serif" w:hAnsi="Arial;sans-serif"/>
          <w:b/>
          <w:i/>
          <w:sz w:val="18"/>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00" w:after="0"/>
        <w:jc w:val="both"/>
        <w:rPr>
          <w:rFonts w:ascii="Arial;sans-serif" w:hAnsi="Arial;sans-serif"/>
          <w:b w:val="false"/>
          <w:sz w:val="18"/>
        </w:rPr>
      </w:pPr>
      <w:r>
        <w:rPr>
          <w:rFonts w:ascii="Arial;sans-serif" w:hAnsi="Arial;sans-serif"/>
          <w:b w:val="false"/>
          <w:sz w:val="18"/>
        </w:rPr>
        <w:t>In the ordinary course of our business, we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pStyle w:val="TextBody"/>
        <w:bidi w:val="0"/>
        <w:spacing w:before="200" w:after="0"/>
        <w:jc w:val="both"/>
        <w:rPr>
          <w:rFonts w:ascii="Times New Roman" w:hAnsi="Times New Roman"/>
          <w:sz w:val="20"/>
        </w:rPr>
      </w:pPr>
      <w:r>
        <w:rPr>
          <w:rFonts w:ascii="Arial;sans-serif" w:hAnsi="Arial;sans-serif"/>
          <w:b w:val="false"/>
          <w:sz w:val="18"/>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in Ukraine, we and the third parties</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46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upon which we rely may be vulnerable to a heightened risk of these attacks, including retaliatory cyberattacks, that could materially disrupt our systems and operations, supply chain, and ability to produce, sell, and distribute our platform, products, and services.</w:t>
      </w:r>
    </w:p>
    <w:p>
      <w:pPr>
        <w:pStyle w:val="TextBody"/>
        <w:bidi w:val="0"/>
        <w:spacing w:before="200" w:after="0"/>
        <w:jc w:val="both"/>
        <w:rPr>
          <w:rFonts w:ascii="Arial;sans-serif" w:hAnsi="Arial;sans-serif"/>
          <w:b w:val="false"/>
          <w:sz w:val="18"/>
        </w:rPr>
      </w:pPr>
      <w:r>
        <w:rPr>
          <w:rFonts w:ascii="Arial;sans-serif" w:hAnsi="Arial;sans-serif"/>
          <w:b w:val="false"/>
          <w:sz w:val="18"/>
        </w:rPr>
        <w:t>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natural disasters, terrorism, and other similar threats. In particular, severe 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Most of our employees are working remotely at least part of the time and such 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00" w:after="0"/>
        <w:jc w:val="both"/>
        <w:rPr>
          <w:rFonts w:ascii="Times New Roman" w:hAnsi="Times New Roman"/>
          <w:sz w:val="20"/>
        </w:rPr>
      </w:pPr>
      <w:r>
        <w:rPr>
          <w:rFonts w:ascii="Arial;sans-serif" w:hAnsi="Arial;sans-serif"/>
          <w:b w:val="false"/>
          <w:sz w:val="18"/>
        </w:rPr>
        <w:t>We rely on third-party service providers and technologies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any of our third-party service providers experience a security incident or other interruption, we could experience adverse consequences. While we may be entitled to damages if any of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r>
        <w:rPr>
          <w:rFonts w:ascii="Times New Roman" w:hAnsi="Times New Roman"/>
          <w:sz w:val="20"/>
        </w:rPr>
        <w:t xml:space="preserve"> </w:t>
      </w:r>
    </w:p>
    <w:p>
      <w:pPr>
        <w:pStyle w:val="TextBody"/>
        <w:bidi w:val="0"/>
        <w:spacing w:before="200" w:after="0"/>
        <w:jc w:val="both"/>
        <w:rPr>
          <w:rFonts w:ascii="Arial;sans-serif" w:hAnsi="Arial;sans-serif"/>
          <w:b w:val="false"/>
          <w:sz w:val="18"/>
        </w:rPr>
      </w:pPr>
      <w:r>
        <w:rPr>
          <w:rFonts w:ascii="Arial;sans-serif" w:hAnsi="Arial;sans-serif"/>
          <w:b w:val="false"/>
          <w:sz w:val="18"/>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certain new information technology, and our results of operations in the first and second quarters of 2018 were adversely affected as a result.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products, and services.</w:t>
      </w:r>
    </w:p>
    <w:p>
      <w:pPr>
        <w:pStyle w:val="TextBody"/>
        <w:bidi w:val="0"/>
        <w:spacing w:before="200" w:after="0"/>
        <w:jc w:val="both"/>
        <w:rPr>
          <w:rFonts w:ascii="Arial;sans-serif" w:hAnsi="Arial;sans-serif"/>
          <w:b w:val="false"/>
          <w:sz w:val="18"/>
        </w:rPr>
      </w:pPr>
      <w:r>
        <w:rPr>
          <w:rFonts w:ascii="Arial;sans-serif" w:hAnsi="Arial;sans-serif"/>
          <w:b w:val="false"/>
          <w:sz w:val="18"/>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pStyle w:val="TextBody"/>
        <w:bidi w:val="0"/>
        <w:spacing w:before="200" w:after="0"/>
        <w:jc w:val="both"/>
        <w:rPr>
          <w:rFonts w:ascii="Arial;sans-serif" w:hAnsi="Arial;sans-serif"/>
          <w:b w:val="false"/>
          <w:sz w:val="18"/>
        </w:rPr>
      </w:pPr>
      <w:r>
        <w:rPr>
          <w:rFonts w:ascii="Arial;sans-serif" w:hAnsi="Arial;sans-serif"/>
          <w:b w:val="false"/>
          <w:sz w:val="18"/>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if the information technology systems of the third parties upon which we rely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00" w:after="0"/>
        <w:jc w:val="both"/>
        <w:rPr>
          <w:rFonts w:ascii="Times New Roman" w:hAnsi="Times New Roman"/>
          <w:sz w:val="20"/>
        </w:rPr>
      </w:pPr>
      <w:r>
        <w:rPr>
          <w:rFonts w:ascii="Arial;sans-serif" w:hAnsi="Arial;sans-serif"/>
          <w:b w:val="false"/>
          <w:sz w:val="18"/>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47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pStyle w:val="TextBody"/>
        <w:bidi w:val="0"/>
        <w:spacing w:before="200" w:after="0"/>
        <w:jc w:val="both"/>
        <w:rPr>
          <w:rFonts w:ascii="Arial;sans-serif" w:hAnsi="Arial;sans-serif"/>
          <w:b w:val="false"/>
          <w:sz w:val="18"/>
        </w:rPr>
      </w:pPr>
      <w:r>
        <w:rPr>
          <w:rFonts w:ascii="Arial;sans-serif" w:hAnsi="Arial;sans-serif"/>
          <w:b w:val="false"/>
          <w:sz w:val="18"/>
        </w:rPr>
        <w:t>Applicable data privacy and security obligations, including applicable federal and/or state breach notification laws and foreign equivalents, may require us to notify relevant stakeholders and other individuals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platform, products, and services, deter new customers from using our platform, products, and services, and negatively impact our ability to grow and operate our business.</w:t>
      </w:r>
    </w:p>
    <w:p>
      <w:pPr>
        <w:pStyle w:val="TextBody"/>
        <w:bidi w:val="0"/>
        <w:spacing w:before="200" w:after="0"/>
        <w:jc w:val="both"/>
        <w:rPr>
          <w:rFonts w:ascii="Arial;sans-serif" w:hAnsi="Arial;sans-serif"/>
          <w:b w:val="false"/>
          <w:sz w:val="18"/>
        </w:rPr>
      </w:pPr>
      <w:r>
        <w:rPr>
          <w:rFonts w:ascii="Arial;sans-serif" w:hAnsi="Arial;sans-serif"/>
          <w:b w:val="false"/>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artificial intelligence (“AI”) technologies.</w:t>
      </w:r>
    </w:p>
    <w:p>
      <w:pPr>
        <w:pStyle w:val="TextBody"/>
        <w:bidi w:val="0"/>
        <w:spacing w:before="200" w:after="0"/>
        <w:jc w:val="both"/>
        <w:rPr>
          <w:rFonts w:ascii="Arial;sans-serif" w:hAnsi="Arial;sans-serif"/>
          <w:b/>
          <w:i/>
          <w:sz w:val="18"/>
        </w:rPr>
      </w:pPr>
      <w:r>
        <w:rPr>
          <w:rFonts w:ascii="Arial;sans-serif" w:hAnsi="Arial;sans-serif"/>
          <w:b/>
          <w:i/>
          <w:sz w:val="18"/>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200" w:after="0"/>
        <w:jc w:val="both"/>
        <w:rPr>
          <w:rFonts w:ascii="Arial;sans-serif" w:hAnsi="Arial;sans-serif"/>
          <w:b w:val="false"/>
          <w:sz w:val="18"/>
        </w:rPr>
      </w:pPr>
      <w:r>
        <w:rPr>
          <w:rFonts w:ascii="Arial;sans-serif" w:hAnsi="Arial;sans-serif"/>
          <w:b w:val="false"/>
          <w:sz w:val="18"/>
        </w:rPr>
        <w:t>In the ordinary course of business, we process sensitive information, including data we collect from our customers about trial participants in connection with clinical trials.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200" w:after="0"/>
        <w:jc w:val="both"/>
        <w:rPr>
          <w:rFonts w:ascii="Arial;sans-serif" w:hAnsi="Arial;sans-serif"/>
          <w:b w:val="false"/>
          <w:sz w:val="18"/>
        </w:rPr>
      </w:pPr>
      <w:r>
        <w:rPr>
          <w:rFonts w:ascii="Arial;sans-serif" w:hAnsi="Arial;sans-serif"/>
          <w:b w:val="false"/>
          <w:sz w:val="18"/>
        </w:rPr>
        <w:t>In the United States, federal, state, and local governments have enacted numerous data privacy, and security laws, including data breach notification laws, personal information privacy laws, and consumer protection laws. For example, HIPAA, as amended by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administrative fines of up to $7,500 per violation and allows private litigants affected by certain data breaches to recover significant statutory damages. Although the CCPA exempts some data processed in the context of clinical trials, the CCPA may increase our compliance costs and potential liability with respect to other personal information we maintain about California residents. In addition, the California Privacy Rights Act of 2020 expands the CCPA’s requirements, including by adding a new right for individuals to correct their personal information and establishing a new regulatory agency to implement and enforce the law. Other states, such as Virginia, Colorado, Connecticut and Utah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pStyle w:val="TextBody"/>
        <w:bidi w:val="0"/>
        <w:spacing w:before="200" w:after="0"/>
        <w:jc w:val="both"/>
        <w:rPr>
          <w:rFonts w:ascii="Times New Roman" w:hAnsi="Times New Roman"/>
          <w:sz w:val="20"/>
        </w:rPr>
      </w:pPr>
      <w:r>
        <w:rPr>
          <w:rFonts w:ascii="Arial;sans-serif" w:hAnsi="Arial;sans-serif"/>
          <w:b w:val="false"/>
          <w:sz w:val="18"/>
        </w:rPr>
        <w:t>Outside the U.S., an increasing number of laws, regulations, and industry standards may govern data privacy and security. For example, the General Data Protection Regulation 2016/679 (“EU GDPR”), the United Kingdom’s GDPR (“UK GDPR”), Brazil’s General Data Protection Law (Lei Geral de Proteção de Dados Pessoais) (Law No. 13,709/2018), and China’s Personal Information Protection</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48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Law (“PIPL”)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applies to our operations. We also receive personal information from customers in Asia and may be subject to new and emerging data privacy and security regimes in Asia, including Japan’s Act on the Protection of Personal Information.</w:t>
      </w:r>
    </w:p>
    <w:p>
      <w:pPr>
        <w:pStyle w:val="TextBody"/>
        <w:bidi w:val="0"/>
        <w:spacing w:before="200" w:after="0"/>
        <w:jc w:val="both"/>
        <w:rPr>
          <w:rFonts w:ascii="Arial;sans-serif" w:hAnsi="Arial;sans-serif"/>
          <w:b w:val="false"/>
          <w:sz w:val="18"/>
        </w:rPr>
      </w:pPr>
      <w:r>
        <w:rPr>
          <w:rFonts w:ascii="Arial;sans-serif" w:hAnsi="Arial;sans-serif"/>
          <w:b w:val="false"/>
          <w:sz w:val="18"/>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 and UK’s standard contractual clauses and the EU-U.S. Data Privacy Framework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pStyle w:val="TextBody"/>
        <w:bidi w:val="0"/>
        <w:spacing w:before="200" w:after="0"/>
        <w:jc w:val="both"/>
        <w:rPr>
          <w:rFonts w:ascii="Arial;sans-serif" w:hAnsi="Arial;sans-serif"/>
          <w:b w:val="false"/>
          <w:sz w:val="18"/>
        </w:rPr>
      </w:pPr>
      <w:r>
        <w:rPr>
          <w:rFonts w:ascii="Arial;sans-serif" w:hAnsi="Arial;sans-serif"/>
          <w:b w:val="false"/>
          <w:sz w:val="18"/>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00" w:after="0"/>
        <w:jc w:val="both"/>
        <w:rPr>
          <w:rFonts w:ascii="Arial;sans-serif" w:hAnsi="Arial;sans-serif"/>
          <w:b w:val="false"/>
          <w:sz w:val="18"/>
        </w:rPr>
      </w:pPr>
      <w:r>
        <w:rPr>
          <w:rFonts w:ascii="Arial;sans-serif" w:hAnsi="Arial;sans-serif"/>
          <w:b w:val="false"/>
          <w:sz w:val="18"/>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before="200" w:after="0"/>
        <w:jc w:val="both"/>
        <w:rPr>
          <w:rFonts w:ascii="Times New Roman" w:hAnsi="Times New Roman"/>
          <w:sz w:val="20"/>
        </w:rPr>
      </w:pPr>
      <w:r>
        <w:rPr>
          <w:rFonts w:ascii="Arial;sans-serif" w:hAnsi="Arial;sans-serif"/>
          <w:b w:val="false"/>
          <w:sz w:val="18"/>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49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If we fail, or are perceived to have failed, to address or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pStyle w:val="TextBody"/>
        <w:bidi w:val="0"/>
        <w:spacing w:before="200" w:after="0"/>
        <w:jc w:val="both"/>
        <w:rPr>
          <w:rFonts w:ascii="Times New Roman" w:hAnsi="Times New Roman"/>
          <w:sz w:val="20"/>
        </w:rPr>
      </w:pPr>
      <w:r>
        <w:rPr>
          <w:rFonts w:ascii="Arial;sans-serif" w:hAnsi="Arial;sans-serif"/>
          <w:b w:val="false"/>
          <w:sz w:val="18"/>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platform, products, and services; expenditure of time and resources to defend any claim or inquiry; adverse publicity; or substantial changes to our business model or operations.</w:t>
      </w:r>
      <w:r>
        <w:rPr>
          <w:rFonts w:ascii="Times New Roman" w:hAnsi="Times New Roman"/>
          <w:sz w:val="20"/>
        </w:rPr>
        <w:t xml:space="preserve"> </w:t>
      </w:r>
    </w:p>
    <w:p>
      <w:pPr>
        <w:pStyle w:val="TextBody"/>
        <w:bidi w:val="0"/>
        <w:spacing w:before="200" w:after="0"/>
        <w:jc w:val="both"/>
        <w:rPr>
          <w:rFonts w:ascii="Arial;sans-serif" w:hAnsi="Arial;sans-serif"/>
          <w:b/>
          <w:i/>
          <w:sz w:val="18"/>
        </w:rPr>
      </w:pPr>
      <w:r>
        <w:rPr>
          <w:rFonts w:ascii="Arial;sans-serif" w:hAnsi="Arial;sans-serif"/>
          <w:b/>
          <w:i/>
          <w:sz w:val="18"/>
        </w:rPr>
        <w:t>Our employees may engage in misconduct or other improper activities, including noncompliance with regulatory standards and requirements, which could cause significant liability for us and harm our reputation.</w:t>
      </w:r>
    </w:p>
    <w:p>
      <w:pPr>
        <w:pStyle w:val="TextBody"/>
        <w:bidi w:val="0"/>
        <w:spacing w:before="200" w:after="0"/>
        <w:jc w:val="both"/>
        <w:rPr>
          <w:rFonts w:ascii="Arial;sans-serif" w:hAnsi="Arial;sans-serif"/>
          <w:b w:val="false"/>
          <w:sz w:val="18"/>
        </w:rPr>
      </w:pPr>
      <w:r>
        <w:rPr>
          <w:rFonts w:ascii="Arial;sans-serif" w:hAnsi="Arial;sans-serif"/>
          <w:b w:val="false"/>
          <w:sz w:val="18"/>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pStyle w:val="TextBody"/>
        <w:bidi w:val="0"/>
        <w:spacing w:before="200" w:after="0"/>
        <w:jc w:val="both"/>
        <w:rPr>
          <w:rFonts w:ascii="Arial;sans-serif" w:hAnsi="Arial;sans-serif"/>
          <w:b w:val="false"/>
          <w:sz w:val="18"/>
        </w:rPr>
      </w:pPr>
      <w:r>
        <w:rPr>
          <w:rFonts w:ascii="Arial;sans-serif" w:hAnsi="Arial;sans-serif"/>
          <w:b w:val="false"/>
          <w:sz w:val="18"/>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200" w:after="0"/>
        <w:jc w:val="both"/>
        <w:rPr>
          <w:rFonts w:ascii="Arial;sans-serif" w:hAnsi="Arial;sans-serif"/>
          <w:b/>
          <w:i/>
          <w:sz w:val="18"/>
        </w:rPr>
      </w:pPr>
      <w:r>
        <w:rPr>
          <w:rFonts w:ascii="Arial;sans-serif" w:hAnsi="Arial;sans-serif"/>
          <w:b/>
          <w:i/>
          <w:sz w:val="18"/>
        </w:rPr>
        <w:t>Complying with numerous statutes and regulations pertaining to our business is an expensive and time-consuming process, and any failure to comply could result in substantial penalties.*</w:t>
      </w:r>
    </w:p>
    <w:p>
      <w:pPr>
        <w:pStyle w:val="TextBody"/>
        <w:bidi w:val="0"/>
        <w:spacing w:before="200" w:after="0"/>
        <w:jc w:val="both"/>
        <w:rPr>
          <w:rFonts w:ascii="Arial;sans-serif" w:hAnsi="Arial;sans-serif"/>
          <w:b w:val="false"/>
          <w:sz w:val="18"/>
        </w:rPr>
      </w:pPr>
      <w:r>
        <w:rPr>
          <w:rFonts w:ascii="Arial;sans-serif" w:hAnsi="Arial;sans-serif"/>
          <w:b w:val="false"/>
          <w:sz w:val="18"/>
        </w:rPr>
        <w:t>Our operations are or may be subject to other extensive federal, state, local, and foreign laws and regulations, all of which are subject to change. These laws and regulations currently include, among others: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pStyle w:val="TextBody"/>
        <w:bidi w:val="0"/>
        <w:spacing w:before="240" w:after="0"/>
        <w:jc w:val="center"/>
        <w:rPr>
          <w:rFonts w:ascii="Arial;sans-serif" w:hAnsi="Arial;sans-serif"/>
          <w:b w:val="false"/>
          <w:sz w:val="18"/>
        </w:rPr>
      </w:pPr>
      <w:r>
        <w:rPr>
          <w:rFonts w:ascii="Arial;sans-serif" w:hAnsi="Arial;sans-serif"/>
          <w:b w:val="false"/>
          <w:sz w:val="18"/>
        </w:rPr>
        <w:t>50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 xml:space="preserve">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 </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the Centers for Medicare &amp; Medicaid Services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 xml:space="preserve">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w:t>
      </w:r>
    </w:p>
    <w:p>
      <w:pPr>
        <w:pStyle w:val="TextBody"/>
        <w:bidi w:val="0"/>
        <w:spacing w:before="240" w:after="0"/>
        <w:jc w:val="center"/>
        <w:rPr>
          <w:rFonts w:ascii="Arial;sans-serif" w:hAnsi="Arial;sans-serif"/>
          <w:b w:val="false"/>
          <w:sz w:val="18"/>
        </w:rPr>
      </w:pPr>
      <w:r>
        <w:rPr>
          <w:rFonts w:ascii="Arial;sans-serif" w:hAnsi="Arial;sans-serif"/>
          <w:b w:val="false"/>
          <w:sz w:val="18"/>
        </w:rPr>
        <w:t>51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payer”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the prohibition on reassignment of Medicare claims, which, subject to certain exceptions, precludes the reassignment of Medicare claims to any other party;</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similar foreign laws and regulations that apply to us in the countries in which we operate or may operate in the future.</w:t>
      </w:r>
    </w:p>
    <w:p>
      <w:pPr>
        <w:pStyle w:val="TextBody"/>
        <w:bidi w:val="0"/>
        <w:spacing w:before="200" w:after="0"/>
        <w:jc w:val="both"/>
        <w:rPr>
          <w:rFonts w:ascii="Arial;sans-serif" w:hAnsi="Arial;sans-serif"/>
          <w:b w:val="false"/>
          <w:sz w:val="18"/>
        </w:rPr>
      </w:pPr>
      <w:r>
        <w:rPr>
          <w:rFonts w:ascii="Arial;sans-serif" w:hAnsi="Arial;sans-serif"/>
          <w:b w:val="false"/>
          <w:sz w:val="18"/>
        </w:rPr>
        <w:t>As a clinical laboratory, our business practices may face additional scrutiny from government regulatory agencies and authorities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pStyle w:val="TextBody"/>
        <w:bidi w:val="0"/>
        <w:spacing w:before="200" w:after="0"/>
        <w:jc w:val="both"/>
        <w:rPr>
          <w:rFonts w:ascii="Arial;sans-serif" w:hAnsi="Arial;sans-serif"/>
          <w:b w:val="false"/>
          <w:sz w:val="18"/>
        </w:rPr>
      </w:pPr>
      <w:r>
        <w:rPr>
          <w:rFonts w:ascii="Arial;sans-serif" w:hAnsi="Arial;sans-serif"/>
          <w:b w:val="false"/>
          <w:sz w:val="18"/>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pStyle w:val="TextBody"/>
        <w:bidi w:val="0"/>
        <w:spacing w:before="200" w:after="0"/>
        <w:jc w:val="both"/>
        <w:rPr>
          <w:rFonts w:ascii="Arial;sans-serif" w:hAnsi="Arial;sans-serif"/>
          <w:b/>
          <w:i/>
          <w:sz w:val="18"/>
        </w:rPr>
      </w:pPr>
      <w:r>
        <w:rPr>
          <w:rFonts w:ascii="Arial;sans-serif" w:hAnsi="Arial;sans-serif"/>
          <w:b/>
          <w:i/>
          <w:sz w:val="18"/>
        </w:rPr>
        <w:t>We could be adversely affected by violations of the FCPA and other worldwide anti-bribery laws.</w:t>
      </w:r>
    </w:p>
    <w:p>
      <w:pPr>
        <w:pStyle w:val="TextBody"/>
        <w:bidi w:val="0"/>
        <w:spacing w:before="200" w:after="0"/>
        <w:jc w:val="both"/>
        <w:rPr>
          <w:rFonts w:ascii="Arial;sans-serif" w:hAnsi="Arial;sans-serif"/>
          <w:b w:val="false"/>
          <w:sz w:val="18"/>
        </w:rPr>
      </w:pPr>
      <w:r>
        <w:rPr>
          <w:rFonts w:ascii="Arial;sans-serif" w:hAnsi="Arial;sans-serif"/>
          <w:b w:val="false"/>
          <w:sz w:val="18"/>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pStyle w:val="TextBody"/>
        <w:bidi w:val="0"/>
        <w:spacing w:before="200" w:after="0"/>
        <w:jc w:val="both"/>
        <w:rPr>
          <w:rFonts w:ascii="Arial;sans-serif" w:hAnsi="Arial;sans-serif"/>
          <w:b/>
          <w:i/>
          <w:sz w:val="18"/>
        </w:rPr>
      </w:pPr>
      <w:r>
        <w:rPr>
          <w:rFonts w:ascii="Arial;sans-serif" w:hAnsi="Arial;sans-serif"/>
          <w:b/>
          <w:i/>
          <w:sz w:val="18"/>
        </w:rPr>
        <w:t>Changes in health care policy could increase our costs, decrease our revenue, and impact sales of and reimbursement for our tests.*</w:t>
      </w:r>
    </w:p>
    <w:p>
      <w:pPr>
        <w:pStyle w:val="TextBody"/>
        <w:bidi w:val="0"/>
        <w:spacing w:before="200" w:after="0"/>
        <w:jc w:val="both"/>
        <w:rPr>
          <w:rFonts w:ascii="Times New Roman" w:hAnsi="Times New Roman"/>
          <w:sz w:val="20"/>
        </w:rPr>
      </w:pPr>
      <w:r>
        <w:rPr>
          <w:rFonts w:ascii="Arial;sans-serif" w:hAnsi="Arial;sans-serif"/>
          <w:b w:val="false"/>
          <w:sz w:val="18"/>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52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health care programs, reimbursement changes, and fraud and abuse, which will impact existing state and federal health care programs and will result in the development of new programs.</w:t>
      </w:r>
    </w:p>
    <w:p>
      <w:pPr>
        <w:pStyle w:val="TextBody"/>
        <w:bidi w:val="0"/>
        <w:spacing w:before="200" w:after="0"/>
        <w:jc w:val="both"/>
        <w:rPr>
          <w:rFonts w:ascii="Arial;sans-serif" w:hAnsi="Arial;sans-serif"/>
          <w:b w:val="false"/>
          <w:sz w:val="18"/>
        </w:rPr>
      </w:pPr>
      <w:r>
        <w:rPr>
          <w:rFonts w:ascii="Arial;sans-serif" w:hAnsi="Arial;sans-serif"/>
          <w:b w:val="false"/>
          <w:sz w:val="18"/>
        </w:rPr>
        <w:t>Among other things, the ACA:</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 xml:space="preserve">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established a new Patient-Centered Outcomes Research Institute to oversee and identify priorities in comparative clinical efficacy research in an effort to coordinate and develop such research; and</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established a Center for Medicare and Medicaid Innovation at CMS to test innovative payment and service delivery models to lower Medicare and Medicaid spending.</w:t>
      </w:r>
    </w:p>
    <w:p>
      <w:pPr>
        <w:pStyle w:val="TextBody"/>
        <w:bidi w:val="0"/>
        <w:spacing w:before="200" w:after="0"/>
        <w:jc w:val="both"/>
        <w:rPr>
          <w:rFonts w:ascii="Arial;sans-serif" w:hAnsi="Arial;sans-serif"/>
          <w:b w:val="false"/>
          <w:sz w:val="18"/>
        </w:rPr>
      </w:pPr>
      <w:r>
        <w:rPr>
          <w:rFonts w:ascii="Arial;sans-serif" w:hAnsi="Arial;sans-serif"/>
          <w:b w:val="false"/>
          <w:sz w:val="18"/>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(the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In November 2019, CMS issued a final rule finalizing the changes to the Quality Payment Program. At this time, it is unclear how the introduction of the Quality Payment Program will continue to impact physician reimbursement under the Medicare program. Any reduction in reimbursement from Medicare or other government programs may result in a similar reduction in payments from private payors.</w:t>
      </w:r>
    </w:p>
    <w:p>
      <w:pPr>
        <w:pStyle w:val="TextBody"/>
        <w:bidi w:val="0"/>
        <w:spacing w:before="200" w:after="0"/>
        <w:jc w:val="both"/>
        <w:rPr>
          <w:rFonts w:ascii="Arial;sans-serif" w:hAnsi="Arial;sans-serif"/>
          <w:b w:val="false"/>
          <w:sz w:val="18"/>
        </w:rPr>
      </w:pPr>
      <w:r>
        <w:rPr>
          <w:rFonts w:ascii="Arial;sans-serif" w:hAnsi="Arial;sans-serif"/>
          <w:b w:val="false"/>
          <w:sz w:val="18"/>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Based on current law, between January 1, 2023 and March 31, 2023, applicable laboratories will be required to report on data collected during January 1, 2019 and June 30, 2019. This data will be utilized to determine 2024 to 2026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pStyle w:val="TextBody"/>
        <w:bidi w:val="0"/>
        <w:spacing w:before="240" w:after="0"/>
        <w:jc w:val="center"/>
        <w:rPr>
          <w:rFonts w:ascii="Arial;sans-serif" w:hAnsi="Arial;sans-serif"/>
          <w:b w:val="false"/>
          <w:sz w:val="18"/>
        </w:rPr>
      </w:pPr>
      <w:r>
        <w:rPr>
          <w:rFonts w:ascii="Arial;sans-serif" w:hAnsi="Arial;sans-serif"/>
          <w:b w:val="false"/>
          <w:sz w:val="18"/>
        </w:rPr>
        <w:t>53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Pursuant to the CARES Act, the statutory phase-in of the payment reductions has been extended through 2024 with a 0% reduction cap for 2021-2022 and a 15% reduction cap for 2023 through 2025.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 Therefore, even if favorable coverage and reimbursement status is attained, less favorable coverage policies and reimbursement rates may be implemented in the future.</w:t>
      </w:r>
    </w:p>
    <w:p>
      <w:pPr>
        <w:pStyle w:val="TextBody"/>
        <w:bidi w:val="0"/>
        <w:spacing w:before="200" w:after="0"/>
        <w:jc w:val="both"/>
        <w:rPr>
          <w:rFonts w:ascii="Arial;sans-serif" w:hAnsi="Arial;sans-serif"/>
          <w:b/>
          <w:i/>
          <w:sz w:val="18"/>
        </w:rPr>
      </w:pPr>
      <w:r>
        <w:rPr>
          <w:rFonts w:ascii="Arial;sans-serif" w:hAnsi="Arial;sans-serif"/>
          <w:b/>
          <w:i/>
          <w:sz w:val="18"/>
        </w:rPr>
        <w:t>If we use hazardous materials in a manner that causes injury, we could be liable for resulting damages.</w:t>
      </w:r>
    </w:p>
    <w:p>
      <w:pPr>
        <w:pStyle w:val="TextBody"/>
        <w:bidi w:val="0"/>
        <w:spacing w:before="200" w:after="0"/>
        <w:jc w:val="both"/>
        <w:rPr>
          <w:rFonts w:ascii="Arial;sans-serif" w:hAnsi="Arial;sans-serif"/>
          <w:b w:val="false"/>
          <w:sz w:val="18"/>
        </w:rPr>
      </w:pPr>
      <w:r>
        <w:rPr>
          <w:rFonts w:ascii="Arial;sans-serif" w:hAnsi="Arial;sans-serif"/>
          <w:b w:val="false"/>
          <w:sz w:val="18"/>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pStyle w:val="TextBody"/>
        <w:bidi w:val="0"/>
        <w:spacing w:before="200" w:after="0"/>
        <w:jc w:val="both"/>
        <w:rPr>
          <w:rFonts w:ascii="Arial;sans-serif" w:hAnsi="Arial;sans-serif"/>
          <w:b/>
          <w:i/>
          <w:sz w:val="18"/>
        </w:rPr>
      </w:pPr>
      <w:r>
        <w:rPr>
          <w:rFonts w:ascii="Arial;sans-serif" w:hAnsi="Arial;sans-serif"/>
          <w:b/>
          <w:i/>
          <w:sz w:val="18"/>
        </w:rPr>
        <w:t>Changes in tax laws or regulations could adversely affect our business and financial condition.</w:t>
      </w:r>
    </w:p>
    <w:p>
      <w:pPr>
        <w:pStyle w:val="TextBody"/>
        <w:bidi w:val="0"/>
        <w:spacing w:before="200" w:after="0"/>
        <w:jc w:val="both"/>
        <w:rPr>
          <w:rFonts w:ascii="Arial;sans-serif" w:hAnsi="Arial;sans-serif"/>
          <w:b w:val="false"/>
          <w:sz w:val="18"/>
        </w:rPr>
      </w:pPr>
      <w:r>
        <w:rPr>
          <w:rFonts w:ascii="Arial;sans-serif" w:hAnsi="Arial;sans-serif"/>
          <w:b w:val="false"/>
          <w:sz w:val="18"/>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or any newly enacted federal tax legislation.</w:t>
      </w:r>
    </w:p>
    <w:p>
      <w:pPr>
        <w:pStyle w:val="TextBody"/>
        <w:bidi w:val="0"/>
        <w:spacing w:before="200" w:after="0"/>
        <w:jc w:val="both"/>
        <w:rPr>
          <w:rFonts w:ascii="Arial;sans-serif" w:hAnsi="Arial;sans-serif"/>
          <w:b/>
          <w:i/>
          <w:sz w:val="18"/>
        </w:rPr>
      </w:pPr>
      <w:r>
        <w:rPr>
          <w:rFonts w:ascii="Arial;sans-serif" w:hAnsi="Arial;sans-serif"/>
          <w:b/>
          <w:i/>
          <w:sz w:val="18"/>
        </w:rPr>
        <w:t>Our effective tax rate may fluctuate, and we may incur obligations in tax jurisdictions in excess of accrued amounts.</w:t>
      </w:r>
    </w:p>
    <w:p>
      <w:pPr>
        <w:pStyle w:val="TextBody"/>
        <w:bidi w:val="0"/>
        <w:spacing w:before="200" w:after="0"/>
        <w:jc w:val="both"/>
        <w:rPr>
          <w:rFonts w:ascii="Arial;sans-serif" w:hAnsi="Arial;sans-serif"/>
          <w:b w:val="false"/>
          <w:sz w:val="18"/>
        </w:rPr>
      </w:pPr>
      <w:r>
        <w:rPr>
          <w:rFonts w:ascii="Arial;sans-serif" w:hAnsi="Arial;sans-serif"/>
          <w:b w:val="false"/>
          <w:sz w:val="18"/>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pStyle w:val="TextBody"/>
        <w:bidi w:val="0"/>
        <w:spacing w:before="200" w:after="0"/>
        <w:jc w:val="both"/>
        <w:rPr>
          <w:rFonts w:ascii="Arial;sans-serif" w:hAnsi="Arial;sans-serif"/>
          <w:b/>
          <w:i/>
          <w:sz w:val="18"/>
        </w:rPr>
      </w:pPr>
      <w:r>
        <w:rPr>
          <w:rFonts w:ascii="Arial;sans-serif" w:hAnsi="Arial;sans-serif"/>
          <w:b/>
          <w:i/>
          <w:sz w:val="18"/>
        </w:rPr>
        <w:t>The exit of the U.K. from the EU could lead to further regulatory divergence and require us to incur additional expenses in order to develop, manufacture, and commercialize our products and services.*</w:t>
      </w:r>
    </w:p>
    <w:p>
      <w:pPr>
        <w:pStyle w:val="TextBody"/>
        <w:bidi w:val="0"/>
        <w:spacing w:before="200" w:after="0"/>
        <w:jc w:val="both"/>
        <w:rPr>
          <w:rFonts w:ascii="Times New Roman" w:hAnsi="Times New Roman"/>
          <w:sz w:val="20"/>
        </w:rPr>
      </w:pPr>
      <w:r>
        <w:rPr>
          <w:rFonts w:ascii="Arial;sans-serif" w:hAnsi="Arial;sans-serif"/>
          <w:b w:val="false"/>
          <w:sz w:val="18"/>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The U.K. and the EU have signed the EU-U.K. Trade and Cooperation Agreement ("TCA"),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("UKCA")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54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remains applicable in Northern Ireland (any products placed on the market in the NI must be compliant with EU law). However, all medical devices and IVDs must be registered with the MHRA, in order to be placed on the G.B. market.</w:t>
      </w:r>
    </w:p>
    <w:p>
      <w:pPr>
        <w:pStyle w:val="TextBody"/>
        <w:bidi w:val="0"/>
        <w:spacing w:before="200" w:after="0"/>
        <w:jc w:val="both"/>
        <w:rPr>
          <w:rFonts w:ascii="Arial;sans-serif" w:hAnsi="Arial;sans-serif"/>
          <w:b w:val="false"/>
          <w:sz w:val="18"/>
        </w:rPr>
      </w:pPr>
      <w:r>
        <w:rPr>
          <w:rFonts w:ascii="Arial;sans-serif" w:hAnsi="Arial;sans-serif"/>
          <w:b w:val="false"/>
          <w:sz w:val="18"/>
        </w:rPr>
        <w:t>The U.K. Government has introduced legislation permitting EU CE Marks to continue to be recognized in G.B. for medical devices. The duration of such recognition will, however, depend on the EU regulatory framework on the basis of which the medical devices were previously CE marked. The risk classification of the devices will also have an impact if they were CE marked in accordance with the IVDD. The U.K. government also intends to introduce legislation establishing reinforced post-market surveillance requirements in late 2023. These post-market surveillance requirements are anticipated to apply from mid-2024. The U.K. government is aiming to have core aspects of the future regulatory regime for medical devices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pStyle w:val="TextBody"/>
        <w:bidi w:val="0"/>
        <w:spacing w:before="200" w:after="0"/>
        <w:jc w:val="both"/>
        <w:rPr>
          <w:rFonts w:ascii="Arial;sans-serif" w:hAnsi="Arial;sans-serif"/>
          <w:b w:val="false"/>
          <w:sz w:val="18"/>
        </w:rPr>
      </w:pPr>
      <w:r>
        <w:rPr>
          <w:rFonts w:ascii="Arial;sans-serif" w:hAnsi="Arial;sans-serif"/>
          <w:b w:val="false"/>
          <w:sz w:val="18"/>
        </w:rPr>
        <w:t>It is anticipated that CE Marks will, at least in the short term, continue to be recognized in G.B. for medical devices. The UK MDR 2002 currently provides that CE marked medical devices will continue to be accepted on the G.B. market until June 30, 2023. However, the UK government has announced its intention to extend the acceptance of CE marked medical devices on the G.B. market. New legislation to permit CE marked medical devices to be placed on the G.B. market after June 30, 2023 is anticipated in the first half of 2023. The UK government also intends to introduce legislation establishing reinforced post-market surveillance requirements later in 2023. The UK government is aiming to have core aspects of the future regulatory regime for medical devices to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pStyle w:val="TextBody"/>
        <w:bidi w:val="0"/>
        <w:spacing w:before="200" w:after="0"/>
        <w:jc w:val="both"/>
        <w:rPr>
          <w:rFonts w:ascii="Arial;sans-serif" w:hAnsi="Arial;sans-serif"/>
          <w:b w:val="false"/>
          <w:sz w:val="18"/>
        </w:rPr>
      </w:pPr>
      <w:r>
        <w:rPr>
          <w:rFonts w:ascii="Arial;sans-serif" w:hAnsi="Arial;sans-serif"/>
          <w:b w:val="false"/>
          <w:sz w:val="18"/>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pStyle w:val="TextBody"/>
        <w:bidi w:val="0"/>
        <w:spacing w:before="200" w:after="0"/>
        <w:jc w:val="both"/>
        <w:rPr>
          <w:rFonts w:ascii="Arial;sans-serif" w:hAnsi="Arial;sans-serif"/>
          <w:b/>
          <w:i/>
          <w:sz w:val="18"/>
        </w:rPr>
      </w:pPr>
      <w:r>
        <w:rPr>
          <w:rFonts w:ascii="Arial;sans-serif" w:hAnsi="Arial;sans-serif"/>
          <w:b/>
          <w:i/>
          <w:sz w:val="18"/>
        </w:rPr>
        <w:t>Our business could be negatively impacted by environmental, social and corporate governance (ESG) matters or our reporting of such matters.</w:t>
      </w:r>
    </w:p>
    <w:p>
      <w:pPr>
        <w:pStyle w:val="TextBody"/>
        <w:bidi w:val="0"/>
        <w:spacing w:before="200" w:after="0"/>
        <w:jc w:val="both"/>
        <w:rPr>
          <w:rFonts w:ascii="Arial;sans-serif" w:hAnsi="Arial;sans-serif"/>
          <w:b w:val="false"/>
          <w:sz w:val="18"/>
        </w:rPr>
      </w:pPr>
      <w:r>
        <w:rPr>
          <w:rFonts w:ascii="Arial;sans-serif" w:hAnsi="Arial;sans-serif"/>
          <w:b w:val="false"/>
          <w:sz w:val="18"/>
        </w:rPr>
        <w:t>There is an increasing focus from certain investors, employees, partners, and other stakeholders concerning ESG matters. We may be, or be perceived to be, not acting responsibly in connection with these matters, which could negatively impact us.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certain investors or other stakeholders deem to negatively impact our reputation and/or that harm our stock price. We currently do not report our environmental emissions and absent a legal requirement to do so we currently do not plan to report our environmental emissions, and lack of reporting could result in certain investors declining to invest in our common stock.</w:t>
      </w:r>
    </w:p>
    <w:p>
      <w:pPr>
        <w:pStyle w:val="TextBody"/>
        <w:bidi w:val="0"/>
        <w:spacing w:before="200" w:after="0"/>
        <w:jc w:val="both"/>
        <w:rPr>
          <w:rFonts w:ascii="Arial;sans-serif" w:hAnsi="Arial;sans-serif"/>
          <w:b/>
          <w:sz w:val="18"/>
        </w:rPr>
      </w:pPr>
      <w:r>
        <w:rPr>
          <w:rFonts w:ascii="Arial;sans-serif" w:hAnsi="Arial;sans-serif"/>
          <w:b/>
          <w:sz w:val="18"/>
        </w:rPr>
        <w:t>Intellectual Property Risks</w:t>
      </w:r>
    </w:p>
    <w:p>
      <w:pPr>
        <w:pStyle w:val="TextBody"/>
        <w:bidi w:val="0"/>
        <w:spacing w:before="200" w:after="0"/>
        <w:jc w:val="both"/>
        <w:rPr>
          <w:rFonts w:ascii="Arial;sans-serif" w:hAnsi="Arial;sans-serif"/>
          <w:b/>
          <w:i/>
          <w:sz w:val="18"/>
        </w:rPr>
      </w:pPr>
      <w:r>
        <w:rPr>
          <w:rFonts w:ascii="Arial;sans-serif" w:hAnsi="Arial;sans-serif"/>
          <w:b/>
          <w:i/>
          <w:sz w:val="18"/>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pStyle w:val="TextBody"/>
        <w:bidi w:val="0"/>
        <w:spacing w:before="200" w:after="0"/>
        <w:jc w:val="both"/>
        <w:rPr>
          <w:rFonts w:ascii="Times New Roman" w:hAnsi="Times New Roman"/>
          <w:sz w:val="20"/>
        </w:rPr>
      </w:pPr>
      <w:r>
        <w:rPr>
          <w:rFonts w:ascii="Arial;sans-serif" w:hAnsi="Arial;sans-serif"/>
          <w:b w:val="false"/>
          <w:sz w:val="18"/>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55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pStyle w:val="TextBody"/>
        <w:bidi w:val="0"/>
        <w:spacing w:before="200" w:after="0"/>
        <w:jc w:val="both"/>
        <w:rPr>
          <w:rFonts w:ascii="Arial;sans-serif" w:hAnsi="Arial;sans-serif"/>
          <w:b w:val="false"/>
          <w:sz w:val="18"/>
        </w:rPr>
      </w:pPr>
      <w:r>
        <w:rPr>
          <w:rFonts w:ascii="Arial;sans-serif" w:hAnsi="Arial;sans-serif"/>
          <w:b w:val="false"/>
          <w:sz w:val="18"/>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pStyle w:val="TextBody"/>
        <w:bidi w:val="0"/>
        <w:spacing w:before="200" w:after="0"/>
        <w:jc w:val="both"/>
        <w:rPr>
          <w:rFonts w:ascii="Arial;sans-serif" w:hAnsi="Arial;sans-serif"/>
          <w:b w:val="false"/>
          <w:sz w:val="18"/>
        </w:rPr>
      </w:pPr>
      <w:r>
        <w:rPr>
          <w:rFonts w:ascii="Arial;sans-serif" w:hAnsi="Arial;sans-serif"/>
          <w:b w:val="false"/>
          <w:sz w:val="18"/>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pStyle w:val="TextBody"/>
        <w:bidi w:val="0"/>
        <w:spacing w:before="200" w:after="0"/>
        <w:jc w:val="both"/>
        <w:rPr>
          <w:rFonts w:ascii="Arial;sans-serif" w:hAnsi="Arial;sans-serif"/>
          <w:b w:val="false"/>
          <w:sz w:val="18"/>
        </w:rPr>
      </w:pPr>
      <w:r>
        <w:rPr>
          <w:rFonts w:ascii="Arial;sans-serif" w:hAnsi="Arial;sans-serif"/>
          <w:b w:val="false"/>
          <w:sz w:val="18"/>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pStyle w:val="TextBody"/>
        <w:bidi w:val="0"/>
        <w:spacing w:before="200" w:after="0"/>
        <w:jc w:val="both"/>
        <w:rPr>
          <w:rFonts w:ascii="Arial;sans-serif" w:hAnsi="Arial;sans-serif"/>
          <w:b/>
          <w:i/>
          <w:sz w:val="18"/>
        </w:rPr>
      </w:pPr>
      <w:r>
        <w:rPr>
          <w:rFonts w:ascii="Arial;sans-serif" w:hAnsi="Arial;sans-serif"/>
          <w:b/>
          <w:i/>
          <w:sz w:val="18"/>
        </w:rPr>
        <w:t>If we cannot license rights to use technologies on reasonable terms, we may not be able to commercialize new services or products in the future.</w:t>
      </w:r>
    </w:p>
    <w:p>
      <w:pPr>
        <w:pStyle w:val="TextBody"/>
        <w:bidi w:val="0"/>
        <w:spacing w:before="200" w:after="0"/>
        <w:jc w:val="both"/>
        <w:rPr>
          <w:rFonts w:ascii="Arial;sans-serif" w:hAnsi="Arial;sans-serif"/>
          <w:b w:val="false"/>
          <w:sz w:val="18"/>
        </w:rPr>
      </w:pPr>
      <w:r>
        <w:rPr>
          <w:rFonts w:ascii="Arial;sans-serif" w:hAnsi="Arial;sans-serif"/>
          <w:b w:val="false"/>
          <w:sz w:val="18"/>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pStyle w:val="TextBody"/>
        <w:bidi w:val="0"/>
        <w:spacing w:before="200" w:after="0"/>
        <w:jc w:val="both"/>
        <w:rPr>
          <w:rFonts w:ascii="Times New Roman" w:hAnsi="Times New Roman"/>
          <w:sz w:val="20"/>
        </w:rPr>
      </w:pPr>
      <w:r>
        <w:rPr>
          <w:rFonts w:ascii="Arial;sans-serif" w:hAnsi="Arial;sans-serif"/>
          <w:b w:val="false"/>
          <w:sz w:val="18"/>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56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any of these licenses on favorable terms could prevent us from commercializing tests, which could materially affect our ability to grow and thus adversely affect our business and financial condition.</w:t>
      </w:r>
    </w:p>
    <w:p>
      <w:pPr>
        <w:pStyle w:val="TextBody"/>
        <w:bidi w:val="0"/>
        <w:spacing w:before="200" w:after="0"/>
        <w:jc w:val="both"/>
        <w:rPr>
          <w:rFonts w:ascii="Arial;sans-serif" w:hAnsi="Arial;sans-serif"/>
          <w:b/>
          <w:i/>
          <w:sz w:val="18"/>
        </w:rPr>
      </w:pPr>
      <w:r>
        <w:rPr>
          <w:rFonts w:ascii="Arial;sans-serif" w:hAnsi="Arial;sans-serif"/>
          <w:b/>
          <w:i/>
          <w:sz w:val="18"/>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pStyle w:val="TextBody"/>
        <w:bidi w:val="0"/>
        <w:spacing w:before="200" w:after="0"/>
        <w:jc w:val="both"/>
        <w:rPr>
          <w:rFonts w:ascii="Arial;sans-serif" w:hAnsi="Arial;sans-serif"/>
          <w:b w:val="false"/>
          <w:sz w:val="18"/>
        </w:rPr>
      </w:pPr>
      <w:r>
        <w:rPr>
          <w:rFonts w:ascii="Arial;sans-serif" w:hAnsi="Arial;sans-serif"/>
          <w:b w:val="false"/>
          <w:sz w:val="18"/>
        </w:rPr>
        <w:t>Our patent rights, their associated costs, and the enforcement or defense of such patent rights may be affected by developments or uncertainty in the patent statute, patent case law, or USPTO rules and regulations.</w:t>
      </w:r>
    </w:p>
    <w:p>
      <w:pPr>
        <w:pStyle w:val="TextBody"/>
        <w:bidi w:val="0"/>
        <w:spacing w:before="200" w:after="0"/>
        <w:jc w:val="both"/>
        <w:rPr>
          <w:rFonts w:ascii="Arial;sans-serif" w:hAnsi="Arial;sans-serif"/>
          <w:b w:val="false"/>
          <w:sz w:val="18"/>
        </w:rPr>
      </w:pPr>
      <w:r>
        <w:rPr>
          <w:rFonts w:ascii="Arial;sans-serif" w:hAnsi="Arial;sans-serif"/>
          <w:b w:val="false"/>
          <w:sz w:val="18"/>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pStyle w:val="TextBody"/>
        <w:bidi w:val="0"/>
        <w:spacing w:before="200" w:after="0"/>
        <w:jc w:val="both"/>
        <w:rPr>
          <w:rFonts w:ascii="Arial;sans-serif" w:hAnsi="Arial;sans-serif"/>
          <w:b/>
          <w:i/>
          <w:sz w:val="18"/>
        </w:rPr>
      </w:pPr>
      <w:r>
        <w:rPr>
          <w:rFonts w:ascii="Arial;sans-serif" w:hAnsi="Arial;sans-serif"/>
          <w:b/>
          <w:i/>
          <w:sz w:val="18"/>
        </w:rPr>
        <w:t>Patent terms may be inadequate to protect our competitive position for an adequate amount of time.</w:t>
      </w:r>
    </w:p>
    <w:p>
      <w:pPr>
        <w:pStyle w:val="TextBody"/>
        <w:bidi w:val="0"/>
        <w:spacing w:before="200" w:after="0"/>
        <w:jc w:val="both"/>
        <w:rPr>
          <w:rFonts w:ascii="Arial;sans-serif" w:hAnsi="Arial;sans-serif"/>
          <w:b w:val="false"/>
          <w:sz w:val="18"/>
        </w:rPr>
      </w:pPr>
      <w:r>
        <w:rPr>
          <w:rFonts w:ascii="Arial;sans-serif" w:hAnsi="Arial;sans-serif"/>
          <w:b w:val="false"/>
          <w:sz w:val="18"/>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2042.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pStyle w:val="TextBody"/>
        <w:bidi w:val="0"/>
        <w:spacing w:before="200" w:after="0"/>
        <w:jc w:val="both"/>
        <w:rPr>
          <w:rFonts w:ascii="Arial;sans-serif" w:hAnsi="Arial;sans-serif"/>
          <w:b/>
          <w:i/>
          <w:sz w:val="18"/>
        </w:rPr>
      </w:pPr>
      <w:r>
        <w:rPr>
          <w:rFonts w:ascii="Arial;sans-serif" w:hAnsi="Arial;sans-serif"/>
          <w:b/>
          <w:i/>
          <w:sz w:val="18"/>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pStyle w:val="TextBody"/>
        <w:bidi w:val="0"/>
        <w:spacing w:before="200" w:after="0"/>
        <w:jc w:val="both"/>
        <w:rPr>
          <w:rFonts w:ascii="Arial;sans-serif" w:hAnsi="Arial;sans-serif"/>
          <w:b w:val="false"/>
          <w:sz w:val="18"/>
        </w:rPr>
      </w:pPr>
      <w:r>
        <w:rPr>
          <w:rFonts w:ascii="Arial;sans-serif" w:hAnsi="Arial;sans-serif"/>
          <w:b w:val="false"/>
          <w:sz w:val="18"/>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pStyle w:val="TextBody"/>
        <w:bidi w:val="0"/>
        <w:spacing w:before="200" w:after="0"/>
        <w:jc w:val="both"/>
        <w:rPr>
          <w:rFonts w:ascii="Arial;sans-serif" w:hAnsi="Arial;sans-serif"/>
          <w:b w:val="false"/>
          <w:sz w:val="18"/>
        </w:rPr>
      </w:pPr>
      <w:r>
        <w:rPr>
          <w:rFonts w:ascii="Arial;sans-serif" w:hAnsi="Arial;sans-serif"/>
          <w:b w:val="false"/>
          <w:sz w:val="18"/>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pStyle w:val="TextBody"/>
        <w:bidi w:val="0"/>
        <w:spacing w:before="200" w:after="0"/>
        <w:jc w:val="both"/>
        <w:rPr>
          <w:rFonts w:ascii="Arial;sans-serif" w:hAnsi="Arial;sans-serif"/>
          <w:b w:val="false"/>
          <w:sz w:val="18"/>
        </w:rPr>
      </w:pPr>
      <w:r>
        <w:rPr>
          <w:rFonts w:ascii="Arial;sans-serif" w:hAnsi="Arial;sans-serif"/>
          <w:b w:val="false"/>
          <w:sz w:val="18"/>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pStyle w:val="TextBody"/>
        <w:bidi w:val="0"/>
        <w:spacing w:before="240" w:after="0"/>
        <w:jc w:val="center"/>
        <w:rPr>
          <w:rFonts w:ascii="Arial;sans-serif" w:hAnsi="Arial;sans-serif"/>
          <w:b w:val="false"/>
          <w:sz w:val="18"/>
        </w:rPr>
      </w:pPr>
      <w:r>
        <w:rPr>
          <w:rFonts w:ascii="Arial;sans-serif" w:hAnsi="Arial;sans-serif"/>
          <w:b w:val="false"/>
          <w:sz w:val="18"/>
        </w:rPr>
        <w:t>57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pStyle w:val="TextBody"/>
        <w:bidi w:val="0"/>
        <w:spacing w:before="200" w:after="0"/>
        <w:jc w:val="both"/>
        <w:rPr>
          <w:rFonts w:ascii="Times New Roman" w:hAnsi="Times New Roman"/>
          <w:sz w:val="20"/>
        </w:rPr>
      </w:pPr>
      <w:r>
        <w:rPr>
          <w:rFonts w:ascii="Arial;sans-serif" w:hAnsi="Arial;sans-serif"/>
          <w:b w:val="false"/>
          <w:sz w:val="18"/>
        </w:rPr>
        <w:t xml:space="preserve">Once granted, patents may remain open to opposition, interference, re-examination, post-grant review,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others will not or may not be able to make, use, offer to sell, or sell tests that are the same as or similar to our products or services but that are not covered by the claims of the patents that we own or license;</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we or our future licensors or collaborators are the first to make the inventions covered by each of our issued patents and pending patent applications that we own or license;</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we or our future licensors or collaborators are the first to file patent applications covering certain aspects of our inventions;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others will not independently develop similar or alternative technologies or duplicate any of our technologies without infringing our intellectual property rights;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 third party may not challenge our patents and, if challenged, a court would hold that our patents are valid, enforceable, and infringed;</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any issued patents that we own or may license will provide us with any competitive advantages, or will not be challenged by third parties;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we may develop or in-license additional proprietary technologies that are patentable;</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pending patent applications that we own or may license will lead to issued patents;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the patents of others will not have a material or adverse effect on our business, financial condition, results of operations, and prospects; and</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pStyle w:val="TextBody"/>
        <w:bidi w:val="0"/>
        <w:spacing w:before="200" w:after="0"/>
        <w:jc w:val="both"/>
        <w:rPr>
          <w:rFonts w:ascii="Times New Roman" w:hAnsi="Times New Roman"/>
          <w:sz w:val="20"/>
        </w:rPr>
      </w:pPr>
      <w:r>
        <w:rPr>
          <w:rFonts w:ascii="Arial;sans-serif" w:hAnsi="Arial;sans-serif"/>
          <w:b w:val="false"/>
          <w:sz w:val="18"/>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pStyle w:val="TextBody"/>
        <w:bidi w:val="0"/>
        <w:spacing w:before="200" w:after="0"/>
        <w:jc w:val="both"/>
        <w:rPr>
          <w:rFonts w:ascii="Times New Roman" w:hAnsi="Times New Roman"/>
          <w:sz w:val="20"/>
        </w:rPr>
      </w:pPr>
      <w:r>
        <w:rPr>
          <w:rFonts w:ascii="Arial;sans-serif" w:hAnsi="Arial;sans-serif"/>
          <w:b w:val="false"/>
          <w:sz w:val="18"/>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58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failure to satisfy those obligations could give our licensor the right to terminate the license. Termination of a necessary license could have a material adverse impact on our business.</w:t>
      </w:r>
    </w:p>
    <w:p>
      <w:pPr>
        <w:pStyle w:val="TextBody"/>
        <w:bidi w:val="0"/>
        <w:spacing w:before="200" w:after="0"/>
        <w:jc w:val="both"/>
        <w:rPr>
          <w:rFonts w:ascii="Times New Roman" w:hAnsi="Times New Roman"/>
          <w:sz w:val="20"/>
        </w:rPr>
      </w:pPr>
      <w:r>
        <w:rPr>
          <w:rFonts w:ascii="Arial;sans-serif" w:hAnsi="Arial;sans-serif"/>
          <w:b w:val="false"/>
          <w:sz w:val="18"/>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 xml:space="preserve">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pStyle w:val="TextBody"/>
        <w:bidi w:val="0"/>
        <w:spacing w:before="200" w:after="0"/>
        <w:jc w:val="both"/>
        <w:rPr>
          <w:rFonts w:ascii="Arial;sans-serif" w:hAnsi="Arial;sans-serif"/>
          <w:b/>
          <w:i/>
          <w:sz w:val="18"/>
        </w:rPr>
      </w:pPr>
      <w:r>
        <w:rPr>
          <w:rFonts w:ascii="Arial;sans-serif" w:hAnsi="Arial;sans-serif"/>
          <w:b/>
          <w:i/>
          <w:sz w:val="18"/>
        </w:rPr>
        <w:t>We are involved in legal proceedings to enforce our intellectual property rights and may in the future become involved in other lawsuits to protect or enforce our patents or other intellectual property, which could be expensive, time consuming, and unsuccessful.*</w:t>
      </w:r>
    </w:p>
    <w:p>
      <w:pPr>
        <w:pStyle w:val="TextBody"/>
        <w:bidi w:val="0"/>
        <w:spacing w:before="200" w:after="0"/>
        <w:jc w:val="both"/>
        <w:rPr>
          <w:rFonts w:ascii="Times New Roman" w:hAnsi="Times New Roman"/>
          <w:sz w:val="20"/>
        </w:rPr>
      </w:pPr>
      <w:r>
        <w:rPr>
          <w:rFonts w:ascii="Arial;sans-serif" w:hAnsi="Arial;sans-serif"/>
          <w:b w:val="false"/>
          <w:sz w:val="18"/>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August 2022, we filed an amended complaint (the "August 2022 Complaint") and, in June 2023, we filed an additional complaint in the U.S. District Court for the District of Colorado against Foresight for patent infringement and in October 2022 Foresight filed its answer and counterclaims to the August 2022 Complaint (see the section titled “Contingencies” in Note 9 to our unaudited condensed consolidated financial statements). Further, Foresight has filed four </w:t>
      </w:r>
      <w:r>
        <w:rPr>
          <w:rFonts w:ascii="Arial;sans-serif" w:hAnsi="Arial;sans-serif"/>
          <w:b w:val="false"/>
          <w:i/>
          <w:sz w:val="18"/>
        </w:rPr>
        <w:t xml:space="preserve">inter partes </w:t>
      </w:r>
      <w:r>
        <w:rPr>
          <w:rFonts w:ascii="Arial;sans-serif" w:hAnsi="Arial;sans-serif"/>
          <w:b w:val="false"/>
          <w:sz w:val="18"/>
        </w:rPr>
        <w:t xml:space="preserve">review petitions with the USPTO in an effort to invalidate the patents that we are asserting against Foresight in our patent infringement action. In June 2023, the USPTO issued decisions granting </w:t>
      </w:r>
      <w:r>
        <w:rPr>
          <w:rFonts w:ascii="Arial;sans-serif" w:hAnsi="Arial;sans-serif"/>
          <w:b w:val="false"/>
          <w:i/>
          <w:sz w:val="18"/>
        </w:rPr>
        <w:t xml:space="preserve">inter partes </w:t>
      </w:r>
      <w:r>
        <w:rPr>
          <w:rFonts w:ascii="Arial;sans-serif" w:hAnsi="Arial;sans-serif"/>
          <w:b w:val="false"/>
          <w:sz w:val="18"/>
        </w:rPr>
        <w:t xml:space="preserve">reviews of two of these patents, and in August 2023, the USPTO issued decisions granting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 xml:space="preserve">reviews of the other two patents.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sans-serif" w:hAnsi="Arial;sans-serif"/>
          <w:b w:val="false"/>
          <w:i/>
          <w:sz w:val="18"/>
        </w:rPr>
        <w:t>inter partes</w:t>
      </w:r>
      <w:r>
        <w:rPr>
          <w:rFonts w:ascii="Times New Roman" w:hAnsi="Times New Roman"/>
          <w:sz w:val="20"/>
        </w:rPr>
        <w:t xml:space="preserve"> </w:t>
      </w:r>
      <w:r>
        <w:rPr>
          <w:rFonts w:ascii="Arial;sans-serif" w:hAnsi="Arial;sans-serif"/>
          <w:b w:val="false"/>
          <w:sz w:val="18"/>
        </w:rPr>
        <w:t>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200" w:after="0"/>
        <w:jc w:val="both"/>
        <w:rPr>
          <w:rFonts w:ascii="Arial;sans-serif" w:hAnsi="Arial;sans-serif"/>
          <w:b w:val="false"/>
          <w:sz w:val="18"/>
        </w:rPr>
      </w:pPr>
      <w:r>
        <w:rPr>
          <w:rFonts w:ascii="Arial;sans-serif" w:hAnsi="Arial;sans-serif"/>
          <w:b w:val="false"/>
          <w:sz w:val="18"/>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240" w:after="0"/>
        <w:jc w:val="center"/>
        <w:rPr>
          <w:rFonts w:ascii="Arial;sans-serif" w:hAnsi="Arial;sans-serif"/>
          <w:b w:val="false"/>
          <w:sz w:val="18"/>
        </w:rPr>
      </w:pPr>
      <w:r>
        <w:rPr>
          <w:rFonts w:ascii="Arial;sans-serif" w:hAnsi="Arial;sans-serif"/>
          <w:b w:val="false"/>
          <w:sz w:val="18"/>
        </w:rPr>
        <w:t>59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Times New Roman" w:hAnsi="Times New Roman"/>
          <w:sz w:val="20"/>
        </w:rPr>
      </w:pPr>
      <w:r>
        <w:rPr>
          <w:rFonts w:ascii="Arial;sans-serif" w:hAnsi="Arial;sans-serif"/>
          <w:b/>
          <w:i/>
          <w:sz w:val="18"/>
        </w:rPr>
        <w:t>If we are unable to protect the confidentiality of our trade secrets and know-how, our business and competitive position would be harmed</w:t>
      </w:r>
      <w:r>
        <w:rPr>
          <w:rFonts w:ascii="Arial;sans-serif" w:hAnsi="Arial;sans-serif"/>
          <w:b/>
          <w:sz w:val="18"/>
        </w:rPr>
        <w:t>.</w:t>
      </w:r>
    </w:p>
    <w:p>
      <w:pPr>
        <w:pStyle w:val="TextBody"/>
        <w:bidi w:val="0"/>
        <w:spacing w:before="200" w:after="0"/>
        <w:jc w:val="both"/>
        <w:rPr>
          <w:rFonts w:ascii="Arial;sans-serif" w:hAnsi="Arial;sans-serif"/>
          <w:b w:val="false"/>
          <w:sz w:val="18"/>
        </w:rPr>
      </w:pPr>
      <w:r>
        <w:rPr>
          <w:rFonts w:ascii="Arial;sans-serif" w:hAnsi="Arial;sans-serif"/>
          <w:b w:val="false"/>
          <w:sz w:val="18"/>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pStyle w:val="TextBody"/>
        <w:bidi w:val="0"/>
        <w:spacing w:before="200" w:after="0"/>
        <w:jc w:val="both"/>
        <w:rPr>
          <w:rFonts w:ascii="Arial;sans-serif" w:hAnsi="Arial;sans-serif"/>
          <w:b w:val="false"/>
          <w:sz w:val="18"/>
        </w:rPr>
      </w:pPr>
      <w:r>
        <w:rPr>
          <w:rFonts w:ascii="Arial;sans-serif" w:hAnsi="Arial;sans-serif"/>
          <w:b w:val="false"/>
          <w:sz w:val="18"/>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pStyle w:val="TextBody"/>
        <w:bidi w:val="0"/>
        <w:spacing w:before="200" w:after="0"/>
        <w:jc w:val="both"/>
        <w:rPr>
          <w:rFonts w:ascii="Arial;sans-serif" w:hAnsi="Arial;sans-serif"/>
          <w:b w:val="false"/>
          <w:sz w:val="18"/>
        </w:rPr>
      </w:pPr>
      <w:r>
        <w:rPr>
          <w:rFonts w:ascii="Arial;sans-serif" w:hAnsi="Arial;sans-serif"/>
          <w:b w:val="false"/>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pStyle w:val="TextBody"/>
        <w:bidi w:val="0"/>
        <w:spacing w:before="200" w:after="0"/>
        <w:jc w:val="both"/>
        <w:rPr>
          <w:rFonts w:ascii="Times New Roman" w:hAnsi="Times New Roman"/>
          <w:sz w:val="20"/>
        </w:rPr>
      </w:pPr>
      <w:r>
        <w:rPr>
          <w:rFonts w:ascii="Arial;sans-serif" w:hAnsi="Arial;sans-serif"/>
          <w:b/>
          <w:i/>
          <w:sz w:val="18"/>
        </w:rPr>
        <w:t>We may not be able to enforce our intellectual property rights throughout the world</w:t>
      </w:r>
      <w:r>
        <w:rPr>
          <w:rFonts w:ascii="Arial;sans-serif" w:hAnsi="Arial;sans-serif"/>
          <w:b/>
          <w:sz w:val="18"/>
        </w:rPr>
        <w:t>.</w:t>
      </w:r>
    </w:p>
    <w:p>
      <w:pPr>
        <w:pStyle w:val="TextBody"/>
        <w:bidi w:val="0"/>
        <w:spacing w:before="200" w:after="0"/>
        <w:jc w:val="both"/>
        <w:rPr>
          <w:rFonts w:ascii="Times New Roman" w:hAnsi="Times New Roman"/>
          <w:sz w:val="20"/>
        </w:rPr>
      </w:pPr>
      <w:r>
        <w:rPr>
          <w:rFonts w:ascii="Arial;sans-serif" w:hAnsi="Arial;sans-serif"/>
          <w:b w:val="false"/>
          <w:sz w:val="18"/>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60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bidi w:val="0"/>
        <w:spacing w:before="200" w:after="0"/>
        <w:jc w:val="both"/>
        <w:rPr>
          <w:rFonts w:ascii="Arial;sans-serif" w:hAnsi="Arial;sans-serif"/>
          <w:b w:val="false"/>
          <w:sz w:val="18"/>
        </w:rPr>
      </w:pPr>
      <w:r>
        <w:rPr>
          <w:rFonts w:ascii="Arial;sans-serif" w:hAnsi="Arial;sans-serif"/>
          <w:b w:val="false"/>
          <w:sz w:val="18"/>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pStyle w:val="TextBody"/>
        <w:bidi w:val="0"/>
        <w:spacing w:before="200" w:after="0"/>
        <w:jc w:val="both"/>
        <w:rPr>
          <w:rFonts w:ascii="Arial;sans-serif" w:hAnsi="Arial;sans-serif"/>
          <w:b/>
          <w:i/>
          <w:sz w:val="18"/>
        </w:rPr>
      </w:pPr>
      <w:r>
        <w:rPr>
          <w:rFonts w:ascii="Arial;sans-serif" w:hAnsi="Arial;sans-serif"/>
          <w:b/>
          <w:i/>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00" w:after="0"/>
        <w:jc w:val="both"/>
        <w:rPr>
          <w:rFonts w:ascii="Arial;sans-serif" w:hAnsi="Arial;sans-serif"/>
          <w:b w:val="false"/>
          <w:sz w:val="18"/>
        </w:rPr>
      </w:pPr>
      <w:r>
        <w:rPr>
          <w:rFonts w:ascii="Arial;sans-serif" w:hAnsi="Arial;sans-serif"/>
          <w:b w:val="false"/>
          <w:sz w:val="18"/>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pStyle w:val="TextBody"/>
        <w:bidi w:val="0"/>
        <w:spacing w:before="200" w:after="0"/>
        <w:jc w:val="both"/>
        <w:rPr>
          <w:rFonts w:ascii="Arial;sans-serif" w:hAnsi="Arial;sans-serif"/>
          <w:b/>
          <w:i/>
          <w:sz w:val="18"/>
        </w:rPr>
      </w:pPr>
      <w:r>
        <w:rPr>
          <w:rFonts w:ascii="Arial;sans-serif" w:hAnsi="Arial;sans-serif"/>
          <w:b/>
          <w:i/>
          <w:sz w:val="18"/>
        </w:rPr>
        <w:t>Third parties may assert that our employees or consultants have wrongfully used or disclosed confidential information or misappropriated trade secrets.</w:t>
      </w:r>
    </w:p>
    <w:p>
      <w:pPr>
        <w:pStyle w:val="TextBody"/>
        <w:bidi w:val="0"/>
        <w:spacing w:before="200" w:after="0"/>
        <w:jc w:val="both"/>
        <w:rPr>
          <w:rFonts w:ascii="Arial;sans-serif" w:hAnsi="Arial;sans-serif"/>
          <w:b w:val="false"/>
          <w:sz w:val="18"/>
        </w:rPr>
      </w:pPr>
      <w:r>
        <w:rPr>
          <w:rFonts w:ascii="Arial;sans-serif" w:hAnsi="Arial;sans-serif"/>
          <w:b w:val="false"/>
          <w:sz w:val="18"/>
        </w:rPr>
        <w:t>We employ individuals who were previously employed or otherwise engaged with universities or genetic testing, diagnostic or other healthcare companies, including our competitors or potential competitors.</w:t>
      </w:r>
    </w:p>
    <w:p>
      <w:pPr>
        <w:pStyle w:val="TextBody"/>
        <w:bidi w:val="0"/>
        <w:spacing w:before="200" w:after="0"/>
        <w:jc w:val="both"/>
        <w:rPr>
          <w:rFonts w:ascii="Arial;sans-serif" w:hAnsi="Arial;sans-serif"/>
          <w:b w:val="false"/>
          <w:sz w:val="18"/>
        </w:rPr>
      </w:pPr>
      <w:r>
        <w:rPr>
          <w:rFonts w:ascii="Arial;sans-serif" w:hAnsi="Arial;sans-serif"/>
          <w:b w:val="false"/>
          <w:sz w:val="18"/>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200" w:after="0"/>
        <w:jc w:val="both"/>
        <w:rPr>
          <w:rFonts w:ascii="Arial;sans-serif" w:hAnsi="Arial;sans-serif"/>
          <w:b/>
          <w:i/>
          <w:sz w:val="18"/>
        </w:rPr>
      </w:pPr>
      <w:r>
        <w:rPr>
          <w:rFonts w:ascii="Arial;sans-serif" w:hAnsi="Arial;sans-serif"/>
          <w:b/>
          <w:i/>
          <w:sz w:val="18"/>
        </w:rPr>
        <w:t>Our use of “open source” software could subject our proprietary software to general release, adversely affect our ability to sell our products and services, and subject us to possible litigation.</w:t>
      </w:r>
    </w:p>
    <w:p>
      <w:pPr>
        <w:pStyle w:val="TextBody"/>
        <w:bidi w:val="0"/>
        <w:spacing w:before="200" w:after="0"/>
        <w:jc w:val="both"/>
        <w:rPr>
          <w:rFonts w:ascii="Times New Roman" w:hAnsi="Times New Roman"/>
          <w:sz w:val="20"/>
        </w:rPr>
      </w:pPr>
      <w:r>
        <w:rPr>
          <w:rFonts w:ascii="Arial;sans-serif" w:hAnsi="Arial;sans-serif"/>
          <w:b w:val="false"/>
          <w:sz w:val="18"/>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61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pStyle w:val="TextBody"/>
        <w:bidi w:val="0"/>
        <w:spacing w:before="200" w:after="0"/>
        <w:jc w:val="both"/>
        <w:rPr>
          <w:rFonts w:ascii="Arial;sans-serif" w:hAnsi="Arial;sans-serif"/>
          <w:b/>
          <w:i/>
          <w:sz w:val="18"/>
        </w:rPr>
      </w:pPr>
      <w:r>
        <w:rPr>
          <w:rFonts w:ascii="Arial;sans-serif" w:hAnsi="Arial;sans-serif"/>
          <w:b/>
          <w:i/>
          <w:sz w:val="18"/>
        </w:rPr>
        <w:t>If we fail to comply with our obligations under license or technology agreements with third parties, we may be required to pay damages and we could lose license rights that are critical to our business.</w:t>
      </w:r>
    </w:p>
    <w:p>
      <w:pPr>
        <w:pStyle w:val="TextBody"/>
        <w:bidi w:val="0"/>
        <w:spacing w:before="200" w:after="0"/>
        <w:jc w:val="both"/>
        <w:rPr>
          <w:rFonts w:ascii="Arial;sans-serif" w:hAnsi="Arial;sans-serif"/>
          <w:b w:val="false"/>
          <w:sz w:val="18"/>
        </w:rPr>
      </w:pPr>
      <w:r>
        <w:rPr>
          <w:rFonts w:ascii="Arial;sans-serif" w:hAnsi="Arial;sans-serif"/>
          <w:b w:val="false"/>
          <w:sz w:val="18"/>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before="200" w:after="0"/>
        <w:jc w:val="both"/>
        <w:rPr>
          <w:rFonts w:ascii="Arial;sans-serif" w:hAnsi="Arial;sans-serif"/>
          <w:b/>
          <w:i/>
          <w:sz w:val="18"/>
        </w:rPr>
      </w:pPr>
      <w:r>
        <w:rPr>
          <w:rFonts w:ascii="Arial;sans-serif" w:hAnsi="Arial;sans-serif"/>
          <w:b/>
          <w:i/>
          <w:sz w:val="18"/>
        </w:rPr>
        <w:t>We may be subject to claims challenging the inventorship of our patents and other intellectual property.</w:t>
      </w:r>
    </w:p>
    <w:p>
      <w:pPr>
        <w:pStyle w:val="TextBody"/>
        <w:bidi w:val="0"/>
        <w:spacing w:before="200" w:after="0"/>
        <w:jc w:val="both"/>
        <w:rPr>
          <w:rFonts w:ascii="Arial;sans-serif" w:hAnsi="Arial;sans-serif"/>
          <w:b w:val="false"/>
          <w:sz w:val="18"/>
        </w:rPr>
      </w:pPr>
      <w:r>
        <w:rPr>
          <w:rFonts w:ascii="Arial;sans-serif" w:hAnsi="Arial;sans-serif"/>
          <w:b w:val="false"/>
          <w:sz w:val="18"/>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00" w:after="0"/>
        <w:jc w:val="both"/>
        <w:rPr>
          <w:rFonts w:ascii="Arial;sans-serif" w:hAnsi="Arial;sans-serif"/>
          <w:b/>
          <w:i/>
          <w:sz w:val="18"/>
        </w:rPr>
      </w:pPr>
      <w:r>
        <w:rPr>
          <w:rFonts w:ascii="Arial;sans-serif" w:hAnsi="Arial;sans-serif"/>
          <w:b/>
          <w:i/>
          <w:sz w:val="18"/>
        </w:rPr>
        <w:t>If our trademarks and trade names are not adequately protected, then we may not be able to build name recognition in our markets of interest and our business may be adversely affected.</w:t>
      </w:r>
    </w:p>
    <w:p>
      <w:pPr>
        <w:pStyle w:val="TextBody"/>
        <w:bidi w:val="0"/>
        <w:spacing w:before="200" w:after="0"/>
        <w:jc w:val="both"/>
        <w:rPr>
          <w:rFonts w:ascii="Arial;sans-serif" w:hAnsi="Arial;sans-serif"/>
          <w:b w:val="false"/>
          <w:sz w:val="18"/>
        </w:rPr>
      </w:pPr>
      <w:r>
        <w:rPr>
          <w:rFonts w:ascii="Arial;sans-serif" w:hAnsi="Arial;sans-serif"/>
          <w:b w:val="false"/>
          <w:sz w:val="18"/>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pStyle w:val="TextBody"/>
        <w:bidi w:val="0"/>
        <w:spacing w:before="200" w:after="0"/>
        <w:jc w:val="both"/>
        <w:rPr>
          <w:rFonts w:ascii="Arial;sans-serif" w:hAnsi="Arial;sans-serif"/>
          <w:b/>
          <w:sz w:val="18"/>
        </w:rPr>
      </w:pPr>
      <w:r>
        <w:rPr>
          <w:rFonts w:ascii="Arial;sans-serif" w:hAnsi="Arial;sans-serif"/>
          <w:b/>
          <w:sz w:val="18"/>
        </w:rPr>
        <w:t>Financial and Market Risks and Risks Related to Owning Our Common Stock</w:t>
      </w:r>
    </w:p>
    <w:p>
      <w:pPr>
        <w:pStyle w:val="TextBody"/>
        <w:bidi w:val="0"/>
        <w:spacing w:before="200" w:after="0"/>
        <w:jc w:val="both"/>
        <w:rPr>
          <w:rFonts w:ascii="Arial;sans-serif" w:hAnsi="Arial;sans-serif"/>
          <w:b/>
          <w:i/>
          <w:sz w:val="18"/>
        </w:rPr>
      </w:pPr>
      <w:r>
        <w:rPr>
          <w:rFonts w:ascii="Arial;sans-serif" w:hAnsi="Arial;sans-serif"/>
          <w:b/>
          <w:i/>
          <w:sz w:val="18"/>
        </w:rPr>
        <w:t>Our inability to raise additional capital on acceptable terms in the future may limit our ability to continue to operate our business and further expand our operations.</w:t>
      </w:r>
    </w:p>
    <w:p>
      <w:pPr>
        <w:pStyle w:val="TextBody"/>
        <w:bidi w:val="0"/>
        <w:spacing w:before="200" w:after="0"/>
        <w:jc w:val="both"/>
        <w:rPr>
          <w:rFonts w:ascii="Arial;sans-serif" w:hAnsi="Arial;sans-serif"/>
          <w:b w:val="false"/>
          <w:sz w:val="18"/>
        </w:rPr>
      </w:pPr>
      <w:r>
        <w:rPr>
          <w:rFonts w:ascii="Arial;sans-serif" w:hAnsi="Arial;sans-serif"/>
          <w:b w:val="false"/>
          <w:sz w:val="18"/>
        </w:rPr>
        <w:t>We may seek to raise additional capital through equity offerings, debt financings, collaborations, or licensing arrangements to continue executing on our long-term business plan. Additional funding may not be available to us on acceptable terms, or at all.</w:t>
      </w:r>
    </w:p>
    <w:p>
      <w:pPr>
        <w:pStyle w:val="TextBody"/>
        <w:bidi w:val="0"/>
        <w:spacing w:before="200" w:after="0"/>
        <w:jc w:val="both"/>
        <w:rPr>
          <w:rFonts w:ascii="Times New Roman" w:hAnsi="Times New Roman"/>
          <w:sz w:val="20"/>
        </w:rPr>
      </w:pPr>
      <w:r>
        <w:rPr>
          <w:rFonts w:ascii="Arial;sans-serif" w:hAnsi="Arial;sans-serif"/>
          <w:b w:val="false"/>
          <w:sz w:val="18"/>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62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pStyle w:val="TextBody"/>
        <w:bidi w:val="0"/>
        <w:spacing w:before="200" w:after="0"/>
        <w:jc w:val="both"/>
        <w:rPr>
          <w:rFonts w:ascii="Arial;sans-serif" w:hAnsi="Arial;sans-serif"/>
          <w:b w:val="false"/>
          <w:sz w:val="18"/>
        </w:rPr>
      </w:pPr>
      <w:r>
        <w:rPr>
          <w:rFonts w:ascii="Arial;sans-serif" w:hAnsi="Arial;sans-serif"/>
          <w:b w:val="false"/>
          <w:sz w:val="18"/>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Russia-initiated military action against Ukraine).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pStyle w:val="TextBody"/>
        <w:bidi w:val="0"/>
        <w:spacing w:before="200" w:after="0"/>
        <w:jc w:val="both"/>
        <w:rPr>
          <w:rFonts w:ascii="Arial;sans-serif" w:hAnsi="Arial;sans-serif"/>
          <w:b/>
          <w:i/>
          <w:sz w:val="18"/>
        </w:rPr>
      </w:pPr>
      <w:r>
        <w:rPr>
          <w:rFonts w:ascii="Arial;sans-serif" w:hAnsi="Arial;sans-serif"/>
          <w:b/>
          <w:i/>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200" w:after="0"/>
        <w:jc w:val="both"/>
        <w:rPr>
          <w:rFonts w:ascii="Arial;sans-serif" w:hAnsi="Arial;sans-serif"/>
          <w:b w:val="false"/>
          <w:sz w:val="18"/>
        </w:rPr>
      </w:pPr>
      <w:r>
        <w:rPr>
          <w:rFonts w:ascii="Arial;sans-serif" w:hAnsi="Arial;sans-serif"/>
          <w:b w:val="false"/>
          <w:sz w:val="18"/>
        </w:rPr>
        <w:t>The market price of our common stock may fluctuate or decline significantly in response to numerous factors, many of which are beyond our control, including:</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actual or anticipated fluctuations in our operating results;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failure to meet or exceed financial estimates and projections of the investment community or that we provide to the public;</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issuance of new or updated research reports by securities analysts or changed recommendations for our stock;</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competition from existing tests or new tests that may emerge;</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announcements by us or our competitors relating to significant acquisitions, strategic partnerships, joint ventures, collaborations, capital commitments, or by or pertaining to our customers, particularly the VA MVP and Natera, as our largest customers;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the timing and amount of our investments in the growth of our business;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actual or anticipated changes in regulatory oversight of our business or issues we may face with regulators;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additions or departures of key management or other personnel;</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inability to obtain additional funding;</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sales of our common stock by us or our stockholders in the future;</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disputes or other developments related to our intellectual property or other matters, including litigation;</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health epidemics or pandemics, geopolitical conflicts, inflation, global supply chain issues, regional or national economic slowdowns, recessions, depressions or other economic downturns; and</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other general economic, industry, and market conditions, including factors unrelated to our operating performance or the operating performance of our competitors.</w:t>
      </w:r>
    </w:p>
    <w:p>
      <w:pPr>
        <w:pStyle w:val="TextBody"/>
        <w:bidi w:val="0"/>
        <w:spacing w:before="200" w:after="0"/>
        <w:jc w:val="both"/>
        <w:rPr>
          <w:rFonts w:ascii="Times New Roman" w:hAnsi="Times New Roman"/>
          <w:sz w:val="20"/>
        </w:rPr>
      </w:pPr>
      <w:r>
        <w:rPr>
          <w:rFonts w:ascii="Arial;sans-serif" w:hAnsi="Arial;sans-serif"/>
          <w:b w:val="false"/>
          <w:sz w:val="18"/>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63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200" w:after="0"/>
        <w:jc w:val="both"/>
        <w:rPr>
          <w:rFonts w:ascii="Arial;sans-serif" w:hAnsi="Arial;sans-serif"/>
          <w:b w:val="false"/>
          <w:sz w:val="18"/>
        </w:rPr>
      </w:pPr>
      <w:r>
        <w:rPr>
          <w:rFonts w:ascii="Arial;sans-serif" w:hAnsi="Arial;sans-serif"/>
          <w:b w:val="false"/>
          <w:sz w:val="18"/>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200" w:after="0"/>
        <w:jc w:val="both"/>
        <w:rPr>
          <w:rFonts w:ascii="Arial;sans-serif" w:hAnsi="Arial;sans-serif"/>
          <w:b/>
          <w:i/>
          <w:sz w:val="18"/>
        </w:rPr>
      </w:pPr>
      <w:r>
        <w:rPr>
          <w:rFonts w:ascii="Arial;sans-serif" w:hAnsi="Arial;sans-serif"/>
          <w:b/>
          <w:i/>
          <w:sz w:val="18"/>
        </w:rPr>
        <w:t>Our quarterly results may fluctuate significantly, which could adversely impact the value of our common stock.</w:t>
      </w:r>
    </w:p>
    <w:p>
      <w:pPr>
        <w:pStyle w:val="TextBody"/>
        <w:bidi w:val="0"/>
        <w:spacing w:before="200" w:after="0"/>
        <w:jc w:val="both"/>
        <w:rPr>
          <w:rFonts w:ascii="Arial;sans-serif" w:hAnsi="Arial;sans-serif"/>
          <w:b w:val="false"/>
          <w:sz w:val="18"/>
        </w:rPr>
      </w:pPr>
      <w:r>
        <w:rPr>
          <w:rFonts w:ascii="Arial;sans-serif" w:hAnsi="Arial;sans-serif"/>
          <w:b w:val="false"/>
          <w:sz w:val="18"/>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Natera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pStyle w:val="TextBody"/>
        <w:bidi w:val="0"/>
        <w:spacing w:before="200" w:after="0"/>
        <w:jc w:val="both"/>
        <w:rPr>
          <w:rFonts w:ascii="Arial;sans-serif" w:hAnsi="Arial;sans-serif"/>
          <w:b/>
          <w:i/>
          <w:sz w:val="18"/>
        </w:rPr>
      </w:pPr>
      <w:r>
        <w:rPr>
          <w:rFonts w:ascii="Arial;sans-serif" w:hAnsi="Arial;sans-serif"/>
          <w:b/>
          <w:i/>
          <w:sz w:val="18"/>
        </w:rPr>
        <w:t>Unstable market, economic and geo-political conditions may have serious adverse consequences on our business, financial condition and stock price.</w:t>
      </w:r>
    </w:p>
    <w:p>
      <w:pPr>
        <w:pStyle w:val="TextBody"/>
        <w:bidi w:val="0"/>
        <w:spacing w:before="200" w:after="0"/>
        <w:jc w:val="both"/>
        <w:rPr>
          <w:rFonts w:ascii="Arial;sans-serif" w:hAnsi="Arial;sans-serif"/>
          <w:b w:val="false"/>
          <w:sz w:val="18"/>
        </w:rPr>
      </w:pPr>
      <w:r>
        <w:rPr>
          <w:rFonts w:ascii="Arial;sans-serif" w:hAnsi="Arial;sans-serif"/>
          <w:b w:val="false"/>
          <w:sz w:val="18"/>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00" w:after="0"/>
        <w:jc w:val="both"/>
        <w:rPr>
          <w:rFonts w:ascii="Arial;sans-serif" w:hAnsi="Arial;sans-serif"/>
          <w:b w:val="false"/>
          <w:sz w:val="18"/>
        </w:rPr>
      </w:pPr>
      <w:r>
        <w:rPr>
          <w:rFonts w:ascii="Arial;sans-serif" w:hAnsi="Arial;sans-serif"/>
          <w:b w:val="false"/>
          <w:sz w:val="18"/>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200" w:after="0"/>
        <w:jc w:val="both"/>
        <w:rPr>
          <w:rFonts w:ascii="Arial;sans-serif" w:hAnsi="Arial;sans-serif"/>
          <w:b/>
          <w:i/>
          <w:sz w:val="18"/>
        </w:rPr>
      </w:pPr>
      <w:r>
        <w:rPr>
          <w:rFonts w:ascii="Arial;sans-serif" w:hAnsi="Arial;sans-serif"/>
          <w:b/>
          <w:i/>
          <w:sz w:val="18"/>
        </w:rPr>
        <w:t>Adverse developments affecting the financial services industry could adversely affect our current and projected business operations and our financial condition and results of operations.*</w:t>
      </w:r>
    </w:p>
    <w:p>
      <w:pPr>
        <w:pStyle w:val="TextBody"/>
        <w:bidi w:val="0"/>
        <w:spacing w:before="200" w:after="0"/>
        <w:jc w:val="both"/>
        <w:rPr>
          <w:rFonts w:ascii="Arial;sans-serif" w:hAnsi="Arial;sans-serif"/>
          <w:b w:val="false"/>
          <w:sz w:val="18"/>
        </w:rPr>
      </w:pPr>
      <w:r>
        <w:rPr>
          <w:rFonts w:ascii="Arial;sans-serif" w:hAnsi="Arial;sans-serif"/>
          <w:b w:val="false"/>
          <w:sz w:val="18"/>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0"/>
        <w:jc w:val="center"/>
        <w:rPr>
          <w:rFonts w:ascii="Arial;sans-serif" w:hAnsi="Arial;sans-serif"/>
          <w:b w:val="false"/>
          <w:sz w:val="18"/>
        </w:rPr>
      </w:pPr>
      <w:r>
        <w:rPr>
          <w:rFonts w:ascii="Arial;sans-serif" w:hAnsi="Arial;sans-serif"/>
          <w:b w:val="false"/>
          <w:sz w:val="18"/>
        </w:rPr>
        <w:t>64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While we have not experienced any adverse impact to our liquidity or to our current and projected business operations, financial condition or results of operations as a result of the matters relating to SVB, Signature Bank, Silvergate Capital Corp and First Republic Bank, uncertainty remains over liquidity concerns in the broader financial services industry, and our business, our business partners or industry as a whole may be adversely impacted in ways that we cannot predict at this time.</w:t>
      </w:r>
    </w:p>
    <w:p>
      <w:pPr>
        <w:pStyle w:val="TextBody"/>
        <w:bidi w:val="0"/>
        <w:spacing w:before="200" w:after="0"/>
        <w:jc w:val="both"/>
        <w:rPr>
          <w:rFonts w:ascii="Arial;sans-serif" w:hAnsi="Arial;sans-serif"/>
          <w:b w:val="false"/>
          <w:sz w:val="18"/>
        </w:rPr>
      </w:pPr>
      <w:r>
        <w:rPr>
          <w:rFonts w:ascii="Arial;sans-serif" w:hAnsi="Arial;sans-serif"/>
          <w:b w:val="false"/>
          <w:sz w:val="18"/>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00" w:after="0"/>
        <w:jc w:val="both"/>
        <w:rPr>
          <w:rFonts w:ascii="Arial;sans-serif" w:hAnsi="Arial;sans-serif"/>
          <w:b/>
          <w:i/>
          <w:sz w:val="18"/>
        </w:rPr>
      </w:pPr>
      <w:r>
        <w:rPr>
          <w:rFonts w:ascii="Arial;sans-serif" w:hAnsi="Arial;sans-serif"/>
          <w:b/>
          <w:i/>
          <w:sz w:val="18"/>
        </w:rPr>
        <w:t>We maintain our cash at financial institutions, often in balances that exceed federally insured limits.*</w:t>
      </w:r>
    </w:p>
    <w:p>
      <w:pPr>
        <w:pStyle w:val="TextBody"/>
        <w:bidi w:val="0"/>
        <w:spacing w:before="200" w:after="0"/>
        <w:jc w:val="both"/>
        <w:rPr>
          <w:rFonts w:ascii="Arial;sans-serif" w:hAnsi="Arial;sans-serif"/>
          <w:b w:val="false"/>
          <w:sz w:val="18"/>
        </w:rPr>
      </w:pPr>
      <w:r>
        <w:rPr>
          <w:rFonts w:ascii="Arial;sans-serif" w:hAnsi="Arial;sans-serif"/>
          <w:b w:val="false"/>
          <w:sz w:val="18"/>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recently took control of SVB, Signature Bank, Silvergate Capital Corp and First Republic Bank.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200" w:after="0"/>
        <w:jc w:val="both"/>
        <w:rPr>
          <w:rFonts w:ascii="Arial;sans-serif" w:hAnsi="Arial;sans-serif"/>
          <w:b/>
          <w:i/>
          <w:sz w:val="18"/>
        </w:rPr>
      </w:pPr>
      <w:r>
        <w:rPr>
          <w:rFonts w:ascii="Arial;sans-serif" w:hAnsi="Arial;sans-serif"/>
          <w:b/>
          <w:i/>
          <w:sz w:val="18"/>
        </w:rPr>
        <w:t>Insiders may exercise significant control over our company and will be able to influence corporate matters.</w:t>
      </w:r>
    </w:p>
    <w:p>
      <w:pPr>
        <w:pStyle w:val="TextBody"/>
        <w:bidi w:val="0"/>
        <w:spacing w:before="200" w:after="0"/>
        <w:jc w:val="both"/>
        <w:rPr>
          <w:rFonts w:ascii="Arial;sans-serif" w:hAnsi="Arial;sans-serif"/>
          <w:b w:val="false"/>
          <w:sz w:val="18"/>
        </w:rPr>
      </w:pPr>
      <w:r>
        <w:rPr>
          <w:rFonts w:ascii="Arial;sans-serif" w:hAnsi="Arial;sans-serif"/>
          <w:b w:val="false"/>
          <w:sz w:val="18"/>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pStyle w:val="TextBody"/>
        <w:bidi w:val="0"/>
        <w:spacing w:before="200" w:after="0"/>
        <w:jc w:val="both"/>
        <w:rPr>
          <w:rFonts w:ascii="Arial;sans-serif" w:hAnsi="Arial;sans-serif"/>
          <w:b/>
          <w:i/>
          <w:sz w:val="18"/>
        </w:rPr>
      </w:pPr>
      <w:r>
        <w:rPr>
          <w:rFonts w:ascii="Arial;sans-serif" w:hAnsi="Arial;sans-serif"/>
          <w:b/>
          <w:i/>
          <w:sz w:val="18"/>
        </w:rPr>
        <w:t>Future sales of shares by existing stockholders, or the perception that such sales could occur, could cause our stock price to decline.*</w:t>
      </w:r>
    </w:p>
    <w:p>
      <w:pPr>
        <w:pStyle w:val="TextBody"/>
        <w:bidi w:val="0"/>
        <w:spacing w:before="200" w:after="0"/>
        <w:jc w:val="both"/>
        <w:rPr>
          <w:rFonts w:ascii="Arial;sans-serif" w:hAnsi="Arial;sans-serif"/>
          <w:b w:val="false"/>
          <w:sz w:val="18"/>
        </w:rPr>
      </w:pPr>
      <w:r>
        <w:rPr>
          <w:rFonts w:ascii="Arial;sans-serif" w:hAnsi="Arial;sans-serif"/>
          <w:b w:val="false"/>
          <w:sz w:val="18"/>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June 30, 2023, we had 48,507,101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June 30, 2023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pStyle w:val="TextBody"/>
        <w:bidi w:val="0"/>
        <w:spacing w:before="240" w:after="0"/>
        <w:jc w:val="center"/>
        <w:rPr>
          <w:rFonts w:ascii="Arial;sans-serif" w:hAnsi="Arial;sans-serif"/>
          <w:b w:val="false"/>
          <w:sz w:val="18"/>
        </w:rPr>
      </w:pPr>
      <w:r>
        <w:rPr>
          <w:rFonts w:ascii="Arial;sans-serif" w:hAnsi="Arial;sans-serif"/>
          <w:b w:val="false"/>
          <w:sz w:val="18"/>
        </w:rPr>
        <w:t>65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i/>
          <w:sz w:val="18"/>
        </w:rPr>
      </w:pPr>
      <w:r>
        <w:rPr>
          <w:rFonts w:ascii="Arial;sans-serif" w:hAnsi="Arial;sans-serif"/>
          <w:b/>
          <w:i/>
          <w:sz w:val="18"/>
        </w:rPr>
        <w:t>We do not currently intend to pay dividends on our common stock and, consequently, your ability to achieve a return on your investment will depend on appreciation of the value of our common stock.</w:t>
      </w:r>
    </w:p>
    <w:p>
      <w:pPr>
        <w:pStyle w:val="TextBody"/>
        <w:bidi w:val="0"/>
        <w:spacing w:before="200" w:after="0"/>
        <w:jc w:val="both"/>
        <w:rPr>
          <w:rFonts w:ascii="Arial;sans-serif" w:hAnsi="Arial;sans-serif"/>
          <w:b w:val="false"/>
          <w:sz w:val="18"/>
        </w:rPr>
      </w:pPr>
      <w:r>
        <w:rPr>
          <w:rFonts w:ascii="Arial;sans-serif" w:hAnsi="Arial;sans-serif"/>
          <w:b w:val="false"/>
          <w:sz w:val="18"/>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pStyle w:val="TextBody"/>
        <w:bidi w:val="0"/>
        <w:spacing w:before="200" w:after="0"/>
        <w:jc w:val="both"/>
        <w:rPr>
          <w:rFonts w:ascii="Arial;sans-serif" w:hAnsi="Arial;sans-serif"/>
          <w:b/>
          <w:i/>
          <w:sz w:val="18"/>
        </w:rPr>
      </w:pPr>
      <w:r>
        <w:rPr>
          <w:rFonts w:ascii="Arial;sans-serif" w:hAnsi="Arial;sans-serif"/>
          <w:b/>
          <w:i/>
          <w:sz w:val="18"/>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pStyle w:val="TextBody"/>
        <w:bidi w:val="0"/>
        <w:spacing w:before="200" w:after="0"/>
        <w:jc w:val="both"/>
        <w:rPr>
          <w:rFonts w:ascii="Arial;sans-serif" w:hAnsi="Arial;sans-serif"/>
          <w:b w:val="false"/>
          <w:sz w:val="18"/>
        </w:rPr>
      </w:pPr>
      <w:r>
        <w:rPr>
          <w:rFonts w:ascii="Arial;sans-serif" w:hAnsi="Arial;sans-serif"/>
          <w:b w:val="false"/>
          <w:sz w:val="18"/>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pStyle w:val="TextBody"/>
        <w:bidi w:val="0"/>
        <w:spacing w:before="200" w:after="0"/>
        <w:jc w:val="both"/>
        <w:rPr>
          <w:rFonts w:ascii="Arial;sans-serif" w:hAnsi="Arial;sans-serif"/>
          <w:b/>
          <w:i/>
          <w:sz w:val="18"/>
        </w:rPr>
      </w:pPr>
      <w:r>
        <w:rPr>
          <w:rFonts w:ascii="Arial;sans-serif" w:hAnsi="Arial;sans-serif"/>
          <w:b/>
          <w:i/>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200" w:after="0"/>
        <w:jc w:val="both"/>
        <w:rPr>
          <w:rFonts w:ascii="Arial;sans-serif" w:hAnsi="Arial;sans-serif"/>
          <w:b w:val="false"/>
          <w:sz w:val="18"/>
        </w:rPr>
      </w:pPr>
      <w:r>
        <w:rPr>
          <w:rFonts w:ascii="Arial;sans-serif" w:hAnsi="Arial;sans-serif"/>
          <w:b w:val="false"/>
          <w:sz w:val="18"/>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pStyle w:val="TextBody"/>
        <w:bidi w:val="0"/>
        <w:spacing w:before="200" w:after="0"/>
        <w:jc w:val="both"/>
        <w:rPr>
          <w:rFonts w:ascii="Arial;sans-serif" w:hAnsi="Arial;sans-serif"/>
          <w:b/>
          <w:i/>
          <w:sz w:val="18"/>
        </w:rPr>
      </w:pPr>
      <w:r>
        <w:rPr>
          <w:rFonts w:ascii="Arial;sans-serif" w:hAnsi="Arial;sans-serif"/>
          <w:b/>
          <w:i/>
          <w:sz w:val="18"/>
        </w:rPr>
        <w:t>Holders of our common stock could be adversely affected if we issue preferred stock.</w:t>
      </w:r>
    </w:p>
    <w:p>
      <w:pPr>
        <w:pStyle w:val="TextBody"/>
        <w:bidi w:val="0"/>
        <w:spacing w:before="200" w:after="0"/>
        <w:jc w:val="both"/>
        <w:rPr>
          <w:rFonts w:ascii="Arial;sans-serif" w:hAnsi="Arial;sans-serif"/>
          <w:b w:val="false"/>
          <w:sz w:val="18"/>
        </w:rPr>
      </w:pPr>
      <w:r>
        <w:rPr>
          <w:rFonts w:ascii="Arial;sans-serif" w:hAnsi="Arial;sans-serif"/>
          <w:b w:val="false"/>
          <w:sz w:val="18"/>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pStyle w:val="TextBody"/>
        <w:bidi w:val="0"/>
        <w:spacing w:before="200" w:after="0"/>
        <w:jc w:val="both"/>
        <w:rPr>
          <w:rFonts w:ascii="Arial;sans-serif" w:hAnsi="Arial;sans-serif"/>
          <w:b/>
          <w:i/>
          <w:sz w:val="18"/>
        </w:rPr>
      </w:pPr>
      <w:r>
        <w:rPr>
          <w:rFonts w:ascii="Arial;sans-serif" w:hAnsi="Arial;sans-serif"/>
          <w:b/>
          <w:i/>
          <w:sz w:val="18"/>
        </w:rPr>
        <w:t>Our ability to use net operating losses to offset future taxable income may be subject to limitations.</w:t>
      </w:r>
    </w:p>
    <w:p>
      <w:pPr>
        <w:pStyle w:val="TextBody"/>
        <w:bidi w:val="0"/>
        <w:spacing w:before="200" w:after="0"/>
        <w:jc w:val="both"/>
        <w:rPr>
          <w:rFonts w:ascii="Arial;sans-serif" w:hAnsi="Arial;sans-serif"/>
          <w:b w:val="false"/>
          <w:sz w:val="18"/>
        </w:rPr>
      </w:pPr>
      <w:r>
        <w:rPr>
          <w:rFonts w:ascii="Arial;sans-serif" w:hAnsi="Arial;sans-serif"/>
          <w:b w:val="false"/>
          <w:sz w:val="18"/>
        </w:rPr>
        <w:t>As of December 31, 2022, we had federal and state net operating loss carryforwards of approximately $249.1 million and approximately $229.7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pStyle w:val="TextBody"/>
        <w:bidi w:val="0"/>
        <w:spacing w:before="240" w:after="0"/>
        <w:jc w:val="center"/>
        <w:rPr>
          <w:rFonts w:ascii="Arial;sans-serif" w:hAnsi="Arial;sans-serif"/>
          <w:b w:val="false"/>
          <w:sz w:val="18"/>
        </w:rPr>
      </w:pPr>
      <w:r>
        <w:rPr>
          <w:rFonts w:ascii="Arial;sans-serif" w:hAnsi="Arial;sans-serif"/>
          <w:b w:val="false"/>
          <w:sz w:val="18"/>
        </w:rPr>
        <w:t>66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i/>
          <w:sz w:val="18"/>
        </w:rPr>
      </w:pPr>
      <w:r>
        <w:rPr>
          <w:rFonts w:ascii="Arial;sans-serif" w:hAnsi="Arial;sans-serif"/>
          <w:b/>
          <w:i/>
          <w:sz w:val="18"/>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200" w:after="0"/>
        <w:jc w:val="both"/>
        <w:rPr>
          <w:rFonts w:ascii="Arial;sans-serif" w:hAnsi="Arial;sans-serif"/>
          <w:b w:val="false"/>
          <w:sz w:val="18"/>
        </w:rPr>
      </w:pPr>
      <w:r>
        <w:rPr>
          <w:rFonts w:ascii="Arial;sans-serif" w:hAnsi="Arial;sans-serif"/>
          <w:b w:val="false"/>
          <w:sz w:val="18"/>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establish a classified board of directors so that not all members of our board of directors are elected at one time;</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authorize the issuance of “blank check” preferred stock that our board of directors could use to implement a stockholder rights plan;</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permit the board of directors to establish the number of directors and fill any vacancies and newly-created directorships;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provide that directors may only be removed for cause;</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require super-majority voting to amend some provisions in our certificate of incorporation and bylaws;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eliminate the ability of our stockholders to call special meetings of stockholders;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prohibit stockholder action by written consent, which requires all stockholder actions to be taken at a meeting of our stockholders;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provide that the board of directors is expressly authorized to make, alter, or repeal our bylaws;</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restrict the forum for certain litigation against us to Delaware; and</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establish advance notice requirements for nominations for election to our board of directors or for proposing matters that can be acted upon by stockholders at annual stockholder meetings.</w:t>
      </w:r>
    </w:p>
    <w:p>
      <w:pPr>
        <w:pStyle w:val="TextBody"/>
        <w:bidi w:val="0"/>
        <w:spacing w:before="200" w:after="0"/>
        <w:jc w:val="both"/>
        <w:rPr>
          <w:rFonts w:ascii="Arial;sans-serif" w:hAnsi="Arial;sans-serif"/>
          <w:b w:val="false"/>
          <w:sz w:val="18"/>
        </w:rPr>
      </w:pPr>
      <w:r>
        <w:rPr>
          <w:rFonts w:ascii="Arial;sans-serif" w:hAnsi="Arial;sans-serif"/>
          <w:b w:val="false"/>
          <w:sz w:val="18"/>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00" w:after="0"/>
        <w:jc w:val="both"/>
        <w:rPr>
          <w:rFonts w:ascii="Arial;sans-serif" w:hAnsi="Arial;sans-serif"/>
          <w:b/>
          <w:i/>
          <w:sz w:val="18"/>
        </w:rPr>
      </w:pPr>
      <w:r>
        <w:rPr>
          <w:rFonts w:ascii="Arial;sans-serif" w:hAnsi="Arial;sans-serif"/>
          <w:b/>
          <w:i/>
          <w:sz w:val="18"/>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200" w:after="0"/>
        <w:jc w:val="both"/>
        <w:rPr>
          <w:rFonts w:ascii="Arial;sans-serif" w:hAnsi="Arial;sans-serif"/>
          <w:b w:val="false"/>
          <w:sz w:val="18"/>
        </w:rPr>
      </w:pPr>
      <w:r>
        <w:rPr>
          <w:rFonts w:ascii="Arial;sans-serif" w:hAnsi="Arial;sans-serif"/>
          <w:b w:val="false"/>
          <w:sz w:val="18"/>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any derivative action or proceeding brought on our behalf;</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any action asserting a breach of fiduciary duty;</w:t>
      </w:r>
    </w:p>
    <w:p>
      <w:pPr>
        <w:pStyle w:val="TextBody"/>
        <w:bidi w:val="0"/>
        <w:spacing w:before="200" w:after="0"/>
        <w:jc w:val="both"/>
        <w:rPr/>
      </w:pPr>
      <w:r>
        <w:rPr/>
        <w:t>•</w:t>
      </w:r>
    </w:p>
    <w:p>
      <w:pPr>
        <w:pStyle w:val="TextBody"/>
        <w:bidi w:val="0"/>
        <w:spacing w:before="200" w:after="0"/>
        <w:jc w:val="both"/>
        <w:rPr>
          <w:rFonts w:ascii="Arial;sans-serif" w:hAnsi="Arial;sans-serif"/>
          <w:b w:val="false"/>
          <w:sz w:val="18"/>
        </w:rPr>
      </w:pPr>
      <w:r>
        <w:rPr>
          <w:rFonts w:ascii="Arial;sans-serif" w:hAnsi="Arial;sans-serif"/>
          <w:b w:val="false"/>
          <w:sz w:val="18"/>
        </w:rPr>
        <w:t>any action asserting a claim against us arising under the Delaware General Corporation Law, our amended and restated certificate of incorporation, or our amended and restated bylaws; and</w:t>
      </w:r>
    </w:p>
    <w:p>
      <w:pPr>
        <w:pStyle w:val="TextBody"/>
        <w:bidi w:val="0"/>
        <w:spacing w:before="200" w:after="0"/>
        <w:jc w:val="both"/>
        <w:rPr/>
      </w:pPr>
      <w:r>
        <w:rPr/>
        <w:t>•</w:t>
      </w:r>
    </w:p>
    <w:p>
      <w:pPr>
        <w:pStyle w:val="TextBody"/>
        <w:bidi w:val="0"/>
        <w:spacing w:before="200" w:after="283"/>
        <w:jc w:val="both"/>
        <w:rPr>
          <w:rFonts w:ascii="Arial;sans-serif" w:hAnsi="Arial;sans-serif"/>
          <w:b w:val="false"/>
          <w:sz w:val="18"/>
        </w:rPr>
      </w:pPr>
      <w:r>
        <w:rPr>
          <w:rFonts w:ascii="Arial;sans-serif" w:hAnsi="Arial;sans-serif"/>
          <w:b w:val="false"/>
          <w:sz w:val="18"/>
        </w:rPr>
        <w:t>any action asserting a claim against us that is governed by the internal-affairs doctrine.</w:t>
      </w:r>
    </w:p>
    <w:p>
      <w:pPr>
        <w:pStyle w:val="TextBody"/>
        <w:bidi w:val="0"/>
        <w:spacing w:before="200" w:after="0"/>
        <w:jc w:val="both"/>
        <w:rPr>
          <w:rFonts w:ascii="Arial;sans-serif" w:hAnsi="Arial;sans-serif"/>
          <w:b w:val="false"/>
          <w:sz w:val="18"/>
        </w:rPr>
      </w:pPr>
      <w:r>
        <w:rPr>
          <w:rFonts w:ascii="Arial;sans-serif" w:hAnsi="Arial;sans-serif"/>
          <w:b w:val="false"/>
          <w:sz w:val="18"/>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00" w:after="0"/>
        <w:jc w:val="both"/>
        <w:rPr>
          <w:rFonts w:ascii="Times New Roman" w:hAnsi="Times New Roman"/>
          <w:sz w:val="20"/>
        </w:rPr>
      </w:pPr>
      <w:r>
        <w:rPr>
          <w:rFonts w:ascii="Arial;sans-serif" w:hAnsi="Arial;sans-serif"/>
          <w:b w:val="false"/>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w:t>
      </w:r>
      <w:r>
        <w:rPr>
          <w:rFonts w:ascii="Times New Roman" w:hAnsi="Times New Roman"/>
          <w:sz w:val="20"/>
        </w:rPr>
        <w:t xml:space="preserve"> </w:t>
      </w:r>
    </w:p>
    <w:p>
      <w:pPr>
        <w:pStyle w:val="TextBody"/>
        <w:bidi w:val="0"/>
        <w:spacing w:before="240" w:after="0"/>
        <w:jc w:val="center"/>
        <w:rPr>
          <w:rFonts w:ascii="Arial;sans-serif" w:hAnsi="Arial;sans-serif"/>
          <w:b w:val="false"/>
          <w:sz w:val="18"/>
        </w:rPr>
      </w:pPr>
      <w:r>
        <w:rPr>
          <w:rFonts w:ascii="Arial;sans-serif" w:hAnsi="Arial;sans-serif"/>
          <w:b w:val="false"/>
          <w:sz w:val="18"/>
        </w:rPr>
        <w:t>67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before="200" w:after="0"/>
        <w:jc w:val="both"/>
        <w:rPr>
          <w:rFonts w:ascii="Arial;sans-serif" w:hAnsi="Arial;sans-serif"/>
          <w:b/>
          <w:i/>
          <w:sz w:val="18"/>
        </w:rPr>
      </w:pPr>
      <w:r>
        <w:rPr>
          <w:rFonts w:ascii="Arial;sans-serif" w:hAnsi="Arial;sans-serif"/>
          <w:b/>
          <w:i/>
          <w:sz w:val="18"/>
        </w:rPr>
        <w:t>The requirements of being a public company consume substantial resources, may result in litigation and may divert management’s attention.</w:t>
      </w:r>
    </w:p>
    <w:p>
      <w:pPr>
        <w:pStyle w:val="TextBody"/>
        <w:bidi w:val="0"/>
        <w:spacing w:before="200" w:after="0"/>
        <w:jc w:val="both"/>
        <w:rPr>
          <w:rFonts w:ascii="Arial;sans-serif" w:hAnsi="Arial;sans-serif"/>
          <w:b w:val="false"/>
          <w:sz w:val="18"/>
        </w:rPr>
      </w:pPr>
      <w:r>
        <w:rPr>
          <w:rFonts w:ascii="Arial;sans-serif" w:hAnsi="Arial;sans-serif"/>
          <w:b w:val="false"/>
          <w:sz w:val="18"/>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bidi w:val="0"/>
        <w:spacing w:before="200" w:after="0"/>
        <w:jc w:val="both"/>
        <w:rPr>
          <w:rFonts w:ascii="Arial;sans-serif" w:hAnsi="Arial;sans-serif"/>
          <w:b w:val="false"/>
          <w:sz w:val="18"/>
        </w:rPr>
      </w:pPr>
      <w:r>
        <w:rPr>
          <w:rFonts w:ascii="Arial;sans-serif" w:hAnsi="Arial;sans-serif"/>
          <w:b w:val="false"/>
          <w:sz w:val="18"/>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200" w:after="0"/>
        <w:jc w:val="both"/>
        <w:rPr>
          <w:rFonts w:ascii="Arial;sans-serif" w:hAnsi="Arial;sans-serif"/>
          <w:b w:val="false"/>
          <w:sz w:val="18"/>
        </w:rPr>
      </w:pPr>
      <w:r>
        <w:rPr>
          <w:rFonts w:ascii="Arial;sans-serif" w:hAnsi="Arial;sans-serif"/>
          <w:b w:val="false"/>
          <w:sz w:val="18"/>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pStyle w:val="TextBody"/>
        <w:bidi w:val="0"/>
        <w:spacing w:before="200" w:after="0"/>
        <w:jc w:val="both"/>
        <w:rPr>
          <w:rFonts w:ascii="Arial;sans-serif" w:hAnsi="Arial;sans-serif"/>
          <w:b/>
          <w:i/>
          <w:sz w:val="18"/>
        </w:rPr>
      </w:pPr>
      <w:r>
        <w:rPr>
          <w:rFonts w:ascii="Arial;sans-serif" w:hAnsi="Arial;sans-serif"/>
          <w:b/>
          <w:i/>
          <w:sz w:val="18"/>
        </w:rPr>
        <w:t>We are a smaller reporting company, and any decision on our part to avail ourselves of certain reduced reporting and disclosure requirements applicable to smaller reporting companies could make our common stock less attractive to investors.</w:t>
      </w:r>
    </w:p>
    <w:p>
      <w:pPr>
        <w:pStyle w:val="TextBody"/>
        <w:bidi w:val="0"/>
        <w:spacing w:before="200" w:after="0"/>
        <w:jc w:val="both"/>
        <w:rPr>
          <w:rFonts w:ascii="Times New Roman" w:hAnsi="Times New Roman"/>
          <w:sz w:val="20"/>
        </w:rPr>
      </w:pPr>
      <w:r>
        <w:rPr>
          <w:rFonts w:ascii="Arial;sans-serif" w:hAnsi="Arial;sans-serif"/>
          <w:b w:val="false"/>
          <w:sz w:val="18"/>
        </w:rPr>
        <w:t>We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r>
        <w:rPr>
          <w:rFonts w:ascii="Times New Roman" w:hAnsi="Times New Roman"/>
          <w:sz w:val="20"/>
        </w:rPr>
        <w:t xml:space="preserve"> </w:t>
      </w:r>
    </w:p>
    <w:p>
      <w:pPr>
        <w:pStyle w:val="TextBody"/>
        <w:bidi w:val="0"/>
        <w:spacing w:before="200" w:after="0"/>
        <w:jc w:val="both"/>
        <w:rPr>
          <w:rFonts w:ascii="Arial;sans-serif" w:hAnsi="Arial;sans-serif"/>
          <w:b w:val="false"/>
          <w:sz w:val="18"/>
        </w:rPr>
      </w:pPr>
      <w:r>
        <w:rPr>
          <w:rFonts w:ascii="Arial;sans-serif" w:hAnsi="Arial;sans-serif"/>
          <w:b w:val="false"/>
          <w:sz w:val="18"/>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before="200" w:after="0"/>
        <w:jc w:val="both"/>
        <w:rPr>
          <w:rFonts w:ascii="Arial;sans-serif" w:hAnsi="Arial;sans-serif"/>
          <w:b/>
          <w:i/>
          <w:sz w:val="18"/>
        </w:rPr>
      </w:pPr>
      <w:r>
        <w:rPr>
          <w:rFonts w:ascii="Arial;sans-serif" w:hAnsi="Arial;sans-serif"/>
          <w:b/>
          <w:i/>
          <w:sz w:val="18"/>
        </w:rPr>
        <w:t>Our disclosure controls and procedures may not prevent or detect all errors or acts of fraud.</w:t>
      </w:r>
    </w:p>
    <w:p>
      <w:pPr>
        <w:pStyle w:val="TextBody"/>
        <w:bidi w:val="0"/>
        <w:spacing w:before="200" w:after="0"/>
        <w:jc w:val="both"/>
        <w:rPr>
          <w:rFonts w:ascii="Arial;sans-serif" w:hAnsi="Arial;sans-serif"/>
          <w:b w:val="false"/>
          <w:sz w:val="18"/>
        </w:rPr>
      </w:pPr>
      <w:r>
        <w:rPr>
          <w:rFonts w:ascii="Arial;sans-serif" w:hAnsi="Arial;sans-serif"/>
          <w:b w:val="false"/>
          <w:sz w:val="18"/>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pStyle w:val="TextBody"/>
        <w:bidi w:val="0"/>
        <w:spacing w:before="240" w:after="0"/>
        <w:jc w:val="center"/>
        <w:rPr>
          <w:rFonts w:ascii="Arial;sans-serif" w:hAnsi="Arial;sans-serif"/>
          <w:b w:val="false"/>
          <w:sz w:val="18"/>
        </w:rPr>
      </w:pPr>
      <w:r>
        <w:rPr>
          <w:rFonts w:ascii="Arial;sans-serif" w:hAnsi="Arial;sans-serif"/>
          <w:b w:val="false"/>
          <w:sz w:val="18"/>
        </w:rPr>
        <w:t>68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val="false"/>
          <w:sz w:val="18"/>
        </w:rPr>
      </w:pPr>
      <w:r>
        <w:rPr>
          <w:rFonts w:ascii="Arial;sans-serif" w:hAnsi="Arial;sans-serif"/>
          <w:b w:val="false"/>
          <w:sz w:val="18"/>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pStyle w:val="TextBody"/>
        <w:bidi w:val="0"/>
        <w:spacing w:before="200" w:after="0"/>
        <w:jc w:val="both"/>
        <w:rPr>
          <w:rFonts w:ascii="Arial;sans-serif" w:hAnsi="Arial;sans-serif"/>
          <w:b/>
          <w:i/>
          <w:sz w:val="18"/>
        </w:rPr>
      </w:pPr>
      <w:r>
        <w:rPr>
          <w:rFonts w:ascii="Arial;sans-serif" w:hAnsi="Arial;sans-serif"/>
          <w:b/>
          <w:i/>
          <w:sz w:val="18"/>
        </w:rPr>
        <w:t>If we fail to maintain effective internal control over financial reporting in the future, the accuracy and timing of our financial reporting may be adversely affected.</w:t>
      </w:r>
    </w:p>
    <w:p>
      <w:pPr>
        <w:pStyle w:val="TextBody"/>
        <w:bidi w:val="0"/>
        <w:spacing w:before="200" w:after="0"/>
        <w:jc w:val="both"/>
        <w:rPr>
          <w:rFonts w:ascii="Times New Roman" w:hAnsi="Times New Roman"/>
          <w:sz w:val="20"/>
        </w:rPr>
      </w:pPr>
      <w:r>
        <w:rPr>
          <w:rFonts w:ascii="Arial;sans-serif" w:hAnsi="Arial;sans-serif"/>
          <w:b w:val="false"/>
          <w:sz w:val="18"/>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r>
        <w:rPr>
          <w:rFonts w:ascii="Times New Roman" w:hAnsi="Times New Roman"/>
          <w:sz w:val="20"/>
        </w:rPr>
        <w:t xml:space="preserve"> </w:t>
      </w:r>
    </w:p>
    <w:p>
      <w:pPr>
        <w:pStyle w:val="TextBody"/>
        <w:bidi w:val="0"/>
        <w:spacing w:before="200" w:after="200"/>
        <w:jc w:val="both"/>
        <w:rPr>
          <w:rFonts w:ascii="Arial;sans-serif" w:hAnsi="Arial;sans-serif"/>
          <w:b w:val="false"/>
          <w:sz w:val="18"/>
        </w:rPr>
      </w:pPr>
      <w:r>
        <w:rPr>
          <w:rFonts w:ascii="Arial;sans-serif" w:hAnsi="Arial;sans-serif"/>
          <w:b w:val="false"/>
          <w:sz w:val="18"/>
        </w:rPr>
        <w:t>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240" w:after="0"/>
        <w:jc w:val="center"/>
        <w:rPr>
          <w:rFonts w:ascii="Arial;sans-serif" w:hAnsi="Arial;sans-serif"/>
          <w:b w:val="false"/>
          <w:sz w:val="18"/>
        </w:rPr>
      </w:pPr>
      <w:r>
        <w:rPr>
          <w:rFonts w:ascii="Arial;sans-serif" w:hAnsi="Arial;sans-serif"/>
          <w:b w:val="false"/>
          <w:sz w:val="18"/>
        </w:rPr>
        <w:t>69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30" w:name="item_2_unregistered_sales_equity_securit"/>
      <w:bookmarkEnd w:id="30"/>
      <w:r>
        <w:rPr>
          <w:rFonts w:ascii="Arial;sans-serif" w:hAnsi="Arial;sans-serif"/>
          <w:b/>
          <w:sz w:val="18"/>
        </w:rPr>
        <w:t>Item 2. Unregistered Sales</w:t>
      </w:r>
      <w:r>
        <w:rPr>
          <w:rFonts w:ascii="Times New Roman" w:hAnsi="Times New Roman"/>
          <w:sz w:val="20"/>
        </w:rPr>
        <w:t xml:space="preserve"> </w:t>
      </w:r>
      <w:r>
        <w:rPr>
          <w:rFonts w:ascii="Arial;sans-serif" w:hAnsi="Arial;sans-serif"/>
          <w:b/>
          <w:sz w:val="18"/>
        </w:rPr>
        <w:t>of Equity Securities and Use of Proceeds.</w:t>
      </w:r>
    </w:p>
    <w:p>
      <w:pPr>
        <w:pStyle w:val="TextBody"/>
        <w:bidi w:val="0"/>
        <w:spacing w:before="200" w:after="0"/>
        <w:jc w:val="both"/>
        <w:rPr>
          <w:rFonts w:ascii="Arial;sans-serif" w:hAnsi="Arial;sans-serif"/>
          <w:b w:val="false"/>
          <w:sz w:val="18"/>
        </w:rPr>
      </w:pPr>
      <w:r>
        <w:rPr>
          <w:rFonts w:ascii="Arial;sans-serif" w:hAnsi="Arial;sans-serif"/>
          <w:b w:val="false"/>
          <w:sz w:val="18"/>
        </w:rPr>
        <w:t>None.</w:t>
      </w:r>
    </w:p>
    <w:p>
      <w:pPr>
        <w:pStyle w:val="TextBody"/>
        <w:bidi w:val="0"/>
        <w:spacing w:before="200" w:after="0"/>
        <w:jc w:val="both"/>
        <w:rPr>
          <w:rFonts w:ascii="Arial;sans-serif" w:hAnsi="Arial;sans-serif"/>
          <w:b/>
          <w:sz w:val="18"/>
        </w:rPr>
      </w:pPr>
      <w:bookmarkStart w:id="31" w:name="item_3_defaults_upon_senior_securities"/>
      <w:bookmarkEnd w:id="31"/>
      <w:r>
        <w:rPr>
          <w:rFonts w:ascii="Arial;sans-serif" w:hAnsi="Arial;sans-serif"/>
          <w:b/>
          <w:sz w:val="18"/>
        </w:rPr>
        <w:t>Item 3. Defaults Upon Senior Securities.</w:t>
      </w:r>
    </w:p>
    <w:p>
      <w:pPr>
        <w:pStyle w:val="TextBody"/>
        <w:bidi w:val="0"/>
        <w:spacing w:before="200" w:after="0"/>
        <w:jc w:val="both"/>
        <w:rPr>
          <w:rFonts w:ascii="Arial;sans-serif" w:hAnsi="Arial;sans-serif"/>
          <w:b w:val="false"/>
          <w:sz w:val="18"/>
        </w:rPr>
      </w:pPr>
      <w:r>
        <w:rPr>
          <w:rFonts w:ascii="Arial;sans-serif" w:hAnsi="Arial;sans-serif"/>
          <w:b w:val="false"/>
          <w:sz w:val="18"/>
        </w:rPr>
        <w:t>None.</w:t>
      </w:r>
    </w:p>
    <w:p>
      <w:pPr>
        <w:pStyle w:val="TextBody"/>
        <w:bidi w:val="0"/>
        <w:spacing w:before="200" w:after="0"/>
        <w:jc w:val="both"/>
        <w:rPr>
          <w:rFonts w:ascii="Arial;sans-serif" w:hAnsi="Arial;sans-serif"/>
          <w:b/>
          <w:sz w:val="18"/>
        </w:rPr>
      </w:pPr>
      <w:bookmarkStart w:id="32" w:name="item_4_mine_safety_disclosures"/>
      <w:bookmarkEnd w:id="32"/>
      <w:r>
        <w:rPr>
          <w:rFonts w:ascii="Arial;sans-serif" w:hAnsi="Arial;sans-serif"/>
          <w:b/>
          <w:sz w:val="18"/>
        </w:rPr>
        <w:t>Item 4. Mine Safety Disclosures.</w:t>
      </w:r>
    </w:p>
    <w:p>
      <w:pPr>
        <w:pStyle w:val="TextBody"/>
        <w:bidi w:val="0"/>
        <w:spacing w:before="200" w:after="0"/>
        <w:jc w:val="both"/>
        <w:rPr>
          <w:rFonts w:ascii="Arial;sans-serif" w:hAnsi="Arial;sans-serif"/>
          <w:b w:val="false"/>
          <w:sz w:val="18"/>
        </w:rPr>
      </w:pPr>
      <w:r>
        <w:rPr>
          <w:rFonts w:ascii="Arial;sans-serif" w:hAnsi="Arial;sans-serif"/>
          <w:b w:val="false"/>
          <w:sz w:val="18"/>
        </w:rPr>
        <w:t>Not applicable.</w:t>
      </w:r>
    </w:p>
    <w:p>
      <w:pPr>
        <w:pStyle w:val="TextBody"/>
        <w:bidi w:val="0"/>
        <w:spacing w:before="200" w:after="0"/>
        <w:jc w:val="both"/>
        <w:rPr>
          <w:rFonts w:ascii="Arial;sans-serif" w:hAnsi="Arial;sans-serif"/>
          <w:b/>
          <w:sz w:val="18"/>
        </w:rPr>
      </w:pPr>
      <w:bookmarkStart w:id="33" w:name="item_5_other_information"/>
      <w:bookmarkEnd w:id="33"/>
      <w:r>
        <w:rPr>
          <w:rFonts w:ascii="Arial;sans-serif" w:hAnsi="Arial;sans-serif"/>
          <w:b/>
          <w:sz w:val="18"/>
        </w:rPr>
        <w:t>Item 5. Other Information.</w:t>
      </w:r>
    </w:p>
    <w:p>
      <w:pPr>
        <w:pStyle w:val="TextBody"/>
        <w:bidi w:val="0"/>
        <w:spacing w:before="200" w:after="0"/>
        <w:jc w:val="both"/>
        <w:rPr>
          <w:rFonts w:ascii="Arial;sans-serif" w:hAnsi="Arial;sans-serif"/>
          <w:b w:val="false"/>
          <w:sz w:val="18"/>
        </w:rPr>
      </w:pPr>
      <w:r>
        <w:rPr>
          <w:rFonts w:ascii="Arial;sans-serif" w:hAnsi="Arial;sans-serif"/>
          <w:b w:val="false"/>
          <w:sz w:val="18"/>
        </w:rPr>
        <w:t>None.</w:t>
      </w:r>
    </w:p>
    <w:p>
      <w:pPr>
        <w:pStyle w:val="TextBody"/>
        <w:bidi w:val="0"/>
        <w:spacing w:before="240" w:after="0"/>
        <w:jc w:val="center"/>
        <w:rPr>
          <w:rFonts w:ascii="Arial;sans-serif" w:hAnsi="Arial;sans-serif"/>
          <w:b w:val="false"/>
          <w:sz w:val="18"/>
        </w:rPr>
      </w:pPr>
      <w:r>
        <w:rPr>
          <w:rFonts w:ascii="Arial;sans-serif" w:hAnsi="Arial;sans-serif"/>
          <w:b w:val="false"/>
          <w:sz w:val="18"/>
        </w:rPr>
        <w:t>70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200" w:after="0"/>
        <w:jc w:val="both"/>
        <w:rPr>
          <w:rFonts w:ascii="Arial;sans-serif" w:hAnsi="Arial;sans-serif"/>
          <w:b/>
          <w:sz w:val="18"/>
        </w:rPr>
      </w:pPr>
      <w:bookmarkStart w:id="34" w:name="item_6_exhibits"/>
      <w:bookmarkEnd w:id="34"/>
      <w:r>
        <w:rPr>
          <w:rFonts w:ascii="Arial;sans-serif" w:hAnsi="Arial;sans-serif"/>
          <w:b/>
          <w:sz w:val="18"/>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928"/>
        <w:gridCol w:w="146"/>
        <w:gridCol w:w="556"/>
        <w:gridCol w:w="146"/>
        <w:gridCol w:w="743"/>
        <w:gridCol w:w="146"/>
        <w:gridCol w:w="691"/>
        <w:gridCol w:w="146"/>
        <w:gridCol w:w="74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74"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Incorporated by Reference</w:t>
            </w:r>
          </w:p>
        </w:tc>
      </w:tr>
      <w:tr>
        <w:trPr/>
        <w:tc>
          <w:tcPr>
            <w:tcW w:w="8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sz w:val="18"/>
              </w:rPr>
            </w:pPr>
            <w:r>
              <w:rPr>
                <w:rFonts w:ascii="Arial;sans-serif" w:hAnsi="Arial;sans-serif"/>
                <w:b/>
                <w:sz w:val="18"/>
              </w:rPr>
              <w:t>Exhibit</w:t>
            </w:r>
          </w:p>
          <w:p>
            <w:pPr>
              <w:pStyle w:val="TableContents"/>
              <w:bidi w:val="0"/>
              <w:spacing w:before="0" w:after="0"/>
              <w:ind w:left="0" w:right="0" w:hanging="0"/>
              <w:jc w:val="left"/>
              <w:rPr>
                <w:rFonts w:ascii="Arial;sans-serif" w:hAnsi="Arial;sans-serif"/>
                <w:b/>
                <w:sz w:val="18"/>
              </w:rPr>
            </w:pPr>
            <w:r>
              <w:rPr>
                <w:rFonts w:ascii="Arial;sans-serif" w:hAnsi="Arial;sans-serif"/>
                <w:b/>
                <w:sz w:val="18"/>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28"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Description</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5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Form</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4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File No.</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Exhibit</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Arial;sans-serif" w:hAnsi="Arial;sans-serif"/>
                <w:b/>
                <w:sz w:val="18"/>
              </w:rPr>
            </w:pPr>
            <w:r>
              <w:rPr>
                <w:rFonts w:ascii="Arial;sans-serif" w:hAnsi="Arial;sans-serif"/>
                <w:b/>
                <w:sz w:val="18"/>
              </w:rPr>
              <w:t>Filing</w:t>
            </w:r>
          </w:p>
          <w:p>
            <w:pPr>
              <w:pStyle w:val="TableContents"/>
              <w:bidi w:val="0"/>
              <w:spacing w:before="0" w:after="0"/>
              <w:ind w:left="0" w:right="0" w:hanging="0"/>
              <w:jc w:val="center"/>
              <w:rPr>
                <w:rFonts w:ascii="Arial;sans-serif" w:hAnsi="Arial;sans-serif"/>
                <w:b/>
                <w:sz w:val="18"/>
              </w:rPr>
            </w:pPr>
            <w:r>
              <w:rPr>
                <w:rFonts w:ascii="Arial;sans-serif" w:hAnsi="Arial;sans-serif"/>
                <w:b/>
                <w:sz w:val="18"/>
              </w:rPr>
              <w:t>Date</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6" w:type="dxa"/>
            <w:tcBorders/>
            <w:vAlign w:val="center"/>
          </w:tcPr>
          <w:p>
            <w:pPr>
              <w:pStyle w:val="TableContents"/>
              <w:bidi w:val="0"/>
              <w:spacing w:before="0" w:after="0"/>
              <w:ind w:left="0" w:right="0" w:hanging="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Arial;sans-serif" w:hAnsi="Arial;sans-serif"/>
                  <w:b w:val="false"/>
                  <w:sz w:val="18"/>
                  <w:u w:val="single"/>
                </w:rPr>
                <w:t>Amended and Restated Certificate of Incorporation of the Registrant.</w:t>
              </w:r>
            </w:hyperlink>
          </w:p>
        </w:tc>
        <w:tc>
          <w:tcPr>
            <w:tcW w:w="1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vAlign w:val="center"/>
          </w:tcPr>
          <w:p>
            <w:pPr>
              <w:pStyle w:val="TableContents"/>
              <w:bidi w:val="0"/>
              <w:spacing w:before="0" w:after="0"/>
              <w:ind w:left="0" w:right="0" w:hanging="0"/>
              <w:jc w:val="center"/>
              <w:rPr/>
            </w:pPr>
            <w:r>
              <w:rPr/>
              <w:t> </w:t>
            </w:r>
          </w:p>
        </w:tc>
        <w:tc>
          <w:tcPr>
            <w:tcW w:w="743"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3.1</w:t>
            </w:r>
          </w:p>
        </w:tc>
        <w:tc>
          <w:tcPr>
            <w:tcW w:w="146" w:type="dxa"/>
            <w:tcBorders/>
            <w:vAlign w:val="center"/>
          </w:tcPr>
          <w:p>
            <w:pPr>
              <w:pStyle w:val="TableContents"/>
              <w:bidi w:val="0"/>
              <w:spacing w:before="0" w:after="0"/>
              <w:ind w:left="0" w:right="0" w:hanging="0"/>
              <w:jc w:val="center"/>
              <w:rPr/>
            </w:pPr>
            <w:r>
              <w:rPr/>
              <w:t> </w:t>
            </w:r>
          </w:p>
        </w:tc>
        <w:tc>
          <w:tcPr>
            <w:tcW w:w="746"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6/24/2019</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Arial;sans-serif" w:hAnsi="Arial;sans-serif"/>
                  <w:b w:val="false"/>
                  <w:sz w:val="18"/>
                  <w:u w:val="single"/>
                </w:rPr>
                <w:t>Amended and Restated Bylaws of the Registrant.</w:t>
              </w:r>
            </w:hyperlink>
          </w:p>
        </w:tc>
        <w:tc>
          <w:tcPr>
            <w:tcW w:w="1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8-K</w:t>
            </w:r>
          </w:p>
        </w:tc>
        <w:tc>
          <w:tcPr>
            <w:tcW w:w="146" w:type="dxa"/>
            <w:tcBorders/>
            <w:vAlign w:val="center"/>
          </w:tcPr>
          <w:p>
            <w:pPr>
              <w:pStyle w:val="TableContents"/>
              <w:bidi w:val="0"/>
              <w:spacing w:before="0" w:after="0"/>
              <w:ind w:left="0" w:right="0" w:hanging="0"/>
              <w:jc w:val="center"/>
              <w:rPr/>
            </w:pPr>
            <w:r>
              <w:rPr/>
              <w:t> </w:t>
            </w:r>
          </w:p>
        </w:tc>
        <w:tc>
          <w:tcPr>
            <w:tcW w:w="743"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001-38943</w:t>
            </w:r>
          </w:p>
        </w:tc>
        <w:tc>
          <w:tcPr>
            <w:tcW w:w="1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3.1</w:t>
            </w:r>
          </w:p>
        </w:tc>
        <w:tc>
          <w:tcPr>
            <w:tcW w:w="146" w:type="dxa"/>
            <w:tcBorders/>
            <w:vAlign w:val="center"/>
          </w:tcPr>
          <w:p>
            <w:pPr>
              <w:pStyle w:val="TableContents"/>
              <w:bidi w:val="0"/>
              <w:spacing w:before="0" w:after="0"/>
              <w:ind w:left="0" w:right="0" w:hanging="0"/>
              <w:jc w:val="center"/>
              <w:rPr/>
            </w:pPr>
            <w:r>
              <w:rPr/>
              <w:t> </w:t>
            </w:r>
          </w:p>
        </w:tc>
        <w:tc>
          <w:tcPr>
            <w:tcW w:w="746" w:type="dxa"/>
            <w:tcBorders/>
            <w:vAlign w:val="center"/>
          </w:tcPr>
          <w:p>
            <w:pPr>
              <w:pStyle w:val="TableContents"/>
              <w:bidi w:val="0"/>
              <w:spacing w:before="0" w:after="0"/>
              <w:ind w:left="0" w:right="0" w:hanging="0"/>
              <w:jc w:val="center"/>
              <w:rPr>
                <w:rFonts w:ascii="Arial;sans-serif" w:hAnsi="Arial;sans-serif"/>
                <w:b w:val="false"/>
                <w:sz w:val="18"/>
              </w:rPr>
            </w:pPr>
            <w:r>
              <w:rPr>
                <w:rFonts w:ascii="Arial;sans-serif" w:hAnsi="Arial;sans-serif"/>
                <w:b w:val="false"/>
                <w:sz w:val="18"/>
              </w:rPr>
              <w:t>10/31/2022</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snl-ex31_1.htm">
              <w:r>
                <w:rPr>
                  <w:rStyle w:val="InternetLink"/>
                  <w:rFonts w:ascii="Arial;sans-serif" w:hAnsi="Arial;sans-serif"/>
                  <w:b w:val="false"/>
                  <w:sz w:val="18"/>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snl-ex31_2.htm">
              <w:r>
                <w:rPr>
                  <w:rStyle w:val="InternetLink"/>
                  <w:rFonts w:ascii="Arial;sans-serif" w:hAnsi="Arial;sans-serif"/>
                  <w:b w:val="false"/>
                  <w:sz w:val="18"/>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snl-ex32_1.htm">
              <w:r>
                <w:rPr>
                  <w:rStyle w:val="InternetLink"/>
                  <w:rFonts w:ascii="Arial;sans-serif" w:hAnsi="Arial;sans-serif"/>
                  <w:b w:val="false"/>
                  <w:sz w:val="18"/>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snl-ex32_2.htm">
              <w:r>
                <w:rPr>
                  <w:rStyle w:val="InternetLink"/>
                  <w:rFonts w:ascii="Arial;sans-serif" w:hAnsi="Arial;sans-serif"/>
                  <w:b w:val="false"/>
                  <w:sz w:val="18"/>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101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Inline XBRL Document Set for the condensed consolidated financial statements and accompanying notes in Part I, Item 1, “Financial Statements” of this Quarterly Report on Form 10-Q.</w:t>
            </w:r>
          </w:p>
        </w:tc>
        <w:tc>
          <w:tcPr>
            <w:tcW w:w="1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28"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Inline XBRL for the cover page of this Quarterly Report on Form 10-Q, included in the Exhibit 101 Inline XBRL Document Set.</w:t>
            </w:r>
          </w:p>
        </w:tc>
        <w:tc>
          <w:tcPr>
            <w:tcW w:w="14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40" w:after="0"/>
        <w:jc w:val="both"/>
        <w:rPr>
          <w:rFonts w:ascii="Arial;sans-serif" w:hAnsi="Arial;sans-serif"/>
          <w:b w:val="false"/>
          <w:sz w:val="16"/>
        </w:rPr>
      </w:pPr>
      <w:r>
        <w:rPr>
          <w:rFonts w:ascii="Arial;sans-serif" w:hAnsi="Arial;sans-serif"/>
          <w:b w:val="false"/>
          <w:sz w:val="16"/>
        </w:rPr>
        <w:t>* Indicates management contract or compensatory plan or arrangement.</w:t>
      </w:r>
    </w:p>
    <w:p>
      <w:pPr>
        <w:pStyle w:val="TextBody"/>
        <w:bidi w:val="0"/>
        <w:spacing w:before="40" w:after="0"/>
        <w:jc w:val="both"/>
        <w:rPr>
          <w:rFonts w:ascii="Arial;sans-serif" w:hAnsi="Arial;sans-serif"/>
          <w:b w:val="false"/>
          <w:sz w:val="16"/>
        </w:rPr>
      </w:pPr>
      <w:r>
        <w:rPr>
          <w:rFonts w:ascii="Arial;sans-serif" w:hAnsi="Arial;sans-serif"/>
          <w:b w:val="false"/>
          <w:sz w:val="16"/>
        </w:rPr>
        <w:t># Filed herewith.</w:t>
      </w:r>
    </w:p>
    <w:p>
      <w:pPr>
        <w:pStyle w:val="TextBody"/>
        <w:bidi w:val="0"/>
        <w:spacing w:before="40" w:after="0"/>
        <w:jc w:val="both"/>
        <w:rPr>
          <w:rFonts w:ascii="Arial;sans-serif" w:hAnsi="Arial;sans-serif"/>
          <w:b w:val="false"/>
          <w:sz w:val="16"/>
        </w:rPr>
      </w:pPr>
      <w:r>
        <w:rPr>
          <w:rFonts w:ascii="Arial;sans-serif" w:hAnsi="Arial;sans-serif"/>
          <w:b w:val="false"/>
          <w:sz w:val="16"/>
        </w:rPr>
        <w:t> 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0"/>
        <w:jc w:val="center"/>
        <w:rPr>
          <w:rFonts w:ascii="Arial;sans-serif" w:hAnsi="Arial;sans-serif"/>
          <w:b w:val="false"/>
          <w:sz w:val="18"/>
        </w:rPr>
      </w:pPr>
      <w:r>
        <w:rPr>
          <w:rFonts w:ascii="Arial;sans-serif" w:hAnsi="Arial;sans-serif"/>
          <w:b w:val="false"/>
          <w:sz w:val="18"/>
        </w:rPr>
        <w:t>71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able_of_contents">
        <w:r>
          <w:rPr>
            <w:rStyle w:val="InternetLink"/>
            <w:rFonts w:ascii="Arial;sans-serif" w:hAnsi="Arial;sans-serif"/>
            <w:b w:val="false"/>
            <w:sz w:val="16"/>
            <w:u w:val="single"/>
          </w:rPr>
          <w:t>Table of Contents</w:t>
        </w:r>
      </w:hyperlink>
    </w:p>
    <w:p>
      <w:pPr>
        <w:pStyle w:val="TextBody"/>
        <w:bidi w:val="0"/>
        <w:spacing w:before="0" w:after="0"/>
        <w:jc w:val="left"/>
        <w:rPr/>
      </w:pPr>
      <w:r>
        <w:rPr/>
        <w:t> </w:t>
      </w:r>
    </w:p>
    <w:p>
      <w:pPr>
        <w:pStyle w:val="TextBody"/>
        <w:bidi w:val="0"/>
        <w:spacing w:before="0" w:after="0"/>
        <w:jc w:val="center"/>
        <w:rPr>
          <w:rFonts w:ascii="Arial;sans-serif" w:hAnsi="Arial;sans-serif"/>
          <w:b/>
          <w:sz w:val="18"/>
        </w:rPr>
      </w:pPr>
      <w:bookmarkStart w:id="35" w:name="signatures"/>
      <w:bookmarkEnd w:id="35"/>
      <w:r>
        <w:rPr>
          <w:rFonts w:ascii="Arial;sans-serif" w:hAnsi="Arial;sans-serif"/>
          <w:b/>
          <w:sz w:val="18"/>
        </w:rPr>
        <w:t>SIGNATURES</w:t>
      </w:r>
    </w:p>
    <w:p>
      <w:pPr>
        <w:pStyle w:val="TextBody"/>
        <w:bidi w:val="0"/>
        <w:spacing w:before="240" w:after="0"/>
        <w:jc w:val="both"/>
        <w:rPr>
          <w:rFonts w:ascii="Arial;sans-serif" w:hAnsi="Arial;sans-serif"/>
          <w:b w:val="false"/>
          <w:sz w:val="18"/>
        </w:rPr>
      </w:pPr>
      <w:r>
        <w:rPr>
          <w:rFonts w:ascii="Arial;sans-serif" w:hAnsi="Arial;sans-serif"/>
          <w:b w:val="false"/>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554" w:type="dxa"/>
        <w:jc w:val="left"/>
        <w:tblInd w:w="0" w:type="dxa"/>
        <w:tblLayout w:type="fixed"/>
        <w:tblCellMar>
          <w:top w:w="28" w:type="dxa"/>
          <w:left w:w="28" w:type="dxa"/>
          <w:bottom w:w="28" w:type="dxa"/>
          <w:right w:w="28" w:type="dxa"/>
        </w:tblCellMar>
      </w:tblPr>
      <w:tblGrid>
        <w:gridCol w:w="1831"/>
        <w:gridCol w:w="146"/>
        <w:gridCol w:w="361"/>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Date: August 8,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57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Personalis, Inc.</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421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 Aaron Tachibana</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Aaron Tachibana</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Chief Financial Officer and Chief Operating Officer</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21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i/>
                <w:sz w:val="18"/>
              </w:rPr>
            </w:pPr>
            <w:r>
              <w:rPr>
                <w:rFonts w:ascii="Arial;sans-serif" w:hAnsi="Arial;sans-serif"/>
                <w:b w:val="false"/>
                <w:i/>
                <w:sz w:val="18"/>
              </w:rPr>
              <w:t>(Duly Authorized Officer)</w:t>
            </w:r>
          </w:p>
        </w:tc>
      </w:tr>
    </w:tbl>
    <w:p>
      <w:pPr>
        <w:pStyle w:val="TextBody"/>
        <w:bidi w:val="0"/>
        <w:spacing w:before="0" w:after="0"/>
        <w:jc w:val="left"/>
        <w:rPr/>
      </w:pPr>
      <w:r>
        <w:rPr/>
        <w:t> </w:t>
      </w:r>
    </w:p>
    <w:p>
      <w:pPr>
        <w:pStyle w:val="TextBody"/>
        <w:bidi w:val="0"/>
        <w:spacing w:before="240" w:after="0"/>
        <w:jc w:val="center"/>
        <w:rPr>
          <w:rFonts w:ascii="Arial;sans-serif" w:hAnsi="Arial;sans-serif"/>
          <w:b w:val="false"/>
          <w:sz w:val="18"/>
        </w:rPr>
      </w:pPr>
      <w:r>
        <w:rPr>
          <w:rFonts w:ascii="Arial;sans-serif" w:hAnsi="Arial;sans-serif"/>
          <w:b w:val="false"/>
          <w:sz w:val="18"/>
        </w:rPr>
        <w:t>72</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6" w:name="psnl-ex31_1.htm"/>
      <w:bookmarkStart w:id="37" w:name="kspsnlex31_1"/>
      <w:bookmarkEnd w:id="36"/>
      <w:bookmarkEnd w:id="37"/>
      <w:r>
        <w:rPr/>
        <w:t> </w:t>
      </w:r>
      <w:r>
        <w:br w:type="page"/>
      </w:r>
    </w:p>
    <w:p>
      <w:pPr>
        <w:pStyle w:val="TextBody"/>
        <w:bidi w:val="0"/>
        <w:spacing w:before="0" w:after="0"/>
        <w:jc w:val="right"/>
        <w:rPr>
          <w:rFonts w:ascii="Arial;sans-serif" w:hAnsi="Arial;sans-serif"/>
          <w:b/>
          <w:sz w:val="18"/>
        </w:rPr>
      </w:pPr>
      <w:r>
        <w:rPr>
          <w:rFonts w:ascii="Arial;sans-serif" w:hAnsi="Arial;sans-serif"/>
          <w:b/>
          <w:sz w:val="18"/>
        </w:rPr>
        <w:t>Exhibit 31.1</w:t>
      </w:r>
    </w:p>
    <w:p>
      <w:pPr>
        <w:pStyle w:val="TextBody"/>
        <w:bidi w:val="0"/>
        <w:spacing w:before="0" w:after="0"/>
        <w:jc w:val="center"/>
        <w:rPr/>
      </w:pPr>
      <w:r>
        <w:rPr/>
        <w:t> </w:t>
      </w:r>
    </w:p>
    <w:p>
      <w:pPr>
        <w:pStyle w:val="TextBody"/>
        <w:bidi w:val="0"/>
        <w:spacing w:before="0" w:after="0"/>
        <w:jc w:val="center"/>
        <w:rPr>
          <w:rFonts w:ascii="Arial;sans-serif" w:hAnsi="Arial;sans-serif"/>
          <w:b/>
          <w:sz w:val="18"/>
        </w:rPr>
      </w:pPr>
      <w:r>
        <w:rPr>
          <w:rFonts w:ascii="Arial;sans-serif" w:hAnsi="Arial;sans-serif"/>
          <w:b/>
          <w:sz w:val="18"/>
        </w:rPr>
        <w:t>CERTIFICATION OF PRINCIPAL EXECUTIVE OFFICER PURSUANT TO</w:t>
      </w:r>
    </w:p>
    <w:p>
      <w:pPr>
        <w:pStyle w:val="TextBody"/>
        <w:bidi w:val="0"/>
        <w:spacing w:before="0" w:after="0"/>
        <w:jc w:val="center"/>
        <w:rPr>
          <w:rFonts w:ascii="Arial;sans-serif" w:hAnsi="Arial;sans-serif"/>
          <w:b/>
          <w:sz w:val="18"/>
        </w:rPr>
      </w:pPr>
      <w:r>
        <w:rPr>
          <w:rFonts w:ascii="Arial;sans-serif" w:hAnsi="Arial;sans-serif"/>
          <w:b/>
          <w:sz w:val="18"/>
        </w:rPr>
        <w:t>RULES 13a-14(a) AND 15d-14(a) UNDER THE SECURITIES EXCHANGE ACT OF 1934,</w:t>
      </w:r>
    </w:p>
    <w:p>
      <w:pPr>
        <w:pStyle w:val="TextBody"/>
        <w:bidi w:val="0"/>
        <w:spacing w:before="0" w:after="0"/>
        <w:jc w:val="center"/>
        <w:rPr>
          <w:rFonts w:ascii="Arial;sans-serif" w:hAnsi="Arial;sans-serif"/>
          <w:b/>
          <w:sz w:val="18"/>
        </w:rPr>
      </w:pPr>
      <w:r>
        <w:rPr>
          <w:rFonts w:ascii="Arial;sans-serif" w:hAnsi="Arial;sans-serif"/>
          <w:b/>
          <w:sz w:val="18"/>
        </w:rPr>
        <w:t>AS ADOPTED PURSUANT TO SECTION 302 OF THE SARBANES-OXLEY ACT OF 2002</w:t>
      </w:r>
    </w:p>
    <w:p>
      <w:pPr>
        <w:pStyle w:val="TextBody"/>
        <w:bidi w:val="0"/>
        <w:spacing w:before="240" w:after="0"/>
        <w:jc w:val="left"/>
        <w:rPr>
          <w:rFonts w:ascii="Arial;sans-serif" w:hAnsi="Arial;sans-serif"/>
          <w:b w:val="false"/>
          <w:sz w:val="18"/>
        </w:rPr>
      </w:pPr>
      <w:r>
        <w:rPr>
          <w:rFonts w:ascii="Arial;sans-serif" w:hAnsi="Arial;sans-serif"/>
          <w:b w:val="false"/>
          <w:sz w:val="18"/>
        </w:rPr>
        <w:t>I, Christopher Hall, certify that:</w:t>
      </w:r>
    </w:p>
    <w:p>
      <w:pPr>
        <w:pStyle w:val="TextBody"/>
        <w:bidi w:val="0"/>
        <w:spacing w:before="240" w:after="0"/>
        <w:jc w:val="left"/>
        <w:rPr>
          <w:rFonts w:ascii="Arial" w:hAnsi="Arial"/>
          <w:b w:val="false"/>
          <w:sz w:val="18"/>
        </w:rPr>
      </w:pPr>
      <w:r>
        <w:rPr>
          <w:rFonts w:ascii="Arial" w:hAnsi="Arial"/>
          <w:b w:val="false"/>
          <w:sz w:val="18"/>
        </w:rPr>
        <w:t>1.</w:t>
      </w:r>
    </w:p>
    <w:p>
      <w:pPr>
        <w:pStyle w:val="TextBody"/>
        <w:bidi w:val="0"/>
        <w:spacing w:before="240" w:after="0"/>
        <w:jc w:val="left"/>
        <w:rPr>
          <w:rFonts w:ascii="Arial;sans-serif" w:hAnsi="Arial;sans-serif"/>
          <w:b w:val="false"/>
          <w:sz w:val="18"/>
        </w:rPr>
      </w:pPr>
      <w:r>
        <w:rPr>
          <w:rFonts w:ascii="Arial;sans-serif" w:hAnsi="Arial;sans-serif"/>
          <w:b w:val="false"/>
          <w:sz w:val="18"/>
        </w:rPr>
        <w:t>I have reviewed this Quarterly Report on Form 10-Q of Personalis, Inc.;</w:t>
      </w:r>
    </w:p>
    <w:p>
      <w:pPr>
        <w:pStyle w:val="TextBody"/>
        <w:bidi w:val="0"/>
        <w:spacing w:before="240" w:after="0"/>
        <w:jc w:val="left"/>
        <w:rPr>
          <w:rFonts w:ascii="Arial" w:hAnsi="Arial"/>
          <w:b w:val="false"/>
          <w:sz w:val="18"/>
        </w:rPr>
      </w:pPr>
      <w:r>
        <w:rPr>
          <w:rFonts w:ascii="Arial" w:hAnsi="Arial"/>
          <w:b w:val="false"/>
          <w:sz w:val="18"/>
        </w:rPr>
        <w:t>2.</w:t>
      </w:r>
    </w:p>
    <w:p>
      <w:pPr>
        <w:pStyle w:val="TextBody"/>
        <w:bidi w:val="0"/>
        <w:spacing w:before="240" w:after="0"/>
        <w:jc w:val="left"/>
        <w:rPr>
          <w:rFonts w:ascii="Arial;sans-serif" w:hAnsi="Arial;sans-serif"/>
          <w:b w:val="false"/>
          <w:sz w:val="18"/>
        </w:rPr>
      </w:pPr>
      <w:r>
        <w:rPr>
          <w:rFonts w:ascii="Arial;sans-serif" w:hAnsi="Arial;sans-serif"/>
          <w:b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Arial" w:hAnsi="Arial"/>
          <w:b w:val="false"/>
          <w:sz w:val="18"/>
        </w:rPr>
      </w:pPr>
      <w:r>
        <w:rPr>
          <w:rFonts w:ascii="Arial" w:hAnsi="Arial"/>
          <w:b w:val="false"/>
          <w:sz w:val="18"/>
        </w:rPr>
        <w:t>3.</w:t>
      </w:r>
    </w:p>
    <w:p>
      <w:pPr>
        <w:pStyle w:val="TextBody"/>
        <w:bidi w:val="0"/>
        <w:spacing w:before="240" w:after="0"/>
        <w:jc w:val="left"/>
        <w:rPr>
          <w:rFonts w:ascii="Arial;sans-serif" w:hAnsi="Arial;sans-serif"/>
          <w:b w:val="false"/>
          <w:sz w:val="18"/>
        </w:rPr>
      </w:pPr>
      <w:r>
        <w:rPr>
          <w:rFonts w:ascii="Arial;sans-serif" w:hAnsi="Arial;sans-serif"/>
          <w:b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Arial" w:hAnsi="Arial"/>
          <w:b w:val="false"/>
          <w:sz w:val="18"/>
        </w:rPr>
      </w:pPr>
      <w:r>
        <w:rPr>
          <w:rFonts w:ascii="Arial" w:hAnsi="Arial"/>
          <w:b w:val="false"/>
          <w:sz w:val="18"/>
        </w:rPr>
        <w:t>4.</w:t>
      </w:r>
    </w:p>
    <w:p>
      <w:pPr>
        <w:pStyle w:val="TextBody"/>
        <w:bidi w:val="0"/>
        <w:spacing w:before="240" w:after="0"/>
        <w:jc w:val="left"/>
        <w:rPr>
          <w:rFonts w:ascii="Arial;sans-serif" w:hAnsi="Arial;sans-serif"/>
          <w:b w:val="false"/>
          <w:sz w:val="18"/>
        </w:rPr>
      </w:pPr>
      <w:r>
        <w:rPr>
          <w:rFonts w:ascii="Arial;sans-serif" w:hAnsi="Arial;sans-serif"/>
          <w:b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Arial" w:hAnsi="Arial"/>
          <w:b w:val="false"/>
          <w:sz w:val="18"/>
        </w:rPr>
      </w:pPr>
      <w:r>
        <w:rPr>
          <w:rFonts w:ascii="Arial" w:hAnsi="Arial"/>
          <w:b w:val="false"/>
          <w:sz w:val="18"/>
        </w:rPr>
        <w:t>(a)</w:t>
      </w:r>
    </w:p>
    <w:p>
      <w:pPr>
        <w:pStyle w:val="TextBody"/>
        <w:bidi w:val="0"/>
        <w:spacing w:before="240" w:after="0"/>
        <w:jc w:val="left"/>
        <w:rPr>
          <w:rFonts w:ascii="Arial;sans-serif" w:hAnsi="Arial;sans-serif"/>
          <w:b w:val="false"/>
          <w:sz w:val="18"/>
        </w:rPr>
      </w:pPr>
      <w:r>
        <w:rPr>
          <w:rFonts w:ascii="Arial;sans-serif" w:hAnsi="Arial;sans-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Arial" w:hAnsi="Arial"/>
          <w:b w:val="false"/>
          <w:sz w:val="18"/>
        </w:rPr>
      </w:pPr>
      <w:r>
        <w:rPr>
          <w:rFonts w:ascii="Arial" w:hAnsi="Arial"/>
          <w:b w:val="false"/>
          <w:sz w:val="18"/>
        </w:rPr>
        <w:t>(b)</w:t>
      </w:r>
    </w:p>
    <w:p>
      <w:pPr>
        <w:pStyle w:val="TextBody"/>
        <w:bidi w:val="0"/>
        <w:spacing w:before="240" w:after="0"/>
        <w:jc w:val="left"/>
        <w:rPr>
          <w:rFonts w:ascii="Arial;sans-serif" w:hAnsi="Arial;sans-serif"/>
          <w:b w:val="false"/>
          <w:sz w:val="18"/>
        </w:rPr>
      </w:pPr>
      <w:r>
        <w:rPr>
          <w:rFonts w:ascii="Arial;sans-serif" w:hAnsi="Arial;sans-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Arial" w:hAnsi="Arial"/>
          <w:b w:val="false"/>
          <w:sz w:val="18"/>
        </w:rPr>
      </w:pPr>
      <w:r>
        <w:rPr>
          <w:rFonts w:ascii="Arial" w:hAnsi="Arial"/>
          <w:b w:val="false"/>
          <w:sz w:val="18"/>
        </w:rPr>
        <w:t>(c)</w:t>
      </w:r>
    </w:p>
    <w:p>
      <w:pPr>
        <w:pStyle w:val="TextBody"/>
        <w:bidi w:val="0"/>
        <w:spacing w:before="240" w:after="0"/>
        <w:jc w:val="left"/>
        <w:rPr>
          <w:rFonts w:ascii="Arial;sans-serif" w:hAnsi="Arial;sans-serif"/>
          <w:b w:val="false"/>
          <w:sz w:val="18"/>
        </w:rPr>
      </w:pPr>
      <w:r>
        <w:rPr>
          <w:rFonts w:ascii="Arial;sans-serif" w:hAnsi="Arial;sans-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Arial" w:hAnsi="Arial"/>
          <w:b w:val="false"/>
          <w:sz w:val="18"/>
        </w:rPr>
      </w:pPr>
      <w:r>
        <w:rPr>
          <w:rFonts w:ascii="Arial" w:hAnsi="Arial"/>
          <w:b w:val="false"/>
          <w:sz w:val="18"/>
        </w:rPr>
        <w:t>(d)</w:t>
      </w:r>
    </w:p>
    <w:p>
      <w:pPr>
        <w:pStyle w:val="TextBody"/>
        <w:bidi w:val="0"/>
        <w:spacing w:before="240" w:after="0"/>
        <w:jc w:val="left"/>
        <w:rPr>
          <w:rFonts w:ascii="Arial;sans-serif" w:hAnsi="Arial;sans-serif"/>
          <w:b w:val="false"/>
          <w:sz w:val="18"/>
        </w:rPr>
      </w:pPr>
      <w:r>
        <w:rPr>
          <w:rFonts w:ascii="Arial;sans-serif" w:hAnsi="Arial;sans-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Arial" w:hAnsi="Arial"/>
          <w:b w:val="false"/>
          <w:sz w:val="18"/>
        </w:rPr>
      </w:pPr>
      <w:r>
        <w:rPr>
          <w:rFonts w:ascii="Arial" w:hAnsi="Arial"/>
          <w:b w:val="false"/>
          <w:sz w:val="18"/>
        </w:rPr>
        <w:t>5.</w:t>
      </w:r>
    </w:p>
    <w:p>
      <w:pPr>
        <w:pStyle w:val="TextBody"/>
        <w:bidi w:val="0"/>
        <w:spacing w:before="240" w:after="0"/>
        <w:jc w:val="left"/>
        <w:rPr>
          <w:rFonts w:ascii="Arial;sans-serif" w:hAnsi="Arial;sans-serif"/>
          <w:b w:val="false"/>
          <w:sz w:val="18"/>
        </w:rPr>
      </w:pPr>
      <w:r>
        <w:rPr>
          <w:rFonts w:ascii="Arial;sans-serif" w:hAnsi="Arial;sans-serif"/>
          <w:b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Arial" w:hAnsi="Arial"/>
          <w:b w:val="false"/>
          <w:sz w:val="18"/>
        </w:rPr>
      </w:pPr>
      <w:r>
        <w:rPr>
          <w:rFonts w:ascii="Arial" w:hAnsi="Arial"/>
          <w:b w:val="false"/>
          <w:sz w:val="18"/>
        </w:rPr>
        <w:t>(a)</w:t>
      </w:r>
    </w:p>
    <w:p>
      <w:pPr>
        <w:pStyle w:val="TextBody"/>
        <w:bidi w:val="0"/>
        <w:spacing w:before="240" w:after="0"/>
        <w:jc w:val="left"/>
        <w:rPr>
          <w:rFonts w:ascii="Arial;sans-serif" w:hAnsi="Arial;sans-serif"/>
          <w:b w:val="false"/>
          <w:sz w:val="18"/>
        </w:rPr>
      </w:pPr>
      <w:r>
        <w:rPr>
          <w:rFonts w:ascii="Arial;sans-serif" w:hAnsi="Arial;sans-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Arial" w:hAnsi="Arial"/>
          <w:b w:val="false"/>
          <w:sz w:val="18"/>
        </w:rPr>
      </w:pPr>
      <w:r>
        <w:rPr>
          <w:rFonts w:ascii="Arial" w:hAnsi="Arial"/>
          <w:b w:val="false"/>
          <w:sz w:val="18"/>
        </w:rPr>
        <w:t>(b)</w:t>
      </w:r>
    </w:p>
    <w:p>
      <w:pPr>
        <w:pStyle w:val="TextBody"/>
        <w:bidi w:val="0"/>
        <w:spacing w:before="240" w:after="283"/>
        <w:jc w:val="left"/>
        <w:rPr>
          <w:rFonts w:ascii="Arial;sans-serif" w:hAnsi="Arial;sans-serif"/>
          <w:b w:val="false"/>
          <w:sz w:val="18"/>
        </w:rPr>
      </w:pPr>
      <w:r>
        <w:rPr>
          <w:rFonts w:ascii="Arial;sans-serif" w:hAnsi="Arial;sans-serif"/>
          <w:b w:val="false"/>
          <w:sz w:val="18"/>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665" w:type="dxa"/>
        <w:jc w:val="left"/>
        <w:tblInd w:w="0" w:type="dxa"/>
        <w:tblLayout w:type="fixed"/>
        <w:tblCellMar>
          <w:top w:w="28" w:type="dxa"/>
          <w:left w:w="28" w:type="dxa"/>
          <w:bottom w:w="28" w:type="dxa"/>
          <w:right w:w="28" w:type="dxa"/>
        </w:tblCellMar>
      </w:tblPr>
      <w:tblGrid>
        <w:gridCol w:w="1831"/>
        <w:gridCol w:w="146"/>
        <w:gridCol w:w="361"/>
        <w:gridCol w:w="146"/>
        <w:gridCol w:w="318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Date: August 8, 2023</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146" w:type="dxa"/>
            <w:tcBorders/>
            <w:vAlign w:val="center"/>
          </w:tcPr>
          <w:p>
            <w:pPr>
              <w:pStyle w:val="TableContents"/>
              <w:bidi w:val="0"/>
              <w:spacing w:before="0" w:after="0"/>
              <w:ind w:left="0" w:right="0" w:hanging="0"/>
              <w:jc w:val="left"/>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 Christopher Hall</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Christopher Hall</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President and Chief Executive Officer</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1" w:type="dxa"/>
            <w:tcBorders/>
            <w:vAlign w:val="center"/>
          </w:tcPr>
          <w:p>
            <w:pPr>
              <w:pStyle w:val="TableContents"/>
              <w:bidi w:val="0"/>
              <w:spacing w:before="0" w:after="0"/>
              <w:ind w:left="0" w:right="0" w:hanging="0"/>
              <w:jc w:val="left"/>
              <w:rPr>
                <w:rFonts w:ascii="Arial;sans-serif" w:hAnsi="Arial;sans-serif"/>
                <w:b w:val="false"/>
                <w:i/>
                <w:sz w:val="18"/>
              </w:rPr>
            </w:pPr>
            <w:r>
              <w:rPr>
                <w:rFonts w:ascii="Arial;sans-serif" w:hAnsi="Arial;sans-serif"/>
                <w:b w:val="false"/>
                <w:i/>
                <w:sz w:val="18"/>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8" w:name="psnl-ex31_2.htm"/>
      <w:bookmarkStart w:id="39" w:name="kspsnlex31_2"/>
      <w:bookmarkEnd w:id="38"/>
      <w:bookmarkEnd w:id="39"/>
      <w:r>
        <w:rPr/>
        <w:t> </w:t>
      </w:r>
      <w:r>
        <w:br w:type="page"/>
      </w:r>
    </w:p>
    <w:p>
      <w:pPr>
        <w:pStyle w:val="TextBody"/>
        <w:bidi w:val="0"/>
        <w:spacing w:before="0" w:after="0"/>
        <w:jc w:val="right"/>
        <w:rPr>
          <w:rFonts w:ascii="Arial;sans-serif" w:hAnsi="Arial;sans-serif"/>
          <w:b/>
          <w:sz w:val="18"/>
        </w:rPr>
      </w:pPr>
      <w:r>
        <w:rPr>
          <w:rFonts w:ascii="Arial;sans-serif" w:hAnsi="Arial;sans-serif"/>
          <w:b/>
          <w:sz w:val="18"/>
        </w:rPr>
        <w:t>Exhibit 31.2</w:t>
      </w:r>
    </w:p>
    <w:p>
      <w:pPr>
        <w:pStyle w:val="TextBody"/>
        <w:bidi w:val="0"/>
        <w:spacing w:before="0" w:after="0"/>
        <w:jc w:val="center"/>
        <w:rPr/>
      </w:pPr>
      <w:r>
        <w:rPr/>
        <w:t> </w:t>
      </w:r>
    </w:p>
    <w:p>
      <w:pPr>
        <w:pStyle w:val="TextBody"/>
        <w:bidi w:val="0"/>
        <w:spacing w:before="0" w:after="0"/>
        <w:jc w:val="center"/>
        <w:rPr>
          <w:rFonts w:ascii="Arial;sans-serif" w:hAnsi="Arial;sans-serif"/>
          <w:b/>
          <w:sz w:val="18"/>
        </w:rPr>
      </w:pPr>
      <w:r>
        <w:rPr>
          <w:rFonts w:ascii="Arial;sans-serif" w:hAnsi="Arial;sans-serif"/>
          <w:b/>
          <w:sz w:val="18"/>
        </w:rPr>
        <w:t>CERTIFICATION OF PRINCIPAL FINANCIAL OFFICER PURSUANT TO</w:t>
      </w:r>
    </w:p>
    <w:p>
      <w:pPr>
        <w:pStyle w:val="TextBody"/>
        <w:bidi w:val="0"/>
        <w:spacing w:before="0" w:after="0"/>
        <w:jc w:val="center"/>
        <w:rPr>
          <w:rFonts w:ascii="Arial;sans-serif" w:hAnsi="Arial;sans-serif"/>
          <w:b/>
          <w:sz w:val="18"/>
        </w:rPr>
      </w:pPr>
      <w:r>
        <w:rPr>
          <w:rFonts w:ascii="Arial;sans-serif" w:hAnsi="Arial;sans-serif"/>
          <w:b/>
          <w:sz w:val="18"/>
        </w:rPr>
        <w:t>RULES 13a-14(a) AND 15d-14(a) UNDER THE SECURITIES EXCHANGE ACT OF 1934,</w:t>
      </w:r>
    </w:p>
    <w:p>
      <w:pPr>
        <w:pStyle w:val="TextBody"/>
        <w:bidi w:val="0"/>
        <w:spacing w:before="0" w:after="0"/>
        <w:jc w:val="center"/>
        <w:rPr>
          <w:rFonts w:ascii="Arial;sans-serif" w:hAnsi="Arial;sans-serif"/>
          <w:b/>
          <w:sz w:val="18"/>
        </w:rPr>
      </w:pPr>
      <w:r>
        <w:rPr>
          <w:rFonts w:ascii="Arial;sans-serif" w:hAnsi="Arial;sans-serif"/>
          <w:b/>
          <w:sz w:val="18"/>
        </w:rPr>
        <w:t>AS ADOPTED PURSUANT TO SECTION 302 OF THE SARBANES-OXLEY ACT OF 2002</w:t>
      </w:r>
    </w:p>
    <w:p>
      <w:pPr>
        <w:pStyle w:val="TextBody"/>
        <w:bidi w:val="0"/>
        <w:spacing w:before="240" w:after="0"/>
        <w:jc w:val="left"/>
        <w:rPr>
          <w:rFonts w:ascii="Arial;sans-serif" w:hAnsi="Arial;sans-serif"/>
          <w:b w:val="false"/>
          <w:sz w:val="18"/>
        </w:rPr>
      </w:pPr>
      <w:r>
        <w:rPr>
          <w:rFonts w:ascii="Arial;sans-serif" w:hAnsi="Arial;sans-serif"/>
          <w:b w:val="false"/>
          <w:sz w:val="18"/>
        </w:rPr>
        <w:t>I, Aaron Tachibana, certify that:</w:t>
      </w:r>
    </w:p>
    <w:p>
      <w:pPr>
        <w:pStyle w:val="TextBody"/>
        <w:bidi w:val="0"/>
        <w:spacing w:before="240" w:after="0"/>
        <w:jc w:val="left"/>
        <w:rPr>
          <w:rFonts w:ascii="Arial" w:hAnsi="Arial"/>
          <w:b w:val="false"/>
          <w:sz w:val="18"/>
        </w:rPr>
      </w:pPr>
      <w:r>
        <w:rPr>
          <w:rFonts w:ascii="Arial" w:hAnsi="Arial"/>
          <w:b w:val="false"/>
          <w:sz w:val="18"/>
        </w:rPr>
        <w:t>1.</w:t>
      </w:r>
    </w:p>
    <w:p>
      <w:pPr>
        <w:pStyle w:val="TextBody"/>
        <w:bidi w:val="0"/>
        <w:spacing w:before="240" w:after="0"/>
        <w:jc w:val="left"/>
        <w:rPr>
          <w:rFonts w:ascii="Arial;sans-serif" w:hAnsi="Arial;sans-serif"/>
          <w:b w:val="false"/>
          <w:sz w:val="18"/>
        </w:rPr>
      </w:pPr>
      <w:r>
        <w:rPr>
          <w:rFonts w:ascii="Arial;sans-serif" w:hAnsi="Arial;sans-serif"/>
          <w:b w:val="false"/>
          <w:sz w:val="18"/>
        </w:rPr>
        <w:t>I have reviewed this Quarterly Report on Form 10-Q of Personalis, Inc.;</w:t>
      </w:r>
    </w:p>
    <w:p>
      <w:pPr>
        <w:pStyle w:val="TextBody"/>
        <w:bidi w:val="0"/>
        <w:spacing w:before="240" w:after="0"/>
        <w:jc w:val="left"/>
        <w:rPr>
          <w:rFonts w:ascii="Arial" w:hAnsi="Arial"/>
          <w:b w:val="false"/>
          <w:sz w:val="18"/>
        </w:rPr>
      </w:pPr>
      <w:r>
        <w:rPr>
          <w:rFonts w:ascii="Arial" w:hAnsi="Arial"/>
          <w:b w:val="false"/>
          <w:sz w:val="18"/>
        </w:rPr>
        <w:t>2.</w:t>
      </w:r>
    </w:p>
    <w:p>
      <w:pPr>
        <w:pStyle w:val="TextBody"/>
        <w:bidi w:val="0"/>
        <w:spacing w:before="240" w:after="0"/>
        <w:jc w:val="left"/>
        <w:rPr>
          <w:rFonts w:ascii="Arial;sans-serif" w:hAnsi="Arial;sans-serif"/>
          <w:b w:val="false"/>
          <w:sz w:val="18"/>
        </w:rPr>
      </w:pPr>
      <w:r>
        <w:rPr>
          <w:rFonts w:ascii="Arial;sans-serif" w:hAnsi="Arial;sans-serif"/>
          <w:b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Arial" w:hAnsi="Arial"/>
          <w:b w:val="false"/>
          <w:sz w:val="18"/>
        </w:rPr>
      </w:pPr>
      <w:r>
        <w:rPr>
          <w:rFonts w:ascii="Arial" w:hAnsi="Arial"/>
          <w:b w:val="false"/>
          <w:sz w:val="18"/>
        </w:rPr>
        <w:t>3.</w:t>
      </w:r>
    </w:p>
    <w:p>
      <w:pPr>
        <w:pStyle w:val="TextBody"/>
        <w:bidi w:val="0"/>
        <w:spacing w:before="240" w:after="0"/>
        <w:jc w:val="left"/>
        <w:rPr>
          <w:rFonts w:ascii="Arial;sans-serif" w:hAnsi="Arial;sans-serif"/>
          <w:b w:val="false"/>
          <w:sz w:val="18"/>
        </w:rPr>
      </w:pPr>
      <w:r>
        <w:rPr>
          <w:rFonts w:ascii="Arial;sans-serif" w:hAnsi="Arial;sans-serif"/>
          <w:b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Arial" w:hAnsi="Arial"/>
          <w:b w:val="false"/>
          <w:sz w:val="18"/>
        </w:rPr>
      </w:pPr>
      <w:r>
        <w:rPr>
          <w:rFonts w:ascii="Arial" w:hAnsi="Arial"/>
          <w:b w:val="false"/>
          <w:sz w:val="18"/>
        </w:rPr>
        <w:t>4.</w:t>
      </w:r>
    </w:p>
    <w:p>
      <w:pPr>
        <w:pStyle w:val="TextBody"/>
        <w:bidi w:val="0"/>
        <w:spacing w:before="240" w:after="0"/>
        <w:jc w:val="left"/>
        <w:rPr>
          <w:rFonts w:ascii="Arial;sans-serif" w:hAnsi="Arial;sans-serif"/>
          <w:b w:val="false"/>
          <w:sz w:val="18"/>
        </w:rPr>
      </w:pPr>
      <w:r>
        <w:rPr>
          <w:rFonts w:ascii="Arial;sans-serif" w:hAnsi="Arial;sans-serif"/>
          <w:b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Arial" w:hAnsi="Arial"/>
          <w:b w:val="false"/>
          <w:sz w:val="18"/>
        </w:rPr>
      </w:pPr>
      <w:r>
        <w:rPr>
          <w:rFonts w:ascii="Arial" w:hAnsi="Arial"/>
          <w:b w:val="false"/>
          <w:sz w:val="18"/>
        </w:rPr>
        <w:t>(a)</w:t>
      </w:r>
    </w:p>
    <w:p>
      <w:pPr>
        <w:pStyle w:val="TextBody"/>
        <w:bidi w:val="0"/>
        <w:spacing w:before="240" w:after="0"/>
        <w:jc w:val="left"/>
        <w:rPr>
          <w:rFonts w:ascii="Arial;sans-serif" w:hAnsi="Arial;sans-serif"/>
          <w:b w:val="false"/>
          <w:sz w:val="18"/>
        </w:rPr>
      </w:pPr>
      <w:r>
        <w:rPr>
          <w:rFonts w:ascii="Arial;sans-serif" w:hAnsi="Arial;sans-serif"/>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Arial" w:hAnsi="Arial"/>
          <w:b w:val="false"/>
          <w:sz w:val="18"/>
        </w:rPr>
      </w:pPr>
      <w:r>
        <w:rPr>
          <w:rFonts w:ascii="Arial" w:hAnsi="Arial"/>
          <w:b w:val="false"/>
          <w:sz w:val="18"/>
        </w:rPr>
        <w:t>(b)</w:t>
      </w:r>
    </w:p>
    <w:p>
      <w:pPr>
        <w:pStyle w:val="TextBody"/>
        <w:bidi w:val="0"/>
        <w:spacing w:before="240" w:after="0"/>
        <w:jc w:val="left"/>
        <w:rPr>
          <w:rFonts w:ascii="Arial;sans-serif" w:hAnsi="Arial;sans-serif"/>
          <w:b w:val="false"/>
          <w:sz w:val="18"/>
        </w:rPr>
      </w:pPr>
      <w:r>
        <w:rPr>
          <w:rFonts w:ascii="Arial;sans-serif" w:hAnsi="Arial;sans-serif"/>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Arial" w:hAnsi="Arial"/>
          <w:b w:val="false"/>
          <w:sz w:val="18"/>
        </w:rPr>
      </w:pPr>
      <w:r>
        <w:rPr>
          <w:rFonts w:ascii="Arial" w:hAnsi="Arial"/>
          <w:b w:val="false"/>
          <w:sz w:val="18"/>
        </w:rPr>
        <w:t>(c)</w:t>
      </w:r>
    </w:p>
    <w:p>
      <w:pPr>
        <w:pStyle w:val="TextBody"/>
        <w:bidi w:val="0"/>
        <w:spacing w:before="240" w:after="0"/>
        <w:jc w:val="left"/>
        <w:rPr>
          <w:rFonts w:ascii="Arial;sans-serif" w:hAnsi="Arial;sans-serif"/>
          <w:b w:val="false"/>
          <w:sz w:val="18"/>
        </w:rPr>
      </w:pPr>
      <w:r>
        <w:rPr>
          <w:rFonts w:ascii="Arial;sans-serif" w:hAnsi="Arial;sans-serif"/>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Arial" w:hAnsi="Arial"/>
          <w:b w:val="false"/>
          <w:sz w:val="18"/>
        </w:rPr>
      </w:pPr>
      <w:r>
        <w:rPr>
          <w:rFonts w:ascii="Arial" w:hAnsi="Arial"/>
          <w:b w:val="false"/>
          <w:sz w:val="18"/>
        </w:rPr>
        <w:t>(d)</w:t>
      </w:r>
    </w:p>
    <w:p>
      <w:pPr>
        <w:pStyle w:val="TextBody"/>
        <w:bidi w:val="0"/>
        <w:spacing w:before="240" w:after="0"/>
        <w:jc w:val="left"/>
        <w:rPr>
          <w:rFonts w:ascii="Arial;sans-serif" w:hAnsi="Arial;sans-serif"/>
          <w:b w:val="false"/>
          <w:sz w:val="18"/>
        </w:rPr>
      </w:pPr>
      <w:r>
        <w:rPr>
          <w:rFonts w:ascii="Arial;sans-serif" w:hAnsi="Arial;sans-serif"/>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Arial" w:hAnsi="Arial"/>
          <w:b w:val="false"/>
          <w:sz w:val="18"/>
        </w:rPr>
      </w:pPr>
      <w:r>
        <w:rPr>
          <w:rFonts w:ascii="Arial" w:hAnsi="Arial"/>
          <w:b w:val="false"/>
          <w:sz w:val="18"/>
        </w:rPr>
        <w:t>5.</w:t>
      </w:r>
    </w:p>
    <w:p>
      <w:pPr>
        <w:pStyle w:val="TextBody"/>
        <w:bidi w:val="0"/>
        <w:spacing w:before="240" w:after="0"/>
        <w:jc w:val="left"/>
        <w:rPr>
          <w:rFonts w:ascii="Arial;sans-serif" w:hAnsi="Arial;sans-serif"/>
          <w:b w:val="false"/>
          <w:sz w:val="18"/>
        </w:rPr>
      </w:pPr>
      <w:r>
        <w:rPr>
          <w:rFonts w:ascii="Arial;sans-serif" w:hAnsi="Arial;sans-serif"/>
          <w:b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Arial" w:hAnsi="Arial"/>
          <w:b w:val="false"/>
          <w:sz w:val="18"/>
        </w:rPr>
      </w:pPr>
      <w:r>
        <w:rPr>
          <w:rFonts w:ascii="Arial" w:hAnsi="Arial"/>
          <w:b w:val="false"/>
          <w:sz w:val="18"/>
        </w:rPr>
        <w:t>(a)</w:t>
      </w:r>
    </w:p>
    <w:p>
      <w:pPr>
        <w:pStyle w:val="TextBody"/>
        <w:bidi w:val="0"/>
        <w:spacing w:before="240" w:after="0"/>
        <w:jc w:val="left"/>
        <w:rPr>
          <w:rFonts w:ascii="Arial;sans-serif" w:hAnsi="Arial;sans-serif"/>
          <w:b w:val="false"/>
          <w:sz w:val="18"/>
        </w:rPr>
      </w:pPr>
      <w:r>
        <w:rPr>
          <w:rFonts w:ascii="Arial;sans-serif" w:hAnsi="Arial;sans-serif"/>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Arial" w:hAnsi="Arial"/>
          <w:b w:val="false"/>
          <w:sz w:val="18"/>
        </w:rPr>
      </w:pPr>
      <w:r>
        <w:rPr>
          <w:rFonts w:ascii="Arial" w:hAnsi="Arial"/>
          <w:b w:val="false"/>
          <w:sz w:val="18"/>
        </w:rPr>
        <w:t>(b)</w:t>
      </w:r>
    </w:p>
    <w:p>
      <w:pPr>
        <w:pStyle w:val="TextBody"/>
        <w:bidi w:val="0"/>
        <w:spacing w:before="240" w:after="283"/>
        <w:jc w:val="left"/>
        <w:rPr>
          <w:rFonts w:ascii="Arial;sans-serif" w:hAnsi="Arial;sans-serif"/>
          <w:b w:val="false"/>
          <w:sz w:val="18"/>
        </w:rPr>
      </w:pPr>
      <w:r>
        <w:rPr>
          <w:rFonts w:ascii="Arial;sans-serif" w:hAnsi="Arial;sans-serif"/>
          <w:b w:val="false"/>
          <w:sz w:val="18"/>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700" w:type="dxa"/>
        <w:jc w:val="left"/>
        <w:tblInd w:w="0" w:type="dxa"/>
        <w:tblLayout w:type="fixed"/>
        <w:tblCellMar>
          <w:top w:w="28" w:type="dxa"/>
          <w:left w:w="28" w:type="dxa"/>
          <w:bottom w:w="28" w:type="dxa"/>
          <w:right w:w="28" w:type="dxa"/>
        </w:tblCellMar>
      </w:tblPr>
      <w:tblGrid>
        <w:gridCol w:w="1831"/>
        <w:gridCol w:w="146"/>
        <w:gridCol w:w="361"/>
        <w:gridCol w:w="146"/>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Date: August 8, 2023</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6"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146" w:type="dxa"/>
            <w:tcBorders/>
            <w:vAlign w:val="center"/>
          </w:tcPr>
          <w:p>
            <w:pPr>
              <w:pStyle w:val="TableContents"/>
              <w:bidi w:val="0"/>
              <w:spacing w:before="0" w:after="0"/>
              <w:ind w:left="0" w:right="0" w:hanging="0"/>
              <w:jc w:val="left"/>
              <w:rPr/>
            </w:pPr>
            <w:r>
              <w:rPr/>
              <w:t> </w:t>
            </w:r>
          </w:p>
        </w:tc>
        <w:tc>
          <w:tcPr>
            <w:tcW w:w="4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 Aaron Tachibana</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Aaron Tachibana</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6" w:type="dxa"/>
            <w:tcBorders/>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Chief Financial Officer and Chief Operating Officer</w:t>
            </w:r>
          </w:p>
        </w:tc>
      </w:tr>
      <w:tr>
        <w:trPr/>
        <w:tc>
          <w:tcPr>
            <w:tcW w:w="18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6" w:type="dxa"/>
            <w:tcBorders/>
            <w:vAlign w:val="center"/>
          </w:tcPr>
          <w:p>
            <w:pPr>
              <w:pStyle w:val="TableContents"/>
              <w:bidi w:val="0"/>
              <w:spacing w:before="0" w:after="0"/>
              <w:ind w:left="0" w:right="0" w:hanging="0"/>
              <w:jc w:val="left"/>
              <w:rPr>
                <w:rFonts w:ascii="Arial;sans-serif" w:hAnsi="Arial;sans-serif"/>
                <w:b w:val="false"/>
                <w:i/>
                <w:sz w:val="18"/>
              </w:rPr>
            </w:pPr>
            <w:r>
              <w:rPr>
                <w:rFonts w:ascii="Arial;sans-serif" w:hAnsi="Arial;sans-serif"/>
                <w:b w:val="false"/>
                <w:i/>
                <w:sz w:val="18"/>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40" w:name="psnl-ex32_1.htm"/>
      <w:bookmarkStart w:id="41" w:name="kspsnlex32_1"/>
      <w:bookmarkEnd w:id="40"/>
      <w:bookmarkEnd w:id="41"/>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right"/>
              <w:rPr>
                <w:rFonts w:ascii="Arial;sans-serif" w:hAnsi="Arial;sans-serif"/>
                <w:b/>
                <w:sz w:val="18"/>
              </w:rPr>
            </w:pPr>
            <w:r>
              <w:rPr>
                <w:rFonts w:ascii="Arial;sans-serif" w:hAnsi="Arial;sans-serif"/>
                <w:b/>
                <w:sz w:val="18"/>
              </w:rPr>
              <w:t>Exhibit 32.1</w:t>
            </w:r>
          </w:p>
        </w:tc>
      </w:tr>
    </w:tbl>
    <w:p>
      <w:pPr>
        <w:pStyle w:val="TextBody"/>
        <w:bidi w:val="0"/>
        <w:spacing w:before="0" w:after="0"/>
        <w:jc w:val="center"/>
        <w:rPr/>
      </w:pPr>
      <w:r>
        <w:rPr/>
        <w:t> </w:t>
      </w:r>
    </w:p>
    <w:p>
      <w:pPr>
        <w:pStyle w:val="TextBody"/>
        <w:bidi w:val="0"/>
        <w:spacing w:before="120" w:after="0"/>
        <w:jc w:val="center"/>
        <w:rPr>
          <w:rFonts w:ascii="Arial;sans-serif" w:hAnsi="Arial;sans-serif"/>
          <w:b/>
          <w:sz w:val="18"/>
        </w:rPr>
      </w:pPr>
      <w:r>
        <w:rPr>
          <w:rFonts w:ascii="Arial;sans-serif" w:hAnsi="Arial;sans-serif"/>
          <w:b/>
          <w:sz w:val="18"/>
        </w:rPr>
        <w:t>CERTIFICATION OF CHIEF EXECUTIVE OFFICER PURSUANT TO</w:t>
      </w:r>
    </w:p>
    <w:p>
      <w:pPr>
        <w:pStyle w:val="TextBody"/>
        <w:bidi w:val="0"/>
        <w:spacing w:before="0" w:after="0"/>
        <w:jc w:val="center"/>
        <w:rPr>
          <w:rFonts w:ascii="Arial;sans-serif" w:hAnsi="Arial;sans-serif"/>
          <w:b/>
          <w:sz w:val="18"/>
        </w:rPr>
      </w:pPr>
      <w:r>
        <w:rPr>
          <w:rFonts w:ascii="Arial;sans-serif" w:hAnsi="Arial;sans-serif"/>
          <w:b/>
          <w:sz w:val="18"/>
        </w:rPr>
        <w:t>18 U.S.C. SECTION 1350, AS ADOPTED PURSUANT TO</w:t>
      </w:r>
    </w:p>
    <w:p>
      <w:pPr>
        <w:pStyle w:val="TextBody"/>
        <w:bidi w:val="0"/>
        <w:spacing w:before="0" w:after="0"/>
        <w:jc w:val="center"/>
        <w:rPr>
          <w:rFonts w:ascii="Arial;sans-serif" w:hAnsi="Arial;sans-serif"/>
          <w:b/>
          <w:sz w:val="18"/>
        </w:rPr>
      </w:pPr>
      <w:r>
        <w:rPr>
          <w:rFonts w:ascii="Arial;sans-serif" w:hAnsi="Arial;sans-serif"/>
          <w:b/>
          <w:sz w:val="18"/>
        </w:rPr>
        <w:t>SECTION 906 OF THE SARBANES-OXLEY ACT OF 2002</w:t>
      </w:r>
    </w:p>
    <w:p>
      <w:pPr>
        <w:pStyle w:val="TextBody"/>
        <w:bidi w:val="0"/>
        <w:spacing w:before="240" w:after="0"/>
        <w:jc w:val="left"/>
        <w:rPr>
          <w:rFonts w:ascii="Arial;sans-serif" w:hAnsi="Arial;sans-serif"/>
          <w:b w:val="false"/>
          <w:sz w:val="18"/>
        </w:rPr>
      </w:pPr>
      <w:r>
        <w:rPr>
          <w:rFonts w:ascii="Arial;sans-serif" w:hAnsi="Arial;sans-serif"/>
          <w:b w:val="false"/>
          <w:sz w:val="18"/>
        </w:rPr>
        <w:t>In connection with the Quarterly Report of Personalis, Inc. (the “Company”) on Form 10-Q for the period ended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Arial" w:hAnsi="Arial"/>
          <w:b w:val="false"/>
          <w:sz w:val="18"/>
        </w:rPr>
      </w:pPr>
      <w:r>
        <w:rPr>
          <w:rFonts w:ascii="Arial" w:hAnsi="Arial"/>
          <w:b w:val="false"/>
          <w:sz w:val="18"/>
        </w:rPr>
        <w:t>(1)</w:t>
      </w:r>
    </w:p>
    <w:p>
      <w:pPr>
        <w:pStyle w:val="TextBody"/>
        <w:bidi w:val="0"/>
        <w:spacing w:before="240" w:after="0"/>
        <w:jc w:val="left"/>
        <w:rPr>
          <w:rFonts w:ascii="Arial;sans-serif" w:hAnsi="Arial;sans-serif"/>
          <w:b w:val="false"/>
          <w:sz w:val="18"/>
        </w:rPr>
      </w:pPr>
      <w:r>
        <w:rPr>
          <w:rFonts w:ascii="Arial;sans-serif" w:hAnsi="Arial;sans-serif"/>
          <w:b w:val="false"/>
          <w:sz w:val="18"/>
        </w:rPr>
        <w:t>The Report fully complies with the requirements of Section 13(a) or 15(d) of the Securities Exchange Act of 1934; and</w:t>
      </w:r>
    </w:p>
    <w:p>
      <w:pPr>
        <w:pStyle w:val="TextBody"/>
        <w:bidi w:val="0"/>
        <w:spacing w:before="240" w:after="0"/>
        <w:jc w:val="left"/>
        <w:rPr>
          <w:rFonts w:ascii="Arial" w:hAnsi="Arial"/>
          <w:b w:val="false"/>
          <w:sz w:val="18"/>
        </w:rPr>
      </w:pPr>
      <w:r>
        <w:rPr>
          <w:rFonts w:ascii="Arial" w:hAnsi="Arial"/>
          <w:b w:val="false"/>
          <w:sz w:val="18"/>
        </w:rPr>
        <w:t>(2)</w:t>
      </w:r>
    </w:p>
    <w:p>
      <w:pPr>
        <w:pStyle w:val="TextBody"/>
        <w:bidi w:val="0"/>
        <w:spacing w:before="240" w:after="283"/>
        <w:jc w:val="left"/>
        <w:rPr>
          <w:rFonts w:ascii="Arial;sans-serif" w:hAnsi="Arial;sans-serif"/>
          <w:b w:val="false"/>
          <w:sz w:val="18"/>
        </w:rPr>
      </w:pPr>
      <w:r>
        <w:rPr>
          <w:rFonts w:ascii="Arial;sans-serif" w:hAnsi="Arial;sans-serif"/>
          <w:b w:val="false"/>
          <w:sz w:val="18"/>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519" w:type="dxa"/>
        <w:jc w:val="left"/>
        <w:tblInd w:w="0" w:type="dxa"/>
        <w:tblLayout w:type="fixed"/>
        <w:tblCellMar>
          <w:top w:w="28" w:type="dxa"/>
          <w:left w:w="28" w:type="dxa"/>
          <w:bottom w:w="28" w:type="dxa"/>
          <w:right w:w="28" w:type="dxa"/>
        </w:tblCellMar>
      </w:tblPr>
      <w:tblGrid>
        <w:gridCol w:w="1831"/>
        <w:gridCol w:w="146"/>
        <w:gridCol w:w="361"/>
        <w:gridCol w:w="318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Date: August 8,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8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318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 Christopher Hall</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Christopher Hall</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President and Chief Executive Officer</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8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i/>
                <w:sz w:val="18"/>
              </w:rPr>
            </w:pPr>
            <w:r>
              <w:rPr>
                <w:rFonts w:ascii="Arial;sans-serif" w:hAnsi="Arial;sans-serif"/>
                <w:b w:val="false"/>
                <w:i/>
                <w:sz w:val="18"/>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42" w:name="psnl-ex32_2.htm"/>
      <w:bookmarkStart w:id="43" w:name="kspsnlex32_2"/>
      <w:bookmarkEnd w:id="42"/>
      <w:bookmarkEnd w:id="43"/>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right"/>
              <w:rPr>
                <w:rFonts w:ascii="Arial;sans-serif" w:hAnsi="Arial;sans-serif"/>
                <w:b/>
                <w:sz w:val="18"/>
              </w:rPr>
            </w:pPr>
            <w:r>
              <w:rPr>
                <w:rFonts w:ascii="Arial;sans-serif" w:hAnsi="Arial;sans-serif"/>
                <w:b/>
                <w:sz w:val="18"/>
              </w:rPr>
              <w:t>Exhibit 32.2</w:t>
            </w:r>
          </w:p>
        </w:tc>
      </w:tr>
    </w:tbl>
    <w:p>
      <w:pPr>
        <w:pStyle w:val="TextBody"/>
        <w:bidi w:val="0"/>
        <w:spacing w:before="0" w:after="0"/>
        <w:jc w:val="center"/>
        <w:rPr/>
      </w:pPr>
      <w:r>
        <w:rPr/>
        <w:t> </w:t>
      </w:r>
    </w:p>
    <w:p>
      <w:pPr>
        <w:pStyle w:val="TextBody"/>
        <w:bidi w:val="0"/>
        <w:spacing w:before="120" w:after="0"/>
        <w:jc w:val="center"/>
        <w:rPr>
          <w:rFonts w:ascii="Arial;sans-serif" w:hAnsi="Arial;sans-serif"/>
          <w:b/>
          <w:sz w:val="18"/>
        </w:rPr>
      </w:pPr>
      <w:r>
        <w:rPr>
          <w:rFonts w:ascii="Arial;sans-serif" w:hAnsi="Arial;sans-serif"/>
          <w:b/>
          <w:sz w:val="18"/>
        </w:rPr>
        <w:t>CERTIFICATION OF CHIEF FINANCIAL OFFICER PURSUANT TO</w:t>
      </w:r>
    </w:p>
    <w:p>
      <w:pPr>
        <w:pStyle w:val="TextBody"/>
        <w:bidi w:val="0"/>
        <w:spacing w:before="0" w:after="0"/>
        <w:jc w:val="center"/>
        <w:rPr>
          <w:rFonts w:ascii="Arial;sans-serif" w:hAnsi="Arial;sans-serif"/>
          <w:b/>
          <w:sz w:val="18"/>
        </w:rPr>
      </w:pPr>
      <w:r>
        <w:rPr>
          <w:rFonts w:ascii="Arial;sans-serif" w:hAnsi="Arial;sans-serif"/>
          <w:b/>
          <w:sz w:val="18"/>
        </w:rPr>
        <w:t>18 U.S.C. SECTION 1350, AS ADOPTED PURSUANT TO</w:t>
      </w:r>
    </w:p>
    <w:p>
      <w:pPr>
        <w:pStyle w:val="TextBody"/>
        <w:bidi w:val="0"/>
        <w:spacing w:before="0" w:after="0"/>
        <w:jc w:val="center"/>
        <w:rPr>
          <w:rFonts w:ascii="Arial;sans-serif" w:hAnsi="Arial;sans-serif"/>
          <w:b/>
          <w:sz w:val="18"/>
        </w:rPr>
      </w:pPr>
      <w:r>
        <w:rPr>
          <w:rFonts w:ascii="Arial;sans-serif" w:hAnsi="Arial;sans-serif"/>
          <w:b/>
          <w:sz w:val="18"/>
        </w:rPr>
        <w:t>SECTION 906 OF THE SARBANES-OXLEY ACT OF 2002</w:t>
      </w:r>
    </w:p>
    <w:p>
      <w:pPr>
        <w:pStyle w:val="TextBody"/>
        <w:bidi w:val="0"/>
        <w:spacing w:before="240" w:after="0"/>
        <w:jc w:val="left"/>
        <w:rPr>
          <w:rFonts w:ascii="Arial;sans-serif" w:hAnsi="Arial;sans-serif"/>
          <w:b w:val="false"/>
          <w:sz w:val="18"/>
        </w:rPr>
      </w:pPr>
      <w:r>
        <w:rPr>
          <w:rFonts w:ascii="Arial;sans-serif" w:hAnsi="Arial;sans-serif"/>
          <w:b w:val="false"/>
          <w:sz w:val="18"/>
        </w:rPr>
        <w:t>In connection with the Quarterly Report of Personalis, Inc. (the “Company”) on Form 10-Q for the period ended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Arial" w:hAnsi="Arial"/>
          <w:b w:val="false"/>
          <w:sz w:val="18"/>
        </w:rPr>
      </w:pPr>
      <w:r>
        <w:rPr>
          <w:rFonts w:ascii="Arial" w:hAnsi="Arial"/>
          <w:b w:val="false"/>
          <w:sz w:val="18"/>
        </w:rPr>
        <w:t>(1)</w:t>
      </w:r>
    </w:p>
    <w:p>
      <w:pPr>
        <w:pStyle w:val="TextBody"/>
        <w:bidi w:val="0"/>
        <w:spacing w:before="240" w:after="0"/>
        <w:jc w:val="left"/>
        <w:rPr>
          <w:rFonts w:ascii="Arial;sans-serif" w:hAnsi="Arial;sans-serif"/>
          <w:b w:val="false"/>
          <w:sz w:val="18"/>
        </w:rPr>
      </w:pPr>
      <w:r>
        <w:rPr>
          <w:rFonts w:ascii="Arial;sans-serif" w:hAnsi="Arial;sans-serif"/>
          <w:b w:val="false"/>
          <w:sz w:val="18"/>
        </w:rPr>
        <w:t>The Report fully complies with the requirements of Section 13(a) or 15(d) of the Securities Exchange Act of 1934; and</w:t>
      </w:r>
    </w:p>
    <w:p>
      <w:pPr>
        <w:pStyle w:val="TextBody"/>
        <w:bidi w:val="0"/>
        <w:spacing w:before="240" w:after="0"/>
        <w:jc w:val="left"/>
        <w:rPr>
          <w:rFonts w:ascii="Arial" w:hAnsi="Arial"/>
          <w:b w:val="false"/>
          <w:sz w:val="18"/>
        </w:rPr>
      </w:pPr>
      <w:r>
        <w:rPr>
          <w:rFonts w:ascii="Arial" w:hAnsi="Arial"/>
          <w:b w:val="false"/>
          <w:sz w:val="18"/>
        </w:rPr>
        <w:t>(2)</w:t>
      </w:r>
    </w:p>
    <w:p>
      <w:pPr>
        <w:pStyle w:val="TextBody"/>
        <w:bidi w:val="0"/>
        <w:spacing w:before="240" w:after="283"/>
        <w:jc w:val="left"/>
        <w:rPr>
          <w:rFonts w:ascii="Arial;sans-serif" w:hAnsi="Arial;sans-serif"/>
          <w:b w:val="false"/>
          <w:sz w:val="18"/>
        </w:rPr>
      </w:pPr>
      <w:r>
        <w:rPr>
          <w:rFonts w:ascii="Arial;sans-serif" w:hAnsi="Arial;sans-serif"/>
          <w:b w:val="false"/>
          <w:sz w:val="18"/>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554" w:type="dxa"/>
        <w:jc w:val="left"/>
        <w:tblInd w:w="0" w:type="dxa"/>
        <w:tblLayout w:type="fixed"/>
        <w:tblCellMar>
          <w:top w:w="28" w:type="dxa"/>
          <w:left w:w="28" w:type="dxa"/>
          <w:bottom w:w="28" w:type="dxa"/>
          <w:right w:w="28" w:type="dxa"/>
        </w:tblCellMar>
      </w:tblPr>
      <w:tblGrid>
        <w:gridCol w:w="1831"/>
        <w:gridCol w:w="146"/>
        <w:gridCol w:w="361"/>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Date: August 8,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21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By:</w:t>
            </w:r>
          </w:p>
        </w:tc>
        <w:tc>
          <w:tcPr>
            <w:tcW w:w="421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/s/ Aaron Tachibana</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Aaron Tachibana</w:t>
            </w:r>
          </w:p>
        </w:tc>
      </w:tr>
      <w:tr>
        <w:trPr/>
        <w:tc>
          <w:tcPr>
            <w:tcW w:w="18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21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sz w:val="18"/>
              </w:rPr>
            </w:pPr>
            <w:r>
              <w:rPr>
                <w:rFonts w:ascii="Arial;sans-serif" w:hAnsi="Arial;sans-serif"/>
                <w:b w:val="false"/>
                <w:sz w:val="18"/>
              </w:rPr>
              <w:t>Chief Financial Officer and Chief Operating Officer</w:t>
            </w:r>
          </w:p>
        </w:tc>
      </w:tr>
      <w:tr>
        <w:trPr/>
        <w:tc>
          <w:tcPr>
            <w:tcW w:w="1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216" w:type="dxa"/>
            <w:tcBorders/>
            <w:tcMar>
              <w:top w:w="0" w:type="dxa"/>
              <w:left w:w="0" w:type="dxa"/>
              <w:bottom w:w="0" w:type="dxa"/>
              <w:right w:w="0" w:type="dxa"/>
            </w:tcMar>
            <w:vAlign w:val="center"/>
          </w:tcPr>
          <w:p>
            <w:pPr>
              <w:pStyle w:val="TableContents"/>
              <w:bidi w:val="0"/>
              <w:spacing w:before="0" w:after="0"/>
              <w:ind w:left="0" w:right="0" w:hanging="0"/>
              <w:jc w:val="left"/>
              <w:rPr>
                <w:rFonts w:ascii="Arial;sans-serif" w:hAnsi="Arial;sans-serif"/>
                <w:b w:val="false"/>
                <w:i/>
                <w:sz w:val="18"/>
              </w:rPr>
            </w:pPr>
            <w:r>
              <w:rPr>
                <w:rFonts w:ascii="Arial;sans-serif" w:hAnsi="Arial;sans-serif"/>
                <w:b w:val="false"/>
                <w:i/>
                <w:sz w:val="18"/>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27753/000119312519180246/d750323dex31.htm" TargetMode="External"/><Relationship Id="rId4" Type="http://schemas.openxmlformats.org/officeDocument/2006/relationships/hyperlink" Target="https://www.sec.gov/Archives/edgar/data/1527753/000095017022020631/psnl-ex3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57656</Words>
  <Characters>317729</Characters>
  <CharactersWithSpaces>375781</CharactersWithSpaces>
  <Paragraphs>6232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