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3" w:lineRule="exact"/>
        <w:rPr>
          <w:sz w:val="24"/>
          <w:szCs w:val="24"/>
          <w:color w:val="auto"/>
        </w:rPr>
      </w:pPr>
    </w:p>
    <w:p>
      <w:pPr>
        <w:jc w:val="center"/>
        <w:ind w:right="60"/>
        <w:spacing w:after="0"/>
        <w:rPr>
          <w:sz w:val="20"/>
          <w:szCs w:val="20"/>
          <w:color w:val="auto"/>
        </w:rPr>
      </w:pPr>
      <w:r>
        <w:rPr>
          <w:rFonts w:ascii="Arial" w:cs="Arial" w:eastAsia="Arial" w:hAnsi="Arial"/>
          <w:sz w:val="23"/>
          <w:szCs w:val="23"/>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45085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68580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ind w:left="4000" w:right="1440" w:hanging="2557"/>
        <w:spacing w:after="0" w:line="290" w:lineRule="auto"/>
        <w:tabs>
          <w:tab w:leader="none" w:pos="180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46" w:lineRule="exact"/>
        <w:rPr>
          <w:sz w:val="24"/>
          <w:szCs w:val="24"/>
          <w:color w:val="auto"/>
        </w:rPr>
      </w:pPr>
    </w:p>
    <w:p>
      <w:pPr>
        <w:ind w:left="3800" w:right="1280" w:hanging="2510"/>
        <w:spacing w:after="0" w:line="290" w:lineRule="auto"/>
        <w:tabs>
          <w:tab w:leader="none" w:pos="165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 to _______.</w:t>
      </w:r>
    </w:p>
    <w:p>
      <w:pPr>
        <w:ind w:left="430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132080</wp:posOffset>
            </wp:positionV>
            <wp:extent cx="1671955"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195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Personalis,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8"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Delaware</w:t>
            </w:r>
          </w:p>
        </w:tc>
        <w:tc>
          <w:tcPr>
            <w:tcW w:w="3540" w:type="dxa"/>
            <w:vAlign w:val="bottom"/>
          </w:tcPr>
          <w:p>
            <w:pPr>
              <w:jc w:val="right"/>
              <w:ind w:right="648"/>
              <w:spacing w:after="0"/>
              <w:rPr>
                <w:sz w:val="20"/>
                <w:szCs w:val="20"/>
                <w:color w:val="auto"/>
              </w:rPr>
            </w:pPr>
            <w:r>
              <w:rPr>
                <w:rFonts w:ascii="Arial" w:cs="Arial" w:eastAsia="Arial" w:hAnsi="Arial"/>
                <w:sz w:val="14"/>
                <w:szCs w:val="14"/>
                <w:b w:val="1"/>
                <w:bCs w:val="1"/>
                <w:color w:val="auto"/>
              </w:rPr>
              <w:t>27-5411038</w:t>
            </w:r>
          </w:p>
        </w:tc>
      </w:tr>
      <w:tr>
        <w:trPr>
          <w:trHeight w:val="162"/>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17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212529"/>
              </w:rPr>
              <w:t>6600 Dumbarton Circle</w:t>
            </w:r>
          </w:p>
        </w:tc>
        <w:tc>
          <w:tcPr>
            <w:tcW w:w="3540" w:type="dxa"/>
            <w:vAlign w:val="bottom"/>
          </w:tcPr>
          <w:p>
            <w:pPr>
              <w:spacing w:after="0"/>
              <w:rPr>
                <w:sz w:val="15"/>
                <w:szCs w:val="15"/>
                <w:color w:val="auto"/>
              </w:rPr>
            </w:pPr>
          </w:p>
        </w:tc>
      </w:tr>
      <w:tr>
        <w:trPr>
          <w:trHeight w:val="1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Fremont, California</w:t>
            </w:r>
          </w:p>
        </w:tc>
        <w:tc>
          <w:tcPr>
            <w:tcW w:w="3540" w:type="dxa"/>
            <w:vAlign w:val="bottom"/>
          </w:tcPr>
          <w:p>
            <w:pPr>
              <w:jc w:val="right"/>
              <w:ind w:right="828"/>
              <w:spacing w:after="0"/>
              <w:rPr>
                <w:sz w:val="20"/>
                <w:szCs w:val="20"/>
                <w:color w:val="auto"/>
              </w:rPr>
            </w:pPr>
            <w:r>
              <w:rPr>
                <w:rFonts w:ascii="Arial" w:cs="Arial" w:eastAsia="Arial" w:hAnsi="Arial"/>
                <w:sz w:val="14"/>
                <w:szCs w:val="14"/>
                <w:b w:val="1"/>
                <w:bCs w:val="1"/>
                <w:color w:val="auto"/>
              </w:rPr>
              <w:t>94555</w:t>
            </w:r>
          </w:p>
        </w:tc>
      </w:tr>
      <w:tr>
        <w:trPr>
          <w:trHeight w:val="190"/>
        </w:trPr>
        <w:tc>
          <w:tcPr>
            <w:tcW w:w="5040" w:type="dxa"/>
            <w:vAlign w:val="bottom"/>
          </w:tcPr>
          <w:p>
            <w:pPr>
              <w:jc w:val="center"/>
              <w:ind w:right="126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68"/>
              <w:spacing w:after="0"/>
              <w:rPr>
                <w:sz w:val="20"/>
                <w:szCs w:val="20"/>
                <w:color w:val="auto"/>
              </w:rPr>
            </w:pPr>
            <w:r>
              <w:rPr>
                <w:rFonts w:ascii="Arial" w:cs="Arial" w:eastAsia="Arial" w:hAnsi="Arial"/>
                <w:sz w:val="14"/>
                <w:szCs w:val="14"/>
                <w:color w:val="auto"/>
              </w:rPr>
              <w:t>(Zip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55245</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Trading</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0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20" w:type="dxa"/>
            <w:vAlign w:val="bottom"/>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Symbol(s)</w:t>
            </w:r>
          </w:p>
        </w:tc>
        <w:tc>
          <w:tcPr>
            <w:tcW w:w="120" w:type="dxa"/>
            <w:vAlign w:val="bottom"/>
          </w:tcPr>
          <w:p>
            <w:pPr>
              <w:spacing w:after="0"/>
              <w:rPr>
                <w:sz w:val="17"/>
                <w:szCs w:val="17"/>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6"/>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PSNL</w:t>
            </w:r>
          </w:p>
        </w:tc>
        <w:tc>
          <w:tcPr>
            <w:tcW w:w="1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Market</w:t>
            </w:r>
          </w:p>
        </w:tc>
      </w:tr>
    </w:tbl>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1" w:lineRule="exact"/>
        <w:rPr>
          <w:sz w:val="24"/>
          <w:szCs w:val="24"/>
          <w:color w:val="auto"/>
        </w:rPr>
      </w:pPr>
    </w:p>
    <w:p>
      <w:pPr>
        <w:ind w:right="2880"/>
        <w:spacing w:after="0" w:line="24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4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61" w:lineRule="exact"/>
        <w:tabs>
          <w:tab w:leader="none" w:pos="1820" w:val="left"/>
          <w:tab w:leader="none" w:pos="2260" w:val="left"/>
          <w:tab w:leader="none" w:pos="3640" w:val="left"/>
          <w:tab w:leader="none" w:pos="4100" w:val="left"/>
          <w:tab w:leader="none" w:pos="5780" w:val="left"/>
          <w:tab w:leader="none" w:pos="6220" w:val="left"/>
          <w:tab w:leader="none" w:pos="8340" w:val="left"/>
          <w:tab w:leader="none" w:pos="8920" w:val="left"/>
          <w:tab w:leader="none" w:pos="110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27" w:lineRule="exact"/>
        <w:rPr>
          <w:sz w:val="24"/>
          <w:szCs w:val="24"/>
          <w:color w:val="auto"/>
        </w:rPr>
      </w:pPr>
    </w:p>
    <w:p>
      <w:pPr>
        <w:ind w:right="34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7" w:lineRule="exact"/>
        <w:rPr>
          <w:sz w:val="24"/>
          <w:szCs w:val="24"/>
          <w:color w:val="auto"/>
        </w:rPr>
      </w:pPr>
    </w:p>
    <w:p>
      <w:pPr>
        <w:ind w:right="56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20"/>
        <w:spacing w:after="0" w:line="285"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as of June 28, 2024, the last business day of the Registrant’s most recently completed second fiscal quarter, was approximately $71,600,000 based on the closing price reported for such date on the Nasdaq Global Market.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88,263,269 shares of common stock were issued and outstanding as of February 21, 2025.</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Portions of the Registrant's definitive proxy statement relating to its 2025 annual meeting of shareholders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 w:name="page2"/>
    <w:bookmarkEnd w:id="1"/>
    <w:p>
      <w:pPr>
        <w:ind w:left="4800"/>
        <w:spacing w:after="0"/>
        <w:rPr>
          <w:sz w:val="20"/>
          <w:szCs w:val="20"/>
          <w:color w:val="auto"/>
        </w:rPr>
      </w:pPr>
      <w:r>
        <w:rPr>
          <w:rFonts w:ascii="Arial" w:cs="Arial" w:eastAsia="Arial" w:hAnsi="Arial"/>
          <w:sz w:val="18"/>
          <w:szCs w:val="18"/>
          <w:b w:val="1"/>
          <w:bCs w:val="1"/>
          <w:color w:val="auto"/>
        </w:rPr>
        <w:t>PERSONALIS, INC.</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Page</w:t>
            </w:r>
          </w:p>
        </w:tc>
      </w:tr>
      <w:tr>
        <w:trPr>
          <w:trHeight w:val="163"/>
        </w:trPr>
        <w:tc>
          <w:tcPr>
            <w:tcW w:w="980" w:type="dxa"/>
            <w:vAlign w:val="bottom"/>
            <w:shd w:val="clear" w:color="auto" w:fill="CFF0FC"/>
          </w:tcPr>
          <w:p>
            <w:pPr>
              <w:spacing w:after="0"/>
              <w:rPr>
                <w:sz w:val="14"/>
                <w:szCs w:val="14"/>
                <w:color w:val="auto"/>
              </w:rPr>
            </w:pPr>
          </w:p>
        </w:tc>
        <w:tc>
          <w:tcPr>
            <w:tcW w:w="9700" w:type="dxa"/>
            <w:vAlign w:val="bottom"/>
            <w:gridSpan w:val="28"/>
            <w:shd w:val="clear" w:color="auto" w:fill="CFF0FC"/>
          </w:tcPr>
          <w:p>
            <w:pPr>
              <w:spacing w:after="0" w:line="155" w:lineRule="exact"/>
              <w:rPr>
                <w:sz w:val="20"/>
                <w:szCs w:val="20"/>
                <w:color w:val="auto"/>
              </w:rPr>
            </w:pPr>
            <w:r>
              <w:rPr>
                <w:rFonts w:ascii="Arial" w:cs="Arial" w:eastAsia="Arial" w:hAnsi="Arial"/>
                <w:sz w:val="16"/>
                <w:szCs w:val="16"/>
                <w:color w:val="0000FF"/>
              </w:rPr>
              <w:t>Note Regarding Forward-Looking Statements</w:t>
            </w:r>
          </w:p>
        </w:tc>
        <w:tc>
          <w:tcPr>
            <w:tcW w:w="56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w w:val="89"/>
              </w:rPr>
              <w:t>3</w:t>
            </w:r>
          </w:p>
        </w:tc>
      </w:tr>
      <w:tr>
        <w:trPr>
          <w:trHeight w:val="189"/>
        </w:trPr>
        <w:tc>
          <w:tcPr>
            <w:tcW w:w="980" w:type="dxa"/>
            <w:vAlign w:val="bottom"/>
            <w:tcBorders>
              <w:top w:val="single" w:sz="8" w:color="CFF0FC"/>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520" w:type="dxa"/>
            <w:vAlign w:val="bottom"/>
            <w:tcBorders>
              <w:top w:val="single" w:sz="8" w:color="CFF0FC"/>
            </w:tcBorders>
          </w:tcPr>
          <w:p>
            <w:pPr>
              <w:spacing w:after="0"/>
              <w:rPr>
                <w:sz w:val="16"/>
                <w:szCs w:val="16"/>
                <w:color w:val="auto"/>
              </w:rPr>
            </w:pPr>
          </w:p>
        </w:tc>
        <w:tc>
          <w:tcPr>
            <w:tcW w:w="9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800" w:type="dxa"/>
            <w:vAlign w:val="bottom"/>
            <w:tcBorders>
              <w:top w:val="single" w:sz="8" w:color="CFF0FC"/>
            </w:tcBorders>
          </w:tcPr>
          <w:p>
            <w:pPr>
              <w:spacing w:after="0"/>
              <w:rPr>
                <w:sz w:val="16"/>
                <w:szCs w:val="16"/>
                <w:color w:val="auto"/>
              </w:rPr>
            </w:pPr>
          </w:p>
        </w:tc>
        <w:tc>
          <w:tcPr>
            <w:tcW w:w="780" w:type="dxa"/>
            <w:vAlign w:val="bottom"/>
            <w:tcBorders>
              <w:top w:val="single" w:sz="8" w:color="CFF0FC"/>
            </w:tcBorders>
          </w:tcPr>
          <w:p>
            <w:pPr>
              <w:spacing w:after="0"/>
              <w:rPr>
                <w:sz w:val="16"/>
                <w:szCs w:val="16"/>
                <w:color w:val="auto"/>
              </w:rPr>
            </w:pPr>
          </w:p>
        </w:tc>
        <w:tc>
          <w:tcPr>
            <w:tcW w:w="170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spacing w:after="0"/>
              <w:rPr>
                <w:sz w:val="16"/>
                <w:szCs w:val="16"/>
                <w:color w:val="auto"/>
              </w:rPr>
            </w:pPr>
          </w:p>
        </w:tc>
      </w:tr>
      <w:tr>
        <w:trPr>
          <w:trHeight w:val="169"/>
        </w:trPr>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tcBorders>
              <w:right w:val="single" w:sz="8" w:color="CFF0FC"/>
            </w:tcBorders>
            <w:shd w:val="clear" w:color="auto" w:fill="CFF0FC"/>
          </w:tcPr>
          <w:p>
            <w:pPr>
              <w:spacing w:after="0"/>
              <w:rPr>
                <w:sz w:val="14"/>
                <w:szCs w:val="14"/>
                <w:color w:val="auto"/>
              </w:rPr>
            </w:pPr>
          </w:p>
        </w:tc>
        <w:tc>
          <w:tcPr>
            <w:tcW w:w="5320" w:type="dxa"/>
            <w:vAlign w:val="bottom"/>
            <w:gridSpan w:val="9"/>
            <w:shd w:val="clear" w:color="auto" w:fill="CFF0FC"/>
          </w:tcPr>
          <w:p>
            <w:pPr>
              <w:jc w:val="center"/>
              <w:ind w:right="4800"/>
              <w:spacing w:after="0" w:line="162" w:lineRule="exact"/>
              <w:rPr>
                <w:sz w:val="20"/>
                <w:szCs w:val="20"/>
                <w:color w:val="auto"/>
              </w:rPr>
            </w:pPr>
            <w:r>
              <w:rPr>
                <w:rFonts w:ascii="Arial" w:cs="Arial" w:eastAsia="Arial" w:hAnsi="Arial"/>
                <w:sz w:val="16"/>
                <w:szCs w:val="16"/>
                <w:b w:val="1"/>
                <w:bCs w:val="1"/>
                <w:color w:val="0000FF"/>
                <w:w w:val="99"/>
              </w:rPr>
              <w:t>PART I</w:t>
            </w:r>
          </w:p>
        </w:tc>
        <w:tc>
          <w:tcPr>
            <w:tcW w:w="560" w:type="dxa"/>
            <w:vAlign w:val="bottom"/>
            <w:shd w:val="clear" w:color="auto" w:fill="CFF0FC"/>
          </w:tcPr>
          <w:p>
            <w:pPr>
              <w:spacing w:after="0"/>
              <w:rPr>
                <w:sz w:val="14"/>
                <w:szCs w:val="14"/>
                <w:color w:val="auto"/>
              </w:rPr>
            </w:pPr>
          </w:p>
        </w:tc>
      </w:tr>
      <w:tr>
        <w:trPr>
          <w:trHeight w:val="169"/>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w:t>
            </w:r>
          </w:p>
        </w:tc>
        <w:tc>
          <w:tcPr>
            <w:tcW w:w="660" w:type="dxa"/>
            <w:vAlign w:val="bottom"/>
            <w:tcBorders>
              <w:top w:val="single" w:sz="8" w:color="CFF0FC"/>
              <w:bottom w:val="single" w:sz="8" w:color="0000FF"/>
            </w:tcBorders>
          </w:tcPr>
          <w:p>
            <w:pPr>
              <w:spacing w:after="0" w:line="162" w:lineRule="exact"/>
              <w:rPr>
                <w:sz w:val="20"/>
                <w:szCs w:val="20"/>
                <w:color w:val="auto"/>
              </w:rPr>
            </w:pPr>
            <w:r>
              <w:rPr>
                <w:rFonts w:ascii="Arial" w:cs="Arial" w:eastAsia="Arial" w:hAnsi="Arial"/>
                <w:sz w:val="16"/>
                <w:szCs w:val="16"/>
                <w:color w:val="0000FF"/>
                <w:w w:val="98"/>
              </w:rPr>
              <w:t>Business</w:t>
            </w:r>
          </w:p>
        </w:tc>
        <w:tc>
          <w:tcPr>
            <w:tcW w:w="3720" w:type="dxa"/>
            <w:vAlign w:val="bottom"/>
            <w:tcBorders>
              <w:top w:val="single" w:sz="8" w:color="CFF0FC"/>
            </w:tcBorders>
            <w:gridSpan w:val="18"/>
          </w:tcPr>
          <w:p>
            <w:pPr>
              <w:spacing w:after="0"/>
              <w:rPr>
                <w:sz w:val="14"/>
                <w:szCs w:val="14"/>
                <w:color w:val="auto"/>
              </w:rPr>
            </w:pPr>
          </w:p>
        </w:tc>
        <w:tc>
          <w:tcPr>
            <w:tcW w:w="560" w:type="dxa"/>
            <w:vAlign w:val="bottom"/>
            <w:tcBorders>
              <w:top w:val="single" w:sz="8" w:color="0000FF"/>
            </w:tcBorders>
            <w:gridSpan w:val="2"/>
          </w:tcPr>
          <w:p>
            <w:pPr>
              <w:spacing w:after="0"/>
              <w:rPr>
                <w:sz w:val="14"/>
                <w:szCs w:val="14"/>
                <w:color w:val="auto"/>
              </w:rPr>
            </w:pPr>
          </w:p>
        </w:tc>
        <w:tc>
          <w:tcPr>
            <w:tcW w:w="4760" w:type="dxa"/>
            <w:vAlign w:val="bottom"/>
            <w:tcBorders>
              <w:top w:val="single" w:sz="8" w:color="CFF0FC"/>
            </w:tcBorders>
            <w:gridSpan w:val="7"/>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w w:val="89"/>
              </w:rPr>
              <w:t>6</w:t>
            </w: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shd w:val="clear" w:color="auto" w:fill="CFF0FC"/>
          </w:tcPr>
          <w:p>
            <w:pPr>
              <w:spacing w:after="0" w:line="162" w:lineRule="exact"/>
              <w:rPr>
                <w:sz w:val="20"/>
                <w:szCs w:val="20"/>
                <w:color w:val="auto"/>
              </w:rPr>
            </w:pPr>
            <w:r>
              <w:rPr>
                <w:rFonts w:ascii="Arial" w:cs="Arial" w:eastAsia="Arial" w:hAnsi="Arial"/>
                <w:sz w:val="16"/>
                <w:szCs w:val="16"/>
                <w:color w:val="0000FF"/>
                <w:w w:val="98"/>
              </w:rPr>
              <w:t>Risk Factors</w:t>
            </w:r>
          </w:p>
        </w:tc>
        <w:tc>
          <w:tcPr>
            <w:tcW w:w="8800" w:type="dxa"/>
            <w:vAlign w:val="bottom"/>
            <w:tcBorders>
              <w:bottom w:val="single" w:sz="8" w:color="CFF0FC"/>
            </w:tcBorders>
            <w:gridSpan w:val="25"/>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16</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1B.</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Unresolved Staff Comments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55</w:t>
            </w: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1C.</w:t>
            </w:r>
          </w:p>
        </w:tc>
        <w:tc>
          <w:tcPr>
            <w:tcW w:w="1000" w:type="dxa"/>
            <w:vAlign w:val="bottom"/>
            <w:tcBorders>
              <w:top w:val="single" w:sz="8" w:color="0000FF"/>
              <w:bottom w:val="single" w:sz="8" w:color="0000FF"/>
            </w:tcBorders>
            <w:gridSpan w:val="4"/>
            <w:shd w:val="clear" w:color="auto" w:fill="CFF0FC"/>
          </w:tcPr>
          <w:p>
            <w:pPr>
              <w:spacing w:after="0" w:line="162" w:lineRule="exact"/>
              <w:rPr>
                <w:sz w:val="20"/>
                <w:szCs w:val="20"/>
                <w:color w:val="auto"/>
              </w:rPr>
            </w:pPr>
            <w:r>
              <w:rPr>
                <w:rFonts w:ascii="Arial" w:cs="Arial" w:eastAsia="Arial" w:hAnsi="Arial"/>
                <w:sz w:val="16"/>
                <w:szCs w:val="16"/>
                <w:color w:val="0000FF"/>
              </w:rPr>
              <w:t>Cybersecurity</w:t>
            </w:r>
          </w:p>
        </w:tc>
        <w:tc>
          <w:tcPr>
            <w:tcW w:w="1020" w:type="dxa"/>
            <w:vAlign w:val="bottom"/>
            <w:tcBorders>
              <w:top w:val="single" w:sz="8" w:color="0000FF"/>
              <w:bottom w:val="single" w:sz="8" w:color="CFF0FC"/>
            </w:tcBorders>
            <w:gridSpan w:val="6"/>
            <w:shd w:val="clear" w:color="auto" w:fill="CFF0FC"/>
          </w:tcPr>
          <w:p>
            <w:pPr>
              <w:spacing w:after="0"/>
              <w:rPr>
                <w:sz w:val="14"/>
                <w:szCs w:val="14"/>
                <w:color w:val="auto"/>
              </w:rPr>
            </w:pPr>
          </w:p>
        </w:tc>
        <w:tc>
          <w:tcPr>
            <w:tcW w:w="7680" w:type="dxa"/>
            <w:vAlign w:val="bottom"/>
            <w:tcBorders>
              <w:bottom w:val="single" w:sz="8" w:color="CFF0FC"/>
            </w:tcBorders>
            <w:gridSpan w:val="18"/>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55</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2.</w:t>
            </w:r>
          </w:p>
        </w:tc>
        <w:tc>
          <w:tcPr>
            <w:tcW w:w="780" w:type="dxa"/>
            <w:vAlign w:val="bottom"/>
            <w:tcBorders>
              <w:bottom w:val="single" w:sz="8" w:color="0000FF"/>
            </w:tcBorders>
            <w:gridSpan w:val="2"/>
          </w:tcPr>
          <w:p>
            <w:pPr>
              <w:spacing w:after="0" w:line="162" w:lineRule="exact"/>
              <w:rPr>
                <w:sz w:val="20"/>
                <w:szCs w:val="20"/>
                <w:color w:val="auto"/>
              </w:rPr>
            </w:pPr>
            <w:r>
              <w:rPr>
                <w:rFonts w:ascii="Arial" w:cs="Arial" w:eastAsia="Arial" w:hAnsi="Arial"/>
                <w:sz w:val="16"/>
                <w:szCs w:val="16"/>
                <w:color w:val="0000FF"/>
              </w:rPr>
              <w:t>Properties</w:t>
            </w:r>
          </w:p>
        </w:tc>
        <w:tc>
          <w:tcPr>
            <w:tcW w:w="8920" w:type="dxa"/>
            <w:vAlign w:val="bottom"/>
            <w:gridSpan w:val="26"/>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56</w:t>
            </w:r>
          </w:p>
        </w:tc>
      </w:tr>
      <w:tr>
        <w:trPr>
          <w:trHeight w:val="162"/>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9700" w:type="dxa"/>
            <w:vAlign w:val="bottom"/>
            <w:gridSpan w:val="28"/>
            <w:shd w:val="clear" w:color="auto" w:fill="CFF0FC"/>
          </w:tcPr>
          <w:p>
            <w:pPr>
              <w:spacing w:after="0" w:line="162" w:lineRule="exact"/>
              <w:rPr>
                <w:sz w:val="20"/>
                <w:szCs w:val="20"/>
                <w:color w:val="auto"/>
              </w:rPr>
            </w:pPr>
            <w:r>
              <w:rPr>
                <w:rFonts w:ascii="Arial" w:cs="Arial" w:eastAsia="Arial" w:hAnsi="Arial"/>
                <w:sz w:val="16"/>
                <w:szCs w:val="16"/>
                <w:color w:val="0000FF"/>
              </w:rPr>
              <w:t>Legal Proceedings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56</w:t>
            </w:r>
          </w:p>
        </w:tc>
      </w:tr>
      <w:tr>
        <w:trPr>
          <w:trHeight w:val="27"/>
        </w:trPr>
        <w:tc>
          <w:tcPr>
            <w:tcW w:w="980" w:type="dxa"/>
            <w:vAlign w:val="bottom"/>
            <w:shd w:val="clear" w:color="auto" w:fill="CFF0FC"/>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tcBorders>
              <w:right w:val="single" w:sz="8" w:color="CFF0FC"/>
            </w:tcBorders>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4.</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Mine Safety Disclosures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56</w:t>
            </w:r>
          </w:p>
        </w:tc>
      </w:tr>
      <w:tr>
        <w:trPr>
          <w:trHeight w:val="189"/>
        </w:trPr>
        <w:tc>
          <w:tcPr>
            <w:tcW w:w="980" w:type="dxa"/>
            <w:vAlign w:val="bottom"/>
            <w:shd w:val="clear" w:color="auto" w:fill="CFF0FC"/>
          </w:tcPr>
          <w:p>
            <w:pPr>
              <w:spacing w:after="0"/>
              <w:rPr>
                <w:sz w:val="16"/>
                <w:szCs w:val="16"/>
                <w:color w:val="auto"/>
              </w:rPr>
            </w:pPr>
          </w:p>
        </w:tc>
        <w:tc>
          <w:tcPr>
            <w:tcW w:w="660" w:type="dxa"/>
            <w:vAlign w:val="bottom"/>
            <w:tcBorders>
              <w:top w:val="single" w:sz="8" w:color="0000FF"/>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26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240" w:type="dxa"/>
            <w:vAlign w:val="bottom"/>
            <w:tcBorders>
              <w:top w:val="single" w:sz="8" w:color="0000FF"/>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r>
      <w:tr>
        <w:trPr>
          <w:trHeight w:val="162"/>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10"/>
          </w:tcPr>
          <w:p>
            <w:pPr>
              <w:jc w:val="center"/>
              <w:ind w:right="4740"/>
              <w:spacing w:after="0" w:line="162" w:lineRule="exact"/>
              <w:rPr>
                <w:sz w:val="20"/>
                <w:szCs w:val="20"/>
                <w:color w:val="auto"/>
              </w:rPr>
            </w:pPr>
            <w:r>
              <w:rPr>
                <w:rFonts w:ascii="Arial" w:cs="Arial" w:eastAsia="Arial" w:hAnsi="Arial"/>
                <w:sz w:val="16"/>
                <w:szCs w:val="16"/>
                <w:b w:val="1"/>
                <w:bCs w:val="1"/>
                <w:color w:val="0000FF"/>
              </w:rPr>
              <w:t>PART II</w:t>
            </w:r>
          </w:p>
        </w:tc>
        <w:tc>
          <w:tcPr>
            <w:tcW w:w="560" w:type="dxa"/>
            <w:vAlign w:val="bottom"/>
          </w:tcPr>
          <w:p>
            <w:pPr>
              <w:spacing w:after="0"/>
              <w:rPr>
                <w:sz w:val="14"/>
                <w:szCs w:val="14"/>
                <w:color w:val="auto"/>
              </w:rPr>
            </w:pPr>
          </w:p>
        </w:tc>
      </w:tr>
      <w:tr>
        <w:trPr>
          <w:trHeight w:val="27"/>
        </w:trPr>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right w:val="single" w:sz="8" w:color="0000FF"/>
            </w:tcBorders>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5.</w:t>
            </w:r>
          </w:p>
        </w:tc>
        <w:tc>
          <w:tcPr>
            <w:tcW w:w="9700" w:type="dxa"/>
            <w:vAlign w:val="bottom"/>
            <w:gridSpan w:val="28"/>
            <w:shd w:val="clear" w:color="auto" w:fill="CFF0FC"/>
          </w:tcPr>
          <w:p>
            <w:pPr>
              <w:spacing w:after="0" w:line="162" w:lineRule="exact"/>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57</w:t>
            </w:r>
          </w:p>
        </w:tc>
      </w:tr>
      <w:tr>
        <w:trPr>
          <w:trHeight w:val="162"/>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6.</w:t>
            </w:r>
          </w:p>
        </w:tc>
        <w:tc>
          <w:tcPr>
            <w:tcW w:w="8000" w:type="dxa"/>
            <w:vAlign w:val="bottom"/>
            <w:tcBorders>
              <w:top w:val="single" w:sz="8" w:color="0000FF"/>
            </w:tcBorders>
            <w:gridSpan w:val="27"/>
          </w:tcPr>
          <w:p>
            <w:pPr>
              <w:spacing w:after="0" w:line="162" w:lineRule="exact"/>
              <w:rPr>
                <w:sz w:val="20"/>
                <w:szCs w:val="20"/>
                <w:color w:val="auto"/>
              </w:rPr>
            </w:pPr>
            <w:r>
              <w:rPr>
                <w:rFonts w:ascii="Arial" w:cs="Arial" w:eastAsia="Arial" w:hAnsi="Arial"/>
                <w:sz w:val="16"/>
                <w:szCs w:val="16"/>
                <w:color w:val="0000FF"/>
              </w:rPr>
              <w:t>[Reserved]</w:t>
            </w:r>
          </w:p>
        </w:tc>
        <w:tc>
          <w:tcPr>
            <w:tcW w:w="170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57</w:t>
            </w:r>
          </w:p>
        </w:tc>
      </w:tr>
      <w:tr>
        <w:trPr>
          <w:trHeight w:val="27"/>
        </w:trPr>
        <w:tc>
          <w:tcPr>
            <w:tcW w:w="980" w:type="dxa"/>
            <w:vAlign w:val="bottom"/>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7.</w:t>
            </w:r>
          </w:p>
        </w:tc>
        <w:tc>
          <w:tcPr>
            <w:tcW w:w="6380" w:type="dxa"/>
            <w:vAlign w:val="bottom"/>
            <w:tcBorders>
              <w:bottom w:val="single" w:sz="8" w:color="0000FF"/>
            </w:tcBorders>
            <w:gridSpan w:val="24"/>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3320" w:type="dxa"/>
            <w:vAlign w:val="bottom"/>
            <w:tcBorders>
              <w:bottom w:val="single" w:sz="8" w:color="CFF0FC"/>
            </w:tcBorders>
            <w:gridSpan w:val="4"/>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58</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7A.</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68</w:t>
            </w:r>
          </w:p>
        </w:tc>
      </w:tr>
      <w:tr>
        <w:trPr>
          <w:trHeight w:val="162"/>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8.</w:t>
            </w:r>
          </w:p>
        </w:tc>
        <w:tc>
          <w:tcPr>
            <w:tcW w:w="4240" w:type="dxa"/>
            <w:vAlign w:val="bottom"/>
            <w:tcBorders>
              <w:top w:val="single" w:sz="8" w:color="0000FF"/>
            </w:tcBorders>
            <w:gridSpan w:val="16"/>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and Supplementary Data</w:t>
            </w:r>
          </w:p>
        </w:tc>
        <w:tc>
          <w:tcPr>
            <w:tcW w:w="5460" w:type="dxa"/>
            <w:vAlign w:val="bottom"/>
            <w:gridSpan w:val="12"/>
            <w:shd w:val="clear" w:color="auto" w:fill="CFF0FC"/>
          </w:tcPr>
          <w:p>
            <w:pPr>
              <w:spacing w:after="0"/>
              <w:rPr>
                <w:sz w:val="14"/>
                <w:szCs w:val="14"/>
                <w:color w:val="auto"/>
              </w:rPr>
            </w:pP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69</w:t>
            </w:r>
          </w:p>
        </w:tc>
      </w:tr>
      <w:tr>
        <w:trPr>
          <w:trHeight w:val="27"/>
        </w:trPr>
        <w:tc>
          <w:tcPr>
            <w:tcW w:w="980" w:type="dxa"/>
            <w:vAlign w:val="bottom"/>
            <w:shd w:val="clear" w:color="auto" w:fill="CFF0FC"/>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tcBorders>
              <w:right w:val="single" w:sz="8" w:color="CFF0FC"/>
            </w:tcBorders>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7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FF"/>
            </w:tcBorders>
            <w:gridSpan w:val="25"/>
          </w:tcPr>
          <w:p>
            <w:pPr>
              <w:spacing w:after="0" w:line="162" w:lineRule="exact"/>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3280" w:type="dxa"/>
            <w:vAlign w:val="bottom"/>
            <w:gridSpan w:val="3"/>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9A.</w:t>
            </w:r>
          </w:p>
        </w:tc>
        <w:tc>
          <w:tcPr>
            <w:tcW w:w="1800" w:type="dxa"/>
            <w:vAlign w:val="bottom"/>
            <w:tcBorders>
              <w:bottom w:val="single" w:sz="8" w:color="0000FF"/>
            </w:tcBorders>
            <w:gridSpan w:val="9"/>
            <w:shd w:val="clear" w:color="auto" w:fill="CFF0FC"/>
          </w:tcPr>
          <w:p>
            <w:pPr>
              <w:spacing w:after="0" w:line="162" w:lineRule="exact"/>
              <w:rPr>
                <w:sz w:val="20"/>
                <w:szCs w:val="20"/>
                <w:color w:val="auto"/>
              </w:rPr>
            </w:pPr>
            <w:r>
              <w:rPr>
                <w:rFonts w:ascii="Arial" w:cs="Arial" w:eastAsia="Arial" w:hAnsi="Arial"/>
                <w:sz w:val="16"/>
                <w:szCs w:val="16"/>
                <w:color w:val="0000FF"/>
              </w:rPr>
              <w:t>Controls and Procedures</w:t>
            </w:r>
          </w:p>
        </w:tc>
        <w:tc>
          <w:tcPr>
            <w:tcW w:w="7900" w:type="dxa"/>
            <w:vAlign w:val="bottom"/>
            <w:tcBorders>
              <w:bottom w:val="single" w:sz="8" w:color="CFF0FC"/>
            </w:tcBorders>
            <w:gridSpan w:val="19"/>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162"/>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9B.</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Other Information</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27"/>
        </w:trPr>
        <w:tc>
          <w:tcPr>
            <w:tcW w:w="980" w:type="dxa"/>
            <w:vAlign w:val="bottom"/>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69"/>
        </w:trPr>
        <w:tc>
          <w:tcPr>
            <w:tcW w:w="98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color w:val="auto"/>
              </w:rPr>
              <w:t>Item 9C.</w:t>
            </w:r>
          </w:p>
        </w:tc>
        <w:tc>
          <w:tcPr>
            <w:tcW w:w="9700" w:type="dxa"/>
            <w:vAlign w:val="bottom"/>
            <w:gridSpan w:val="28"/>
            <w:shd w:val="clear" w:color="auto" w:fill="CFF0FC"/>
          </w:tcPr>
          <w:p>
            <w:pPr>
              <w:spacing w:after="0" w:line="162" w:lineRule="exact"/>
              <w:rPr>
                <w:sz w:val="20"/>
                <w:szCs w:val="20"/>
                <w:color w:val="auto"/>
              </w:rPr>
            </w:pPr>
            <w:r>
              <w:rPr>
                <w:rFonts w:ascii="Arial" w:cs="Arial" w:eastAsia="Arial" w:hAnsi="Arial"/>
                <w:sz w:val="16"/>
                <w:szCs w:val="16"/>
                <w:color w:val="0000FF"/>
              </w:rPr>
              <w:t>Disclosure Regarding Foreign Jurisdictions that Prevent Inspections</w:t>
            </w: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100</w:t>
            </w:r>
          </w:p>
        </w:tc>
      </w:tr>
      <w:tr>
        <w:trPr>
          <w:trHeight w:val="189"/>
        </w:trPr>
        <w:tc>
          <w:tcPr>
            <w:tcW w:w="980" w:type="dxa"/>
            <w:vAlign w:val="bottom"/>
            <w:tcBorders>
              <w:top w:val="single" w:sz="8" w:color="CFF0FC"/>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520" w:type="dxa"/>
            <w:vAlign w:val="bottom"/>
            <w:tcBorders>
              <w:top w:val="single" w:sz="8" w:color="CFF0FC"/>
            </w:tcBorders>
          </w:tcPr>
          <w:p>
            <w:pPr>
              <w:spacing w:after="0"/>
              <w:rPr>
                <w:sz w:val="16"/>
                <w:szCs w:val="16"/>
                <w:color w:val="auto"/>
              </w:rPr>
            </w:pPr>
          </w:p>
        </w:tc>
        <w:tc>
          <w:tcPr>
            <w:tcW w:w="9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800" w:type="dxa"/>
            <w:vAlign w:val="bottom"/>
            <w:tcBorders>
              <w:top w:val="single" w:sz="8" w:color="CFF0FC"/>
            </w:tcBorders>
          </w:tcPr>
          <w:p>
            <w:pPr>
              <w:spacing w:after="0"/>
              <w:rPr>
                <w:sz w:val="16"/>
                <w:szCs w:val="16"/>
                <w:color w:val="auto"/>
              </w:rPr>
            </w:pPr>
          </w:p>
        </w:tc>
        <w:tc>
          <w:tcPr>
            <w:tcW w:w="780" w:type="dxa"/>
            <w:vAlign w:val="bottom"/>
            <w:tcBorders>
              <w:top w:val="single" w:sz="8" w:color="CFF0FC"/>
            </w:tcBorders>
          </w:tcPr>
          <w:p>
            <w:pPr>
              <w:spacing w:after="0"/>
              <w:rPr>
                <w:sz w:val="16"/>
                <w:szCs w:val="16"/>
                <w:color w:val="auto"/>
              </w:rPr>
            </w:pPr>
          </w:p>
        </w:tc>
        <w:tc>
          <w:tcPr>
            <w:tcW w:w="170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spacing w:after="0"/>
              <w:rPr>
                <w:sz w:val="16"/>
                <w:szCs w:val="16"/>
                <w:color w:val="auto"/>
              </w:rPr>
            </w:pPr>
          </w:p>
        </w:tc>
      </w:tr>
      <w:tr>
        <w:trPr>
          <w:trHeight w:val="169"/>
        </w:trPr>
        <w:tc>
          <w:tcPr>
            <w:tcW w:w="9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380" w:type="dxa"/>
            <w:vAlign w:val="bottom"/>
            <w:gridSpan w:val="11"/>
            <w:shd w:val="clear" w:color="auto" w:fill="CFF0FC"/>
          </w:tcPr>
          <w:p>
            <w:pPr>
              <w:jc w:val="center"/>
              <w:ind w:right="4720"/>
              <w:spacing w:after="0" w:line="162" w:lineRule="exact"/>
              <w:rPr>
                <w:sz w:val="20"/>
                <w:szCs w:val="20"/>
                <w:color w:val="auto"/>
              </w:rPr>
            </w:pPr>
            <w:r>
              <w:rPr>
                <w:rFonts w:ascii="Arial" w:cs="Arial" w:eastAsia="Arial" w:hAnsi="Arial"/>
                <w:sz w:val="16"/>
                <w:szCs w:val="16"/>
                <w:b w:val="1"/>
                <w:bCs w:val="1"/>
                <w:color w:val="0000FF"/>
              </w:rPr>
              <w:t>PART III</w:t>
            </w:r>
          </w:p>
        </w:tc>
        <w:tc>
          <w:tcPr>
            <w:tcW w:w="560" w:type="dxa"/>
            <w:vAlign w:val="bottom"/>
            <w:shd w:val="clear" w:color="auto" w:fill="CFF0FC"/>
          </w:tcPr>
          <w:p>
            <w:pPr>
              <w:spacing w:after="0"/>
              <w:rPr>
                <w:sz w:val="14"/>
                <w:szCs w:val="14"/>
                <w:color w:val="auto"/>
              </w:rPr>
            </w:pPr>
          </w:p>
        </w:tc>
      </w:tr>
      <w:tr>
        <w:trPr>
          <w:trHeight w:val="169"/>
        </w:trPr>
        <w:tc>
          <w:tcPr>
            <w:tcW w:w="980" w:type="dxa"/>
            <w:vAlign w:val="bottom"/>
            <w:tcBorders>
              <w:top w:val="single" w:sz="8" w:color="CFF0FC"/>
            </w:tcBorders>
          </w:tcPr>
          <w:p>
            <w:pPr>
              <w:ind w:left="20"/>
              <w:spacing w:after="0" w:line="162" w:lineRule="exact"/>
              <w:rPr>
                <w:sz w:val="20"/>
                <w:szCs w:val="20"/>
                <w:color w:val="auto"/>
              </w:rPr>
            </w:pPr>
            <w:r>
              <w:rPr>
                <w:rFonts w:ascii="Arial" w:cs="Arial" w:eastAsia="Arial" w:hAnsi="Arial"/>
                <w:sz w:val="16"/>
                <w:szCs w:val="16"/>
                <w:color w:val="auto"/>
              </w:rPr>
              <w:t>Item 10.</w:t>
            </w:r>
          </w:p>
        </w:tc>
        <w:tc>
          <w:tcPr>
            <w:tcW w:w="4060" w:type="dxa"/>
            <w:vAlign w:val="bottom"/>
            <w:tcBorders>
              <w:top w:val="single" w:sz="8" w:color="CFF0FC"/>
              <w:bottom w:val="single" w:sz="8" w:color="0000FF"/>
            </w:tcBorders>
            <w:gridSpan w:val="15"/>
          </w:tcPr>
          <w:p>
            <w:pPr>
              <w:spacing w:after="0" w:line="162" w:lineRule="exact"/>
              <w:rPr>
                <w:sz w:val="20"/>
                <w:szCs w:val="20"/>
                <w:color w:val="auto"/>
              </w:rPr>
            </w:pPr>
            <w:r>
              <w:rPr>
                <w:rFonts w:ascii="Arial" w:cs="Arial" w:eastAsia="Arial" w:hAnsi="Arial"/>
                <w:sz w:val="16"/>
                <w:szCs w:val="16"/>
                <w:color w:val="0000FF"/>
              </w:rPr>
              <w:t>Directors, Executive Officers and Corporate Governance</w:t>
            </w:r>
          </w:p>
        </w:tc>
        <w:tc>
          <w:tcPr>
            <w:tcW w:w="280" w:type="dxa"/>
            <w:vAlign w:val="bottom"/>
            <w:tcBorders>
              <w:top w:val="single" w:sz="8" w:color="CFF0FC"/>
            </w:tcBorders>
            <w:gridSpan w:val="3"/>
          </w:tcPr>
          <w:p>
            <w:pPr>
              <w:spacing w:after="0"/>
              <w:rPr>
                <w:sz w:val="14"/>
                <w:szCs w:val="14"/>
                <w:color w:val="auto"/>
              </w:rPr>
            </w:pPr>
          </w:p>
        </w:tc>
        <w:tc>
          <w:tcPr>
            <w:tcW w:w="620" w:type="dxa"/>
            <w:vAlign w:val="bottom"/>
            <w:tcBorders>
              <w:top w:val="single" w:sz="8" w:color="0000FF"/>
            </w:tcBorders>
            <w:gridSpan w:val="4"/>
          </w:tcPr>
          <w:p>
            <w:pPr>
              <w:spacing w:after="0"/>
              <w:rPr>
                <w:sz w:val="14"/>
                <w:szCs w:val="14"/>
                <w:color w:val="auto"/>
              </w:rPr>
            </w:pPr>
          </w:p>
        </w:tc>
        <w:tc>
          <w:tcPr>
            <w:tcW w:w="4740" w:type="dxa"/>
            <w:vAlign w:val="bottom"/>
            <w:tcBorders>
              <w:top w:val="single" w:sz="8" w:color="CFF0FC"/>
            </w:tcBorders>
            <w:gridSpan w:val="6"/>
          </w:tcPr>
          <w:p>
            <w:pPr>
              <w:spacing w:after="0"/>
              <w:rPr>
                <w:sz w:val="14"/>
                <w:szCs w:val="14"/>
                <w:color w:val="auto"/>
              </w:rPr>
            </w:pPr>
          </w:p>
        </w:tc>
        <w:tc>
          <w:tcPr>
            <w:tcW w:w="560" w:type="dxa"/>
            <w:vAlign w:val="bottom"/>
            <w:tcBorders>
              <w:top w:val="single" w:sz="8" w:color="CFF0FC"/>
            </w:tcBorders>
          </w:tcPr>
          <w:p>
            <w:pPr>
              <w:jc w:val="center"/>
              <w:spacing w:after="0" w:line="162" w:lineRule="exact"/>
              <w:rPr>
                <w:sz w:val="20"/>
                <w:szCs w:val="20"/>
                <w:color w:val="auto"/>
              </w:rPr>
            </w:pPr>
            <w:r>
              <w:rPr>
                <w:rFonts w:ascii="Arial" w:cs="Arial" w:eastAsia="Arial" w:hAnsi="Arial"/>
                <w:sz w:val="16"/>
                <w:szCs w:val="16"/>
                <w:color w:val="auto"/>
              </w:rPr>
              <w:t>101</w:t>
            </w: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11.</w:t>
            </w:r>
          </w:p>
        </w:tc>
        <w:tc>
          <w:tcPr>
            <w:tcW w:w="1800" w:type="dxa"/>
            <w:vAlign w:val="bottom"/>
            <w:tcBorders>
              <w:bottom w:val="single" w:sz="8" w:color="0000FF"/>
            </w:tcBorders>
            <w:gridSpan w:val="9"/>
            <w:shd w:val="clear" w:color="auto" w:fill="CFF0FC"/>
          </w:tcPr>
          <w:p>
            <w:pPr>
              <w:spacing w:after="0" w:line="162" w:lineRule="exact"/>
              <w:rPr>
                <w:sz w:val="20"/>
                <w:szCs w:val="20"/>
                <w:color w:val="auto"/>
              </w:rPr>
            </w:pPr>
            <w:r>
              <w:rPr>
                <w:rFonts w:ascii="Arial" w:cs="Arial" w:eastAsia="Arial" w:hAnsi="Arial"/>
                <w:sz w:val="16"/>
                <w:szCs w:val="16"/>
                <w:color w:val="0000FF"/>
              </w:rPr>
              <w:t>Executive Compensation</w:t>
            </w:r>
          </w:p>
        </w:tc>
        <w:tc>
          <w:tcPr>
            <w:tcW w:w="7900" w:type="dxa"/>
            <w:vAlign w:val="bottom"/>
            <w:tcBorders>
              <w:bottom w:val="single" w:sz="8" w:color="CFF0FC"/>
            </w:tcBorders>
            <w:gridSpan w:val="19"/>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102</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FF"/>
            </w:tcBorders>
            <w:gridSpan w:val="26"/>
          </w:tcPr>
          <w:p>
            <w:pPr>
              <w:spacing w:after="0" w:line="162" w:lineRule="exact"/>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2480" w:type="dxa"/>
            <w:vAlign w:val="bottom"/>
            <w:gridSpan w:val="2"/>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102</w:t>
            </w: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13.</w:t>
            </w:r>
          </w:p>
        </w:tc>
        <w:tc>
          <w:tcPr>
            <w:tcW w:w="5480" w:type="dxa"/>
            <w:vAlign w:val="bottom"/>
            <w:tcBorders>
              <w:bottom w:val="single" w:sz="8" w:color="0000FF"/>
            </w:tcBorders>
            <w:gridSpan w:val="23"/>
            <w:shd w:val="clear" w:color="auto" w:fill="CFF0FC"/>
          </w:tcPr>
          <w:p>
            <w:pPr>
              <w:spacing w:after="0" w:line="162" w:lineRule="exact"/>
              <w:rPr>
                <w:sz w:val="20"/>
                <w:szCs w:val="20"/>
                <w:color w:val="auto"/>
              </w:rPr>
            </w:pPr>
            <w:r>
              <w:rPr>
                <w:rFonts w:ascii="Arial" w:cs="Arial" w:eastAsia="Arial" w:hAnsi="Arial"/>
                <w:sz w:val="16"/>
                <w:szCs w:val="16"/>
                <w:color w:val="0000FF"/>
              </w:rPr>
              <w:t>Certain Relationships and Related Transactions, and Director Independence</w:t>
            </w:r>
          </w:p>
        </w:tc>
        <w:tc>
          <w:tcPr>
            <w:tcW w:w="4220" w:type="dxa"/>
            <w:vAlign w:val="bottom"/>
            <w:tcBorders>
              <w:bottom w:val="single" w:sz="8" w:color="CFF0FC"/>
            </w:tcBorders>
            <w:gridSpan w:val="5"/>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102</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14.</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Principal Accountant Fees and Services</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103</w:t>
            </w:r>
          </w:p>
        </w:tc>
      </w:tr>
      <w:tr>
        <w:trPr>
          <w:trHeight w:val="189"/>
        </w:trPr>
        <w:tc>
          <w:tcPr>
            <w:tcW w:w="980" w:type="dxa"/>
            <w:vAlign w:val="bottom"/>
            <w:shd w:val="clear" w:color="auto" w:fill="CFF0FC"/>
          </w:tcPr>
          <w:p>
            <w:pPr>
              <w:spacing w:after="0"/>
              <w:rPr>
                <w:sz w:val="16"/>
                <w:szCs w:val="16"/>
                <w:color w:val="auto"/>
              </w:rPr>
            </w:pPr>
          </w:p>
        </w:tc>
        <w:tc>
          <w:tcPr>
            <w:tcW w:w="660" w:type="dxa"/>
            <w:vAlign w:val="bottom"/>
            <w:tcBorders>
              <w:top w:val="single" w:sz="8" w:color="0000FF"/>
            </w:tcBorders>
            <w:shd w:val="clear" w:color="auto" w:fill="CFF0FC"/>
          </w:tcPr>
          <w:p>
            <w:pPr>
              <w:spacing w:after="0"/>
              <w:rPr>
                <w:sz w:val="16"/>
                <w:szCs w:val="16"/>
                <w:color w:val="auto"/>
              </w:rPr>
            </w:pPr>
          </w:p>
        </w:tc>
        <w:tc>
          <w:tcPr>
            <w:tcW w:w="120" w:type="dxa"/>
            <w:vAlign w:val="bottom"/>
            <w:tcBorders>
              <w:top w:val="single" w:sz="8" w:color="0000FF"/>
              <w:right w:val="single" w:sz="8" w:color="CFF0FC"/>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100" w:type="dxa"/>
            <w:vAlign w:val="bottom"/>
            <w:tcBorders>
              <w:top w:val="single" w:sz="8" w:color="0000FF"/>
            </w:tcBorders>
            <w:shd w:val="clear" w:color="auto" w:fill="CFF0FC"/>
          </w:tcPr>
          <w:p>
            <w:pPr>
              <w:spacing w:after="0"/>
              <w:rPr>
                <w:sz w:val="16"/>
                <w:szCs w:val="16"/>
                <w:color w:val="auto"/>
              </w:rPr>
            </w:pPr>
          </w:p>
        </w:tc>
        <w:tc>
          <w:tcPr>
            <w:tcW w:w="26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tcBorders>
            <w:shd w:val="clear" w:color="auto" w:fill="CFF0FC"/>
          </w:tcPr>
          <w:p>
            <w:pPr>
              <w:spacing w:after="0"/>
              <w:rPr>
                <w:sz w:val="16"/>
                <w:szCs w:val="16"/>
                <w:color w:val="auto"/>
              </w:rPr>
            </w:pPr>
          </w:p>
        </w:tc>
        <w:tc>
          <w:tcPr>
            <w:tcW w:w="160" w:type="dxa"/>
            <w:vAlign w:val="bottom"/>
            <w:tcBorders>
              <w:top w:val="single" w:sz="8" w:color="0000FF"/>
            </w:tcBorders>
            <w:shd w:val="clear" w:color="auto" w:fill="CFF0FC"/>
          </w:tcPr>
          <w:p>
            <w:pPr>
              <w:spacing w:after="0"/>
              <w:rPr>
                <w:sz w:val="16"/>
                <w:szCs w:val="16"/>
                <w:color w:val="auto"/>
              </w:rPr>
            </w:pPr>
          </w:p>
        </w:tc>
        <w:tc>
          <w:tcPr>
            <w:tcW w:w="240" w:type="dxa"/>
            <w:vAlign w:val="bottom"/>
            <w:tcBorders>
              <w:top w:val="single" w:sz="8" w:color="0000FF"/>
            </w:tcBorders>
            <w:shd w:val="clear" w:color="auto" w:fill="CFF0FC"/>
          </w:tcPr>
          <w:p>
            <w:pPr>
              <w:spacing w:after="0"/>
              <w:rPr>
                <w:sz w:val="16"/>
                <w:szCs w:val="16"/>
                <w:color w:val="auto"/>
              </w:rPr>
            </w:pPr>
          </w:p>
        </w:tc>
        <w:tc>
          <w:tcPr>
            <w:tcW w:w="60" w:type="dxa"/>
            <w:vAlign w:val="bottom"/>
            <w:tcBorders>
              <w:top w:val="single" w:sz="8" w:color="0000FF"/>
            </w:tcBorders>
            <w:shd w:val="clear" w:color="auto" w:fill="CFF0FC"/>
          </w:tcPr>
          <w:p>
            <w:pPr>
              <w:spacing w:after="0"/>
              <w:rPr>
                <w:sz w:val="16"/>
                <w:szCs w:val="16"/>
                <w:color w:val="auto"/>
              </w:rPr>
            </w:pPr>
          </w:p>
        </w:tc>
        <w:tc>
          <w:tcPr>
            <w:tcW w:w="220" w:type="dxa"/>
            <w:vAlign w:val="bottom"/>
            <w:tcBorders>
              <w:top w:val="single" w:sz="8" w:color="0000FF"/>
            </w:tcBorders>
            <w:shd w:val="clear" w:color="auto" w:fill="CFF0FC"/>
          </w:tcPr>
          <w:p>
            <w:pPr>
              <w:spacing w:after="0"/>
              <w:rPr>
                <w:sz w:val="16"/>
                <w:szCs w:val="16"/>
                <w:color w:val="auto"/>
              </w:rPr>
            </w:pPr>
          </w:p>
        </w:tc>
        <w:tc>
          <w:tcPr>
            <w:tcW w:w="840" w:type="dxa"/>
            <w:vAlign w:val="bottom"/>
            <w:tcBorders>
              <w:top w:val="single" w:sz="8" w:color="0000FF"/>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r>
      <w:tr>
        <w:trPr>
          <w:trHeight w:val="169"/>
        </w:trPr>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11"/>
          </w:tcPr>
          <w:p>
            <w:pPr>
              <w:jc w:val="center"/>
              <w:ind w:right="4740"/>
              <w:spacing w:after="0" w:line="162" w:lineRule="exact"/>
              <w:rPr>
                <w:sz w:val="20"/>
                <w:szCs w:val="20"/>
                <w:color w:val="auto"/>
              </w:rPr>
            </w:pPr>
            <w:r>
              <w:rPr>
                <w:rFonts w:ascii="Arial" w:cs="Arial" w:eastAsia="Arial" w:hAnsi="Arial"/>
                <w:sz w:val="16"/>
                <w:szCs w:val="16"/>
                <w:b w:val="1"/>
                <w:bCs w:val="1"/>
                <w:color w:val="0000FF"/>
              </w:rPr>
              <w:t>PART IV</w:t>
            </w:r>
          </w:p>
        </w:tc>
        <w:tc>
          <w:tcPr>
            <w:tcW w:w="560" w:type="dxa"/>
            <w:vAlign w:val="bottom"/>
          </w:tcPr>
          <w:p>
            <w:pPr>
              <w:spacing w:after="0"/>
              <w:rPr>
                <w:sz w:val="14"/>
                <w:szCs w:val="14"/>
                <w:color w:val="auto"/>
              </w:rPr>
            </w:pPr>
          </w:p>
        </w:tc>
      </w:tr>
      <w:tr>
        <w:trPr>
          <w:trHeight w:val="169"/>
        </w:trPr>
        <w:tc>
          <w:tcPr>
            <w:tcW w:w="980" w:type="dxa"/>
            <w:vAlign w:val="bottom"/>
            <w:tcBorders>
              <w:bottom w:val="single" w:sz="8" w:color="CFF0FC"/>
            </w:tcBorders>
            <w:shd w:val="clear" w:color="auto" w:fill="CFF0FC"/>
          </w:tcPr>
          <w:p>
            <w:pPr>
              <w:ind w:left="20"/>
              <w:spacing w:after="0" w:line="162" w:lineRule="exact"/>
              <w:rPr>
                <w:sz w:val="20"/>
                <w:szCs w:val="20"/>
                <w:color w:val="auto"/>
              </w:rPr>
            </w:pPr>
            <w:r>
              <w:rPr>
                <w:rFonts w:ascii="Arial" w:cs="Arial" w:eastAsia="Arial" w:hAnsi="Arial"/>
                <w:sz w:val="16"/>
                <w:szCs w:val="16"/>
                <w:color w:val="auto"/>
              </w:rPr>
              <w:t>Item 15.</w:t>
            </w:r>
          </w:p>
        </w:tc>
        <w:tc>
          <w:tcPr>
            <w:tcW w:w="2900" w:type="dxa"/>
            <w:vAlign w:val="bottom"/>
            <w:tcBorders>
              <w:bottom w:val="single" w:sz="8" w:color="0000FF"/>
            </w:tcBorders>
            <w:gridSpan w:val="12"/>
            <w:shd w:val="clear" w:color="auto" w:fill="CFF0FC"/>
          </w:tcPr>
          <w:p>
            <w:pPr>
              <w:spacing w:after="0" w:line="162" w:lineRule="exact"/>
              <w:rPr>
                <w:sz w:val="20"/>
                <w:szCs w:val="20"/>
                <w:color w:val="auto"/>
              </w:rPr>
            </w:pPr>
            <w:r>
              <w:rPr>
                <w:rFonts w:ascii="Arial" w:cs="Arial" w:eastAsia="Arial" w:hAnsi="Arial"/>
                <w:sz w:val="16"/>
                <w:szCs w:val="16"/>
                <w:color w:val="0000FF"/>
              </w:rPr>
              <w:t>Exhibits, Financial Statement Schedules</w:t>
            </w:r>
          </w:p>
        </w:tc>
        <w:tc>
          <w:tcPr>
            <w:tcW w:w="1420" w:type="dxa"/>
            <w:vAlign w:val="bottom"/>
            <w:tcBorders>
              <w:bottom w:val="single" w:sz="8" w:color="CFF0FC"/>
            </w:tcBorders>
            <w:gridSpan w:val="5"/>
            <w:shd w:val="clear" w:color="auto" w:fill="CFF0FC"/>
          </w:tcPr>
          <w:p>
            <w:pPr>
              <w:spacing w:after="0"/>
              <w:rPr>
                <w:sz w:val="14"/>
                <w:szCs w:val="14"/>
                <w:color w:val="auto"/>
              </w:rPr>
            </w:pPr>
          </w:p>
        </w:tc>
        <w:tc>
          <w:tcPr>
            <w:tcW w:w="640" w:type="dxa"/>
            <w:vAlign w:val="bottom"/>
            <w:tcBorders>
              <w:top w:val="single" w:sz="8" w:color="0000FF"/>
              <w:bottom w:val="single" w:sz="8" w:color="CFF0FC"/>
            </w:tcBorders>
            <w:gridSpan w:val="5"/>
            <w:shd w:val="clear" w:color="auto" w:fill="CFF0FC"/>
          </w:tcPr>
          <w:p>
            <w:pPr>
              <w:spacing w:after="0"/>
              <w:rPr>
                <w:sz w:val="14"/>
                <w:szCs w:val="14"/>
                <w:color w:val="auto"/>
              </w:rPr>
            </w:pPr>
          </w:p>
        </w:tc>
        <w:tc>
          <w:tcPr>
            <w:tcW w:w="4740" w:type="dxa"/>
            <w:vAlign w:val="bottom"/>
            <w:tcBorders>
              <w:bottom w:val="single" w:sz="8" w:color="CFF0FC"/>
            </w:tcBorders>
            <w:gridSpan w:val="6"/>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104</w:t>
            </w:r>
          </w:p>
        </w:tc>
      </w:tr>
      <w:tr>
        <w:trPr>
          <w:trHeight w:val="169"/>
        </w:trPr>
        <w:tc>
          <w:tcPr>
            <w:tcW w:w="980" w:type="dxa"/>
            <w:vAlign w:val="bottom"/>
          </w:tcPr>
          <w:p>
            <w:pPr>
              <w:ind w:left="20"/>
              <w:spacing w:after="0" w:line="162" w:lineRule="exact"/>
              <w:rPr>
                <w:sz w:val="20"/>
                <w:szCs w:val="20"/>
                <w:color w:val="auto"/>
              </w:rPr>
            </w:pPr>
            <w:r>
              <w:rPr>
                <w:rFonts w:ascii="Arial" w:cs="Arial" w:eastAsia="Arial" w:hAnsi="Arial"/>
                <w:sz w:val="16"/>
                <w:szCs w:val="16"/>
                <w:color w:val="auto"/>
              </w:rPr>
              <w:t>Item 16.</w:t>
            </w:r>
          </w:p>
        </w:tc>
        <w:tc>
          <w:tcPr>
            <w:tcW w:w="9700" w:type="dxa"/>
            <w:vAlign w:val="bottom"/>
            <w:gridSpan w:val="28"/>
          </w:tcPr>
          <w:p>
            <w:pPr>
              <w:spacing w:after="0" w:line="162" w:lineRule="exact"/>
              <w:rPr>
                <w:sz w:val="20"/>
                <w:szCs w:val="20"/>
                <w:color w:val="auto"/>
              </w:rPr>
            </w:pPr>
            <w:r>
              <w:rPr>
                <w:rFonts w:ascii="Arial" w:cs="Arial" w:eastAsia="Arial" w:hAnsi="Arial"/>
                <w:sz w:val="16"/>
                <w:szCs w:val="16"/>
                <w:color w:val="0000FF"/>
              </w:rPr>
              <w:t>Form 10-K Summary</w:t>
            </w:r>
          </w:p>
        </w:tc>
        <w:tc>
          <w:tcPr>
            <w:tcW w:w="560" w:type="dxa"/>
            <w:vAlign w:val="bottom"/>
          </w:tcPr>
          <w:p>
            <w:pPr>
              <w:jc w:val="center"/>
              <w:spacing w:after="0" w:line="162" w:lineRule="exact"/>
              <w:rPr>
                <w:sz w:val="20"/>
                <w:szCs w:val="20"/>
                <w:color w:val="auto"/>
              </w:rPr>
            </w:pPr>
            <w:r>
              <w:rPr>
                <w:rFonts w:ascii="Arial" w:cs="Arial" w:eastAsia="Arial" w:hAnsi="Arial"/>
                <w:sz w:val="16"/>
                <w:szCs w:val="16"/>
                <w:color w:val="auto"/>
              </w:rPr>
              <w:t>106</w:t>
            </w:r>
          </w:p>
        </w:tc>
      </w:tr>
      <w:tr>
        <w:trPr>
          <w:trHeight w:val="162"/>
        </w:trPr>
        <w:tc>
          <w:tcPr>
            <w:tcW w:w="980" w:type="dxa"/>
            <w:vAlign w:val="bottom"/>
            <w:shd w:val="clear" w:color="auto" w:fill="CFF0FC"/>
          </w:tcPr>
          <w:p>
            <w:pPr>
              <w:spacing w:after="0"/>
              <w:rPr>
                <w:sz w:val="14"/>
                <w:szCs w:val="14"/>
                <w:color w:val="auto"/>
              </w:rPr>
            </w:pPr>
          </w:p>
        </w:tc>
        <w:tc>
          <w:tcPr>
            <w:tcW w:w="1500" w:type="dxa"/>
            <w:vAlign w:val="bottom"/>
            <w:tcBorders>
              <w:top w:val="single" w:sz="8" w:color="0000FF"/>
            </w:tcBorders>
            <w:gridSpan w:val="7"/>
            <w:shd w:val="clear" w:color="auto" w:fill="CFF0FC"/>
          </w:tcPr>
          <w:p>
            <w:pPr>
              <w:spacing w:after="0" w:line="162" w:lineRule="exact"/>
              <w:rPr>
                <w:sz w:val="20"/>
                <w:szCs w:val="20"/>
                <w:color w:val="auto"/>
              </w:rPr>
            </w:pPr>
            <w:r>
              <w:rPr>
                <w:rFonts w:ascii="Arial" w:cs="Arial" w:eastAsia="Arial" w:hAnsi="Arial"/>
                <w:sz w:val="16"/>
                <w:szCs w:val="16"/>
                <w:color w:val="0000FF"/>
              </w:rPr>
              <w:t>Signatures</w:t>
            </w:r>
          </w:p>
        </w:tc>
        <w:tc>
          <w:tcPr>
            <w:tcW w:w="8200" w:type="dxa"/>
            <w:vAlign w:val="bottom"/>
            <w:gridSpan w:val="21"/>
            <w:shd w:val="clear" w:color="auto" w:fill="CFF0FC"/>
          </w:tcPr>
          <w:p>
            <w:pPr>
              <w:spacing w:after="0"/>
              <w:rPr>
                <w:sz w:val="14"/>
                <w:szCs w:val="14"/>
                <w:color w:val="auto"/>
              </w:rPr>
            </w:pPr>
          </w:p>
        </w:tc>
        <w:tc>
          <w:tcPr>
            <w:tcW w:w="56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107</w:t>
            </w: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FORWARD-LOOKING STATEMENTS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spacing w:after="0" w:line="155"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evolution of cancer therapies and market adoption of our services and products;</w:t>
      </w:r>
    </w:p>
    <w:p>
      <w:pPr>
        <w:spacing w:after="0" w:line="29"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estimates of our total addressable market, future revenue and the timing thereof, expenses, use of cash and other resources, cost savings, capital requirements, and our needs for additional financing and our ability to obtain financing when needed;</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reimbursement and reimbursement rulings;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strategies, including our aim to focus on certain indications and the timing thereof;</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benefits of our products and services, including their ability to increase the probability of clinical trial success;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and compete effectively in existing and new markets, with existing competitors and new market entrants;</w:t>
      </w:r>
    </w:p>
    <w:p>
      <w:pPr>
        <w:spacing w:after="0" w:line="17" w:lineRule="exact"/>
        <w:rPr>
          <w:rFonts w:ascii="Times New Roman" w:cs="Times New Roman" w:eastAsia="Times New Roman" w:hAnsi="Times New Roman"/>
          <w:sz w:val="16"/>
          <w:szCs w:val="16"/>
          <w:color w:val="auto"/>
        </w:rPr>
      </w:pPr>
    </w:p>
    <w:p>
      <w:pPr>
        <w:ind w:left="1140" w:hanging="383"/>
        <w:spacing w:after="0" w:line="248"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and grow our business by expanding our sales to existing customers or introducing our services and products to new customers;</w:t>
      </w:r>
    </w:p>
    <w:p>
      <w:pPr>
        <w:ind w:left="114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sales, marketing and commercialization plans and strategies, including the expected benefits of and activities to be performed under our Commercialization and Reference Laboratory Agreement with Tempus AI, Inc. ("Tempus");</w:t>
      </w:r>
    </w:p>
    <w:p>
      <w:pPr>
        <w:ind w:left="1140" w:hanging="383"/>
        <w:spacing w:after="0" w:line="246" w:lineRule="auto"/>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with the U.S. Department of Veterans Affairs' Million Veteran Program, Natera, Inc., Moderna, Inc. ("Moderna"), and other collaboration partners and customers;</w:t>
      </w: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belief that approval of personalized cancer therapies by the U.S. Food and Drug Administration may drive benefits to our business;</w:t>
      </w:r>
    </w:p>
    <w:p>
      <w:pPr>
        <w:spacing w:after="0" w:line="1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benefit from the scaling of our infrastructure and capacity at our headquarters facility in Fremont;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our collaboration agreements and key opinion leaders may have on the broader use of our products in the future;</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impacts of inflation, macroeconomic conditions, and geopolitical conflicts on our business and operations;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and maintain intellectual property protection for our services and products or avoid claims of infringement;</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in defending and enforcing our intellectual property rights, including patents;</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potential effects of government regulation;</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hire and retain key personnel;</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our previous reductions in force on our operations and operating results; and</w:t>
      </w:r>
    </w:p>
    <w:p>
      <w:pPr>
        <w:spacing w:after="0" w:line="1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proper and effective internal controls.</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Annual Report on Form 10-K. Moreover, we operate in a highly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4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41" w:lineRule="exact"/>
        <w:rPr>
          <w:sz w:val="20"/>
          <w:szCs w:val="20"/>
          <w:color w:val="auto"/>
        </w:rPr>
      </w:pPr>
    </w:p>
    <w:p>
      <w:pPr>
        <w:jc w:val="both"/>
        <w:ind w:right="20" w:firstLine="749"/>
        <w:spacing w:after="0" w:line="283" w:lineRule="auto"/>
        <w:rPr>
          <w:sz w:val="20"/>
          <w:szCs w:val="20"/>
          <w:color w:val="auto"/>
        </w:rPr>
      </w:pPr>
      <w:r>
        <w:rPr>
          <w:rFonts w:ascii="Arial" w:cs="Arial" w:eastAsia="Arial" w:hAnsi="Arial"/>
          <w:sz w:val="16"/>
          <w:szCs w:val="16"/>
          <w:i w:val="1"/>
          <w:iCs w:val="1"/>
          <w:color w:val="auto"/>
        </w:rPr>
        <w:t>Unless the context otherwise requires, references in this Annual Report on Form 10-K to the “company,” “Personalis,” “we,” “us” and “our” refer to Personalis, Inc. and our subsidiary, Personalis (UK) Ltd.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96" w:lineRule="exact"/>
        <w:rPr>
          <w:sz w:val="20"/>
          <w:szCs w:val="20"/>
          <w:color w:val="auto"/>
        </w:rPr>
      </w:pPr>
    </w:p>
    <w:p>
      <w:pPr>
        <w:ind w:firstLine="749"/>
        <w:spacing w:after="0" w:line="283"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Item 1A,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69"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w:t>
      </w:r>
    </w:p>
    <w:p>
      <w:pPr>
        <w:spacing w:after="0" w:line="62"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Building our clinical laboratory business is subject to a number or reimbursement challenges and we may not be able to establish the medical necessity of our tests for coverage or reimbursement rates that cover our costs.</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are pursuing a partner-centric strategy and have key relationships with Tempus, Myriad Genetics, Inc, Moderna, and Merck &amp; Co., Inc., among others. These and any other partnering and/or collaboration agreements that we have entered into or may enter into in the future may not be successful, or may terminate, which could adversely impact our business or affect our ability to develop and commercialize our services and products.</w:t>
      </w:r>
    </w:p>
    <w:p>
      <w:pPr>
        <w:spacing w:after="0" w:line="6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should we need to do so.</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single facility and if it becomes damaged or inoperable, or we are required to vacate our facility, our ability to sell and provide our services and pursue research and development efforts may be jeopardized.</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develop services and products to keep pace with rapid advances in technology, medicine, and science our operating results and competitive position could be harmed.</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achieving, or inability to achieve regulatory approval, commercialization, or payor coverage, any of which could adversely affect our business.</w:t>
      </w:r>
    </w:p>
    <w:p>
      <w:pPr>
        <w:spacing w:after="0" w:line="62"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not be able to manage our future growth effectively, which could make it difficult to execute our business strategy.</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9"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spacing w:after="0" w:line="69" w:lineRule="exact"/>
        <w:rPr>
          <w:rFonts w:ascii="Times New Roman" w:cs="Times New Roman" w:eastAsia="Times New Roman" w:hAnsi="Times New Roman"/>
          <w:sz w:val="16"/>
          <w:szCs w:val="16"/>
          <w:color w:val="auto"/>
        </w:rPr>
      </w:pPr>
    </w:p>
    <w:p>
      <w:pPr>
        <w:jc w:val="both"/>
        <w:ind w:left="760" w:hanging="378"/>
        <w:spacing w:after="0" w:line="274" w:lineRule="auto"/>
        <w:tabs>
          <w:tab w:leader="none" w:pos="7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ectPr>
          <w:pgSz w:w="11900" w:h="16838" w:orient="portrait"/>
          <w:cols w:equalWidth="0" w:num="1">
            <w:col w:w="11240"/>
          </w:cols>
          <w:pgMar w:left="320" w:top="778"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760" w:right="2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When we grow our business by developing in vitro diagnostic tests, we may be subject to reimbursement challenges.</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Competitors could take legal action against us for statements that are made by the company and/or its representatives, which may require us to spend significant time and money, including damages, and could limit our ability to market our tests.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94" w:lineRule="exact"/>
        <w:rPr>
          <w:sz w:val="20"/>
          <w:szCs w:val="20"/>
          <w:color w:val="auto"/>
        </w:rPr>
      </w:pPr>
    </w:p>
    <w:p>
      <w:pPr>
        <w:ind w:left="76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services and products.</w:t>
      </w:r>
    </w:p>
    <w:p>
      <w:pPr>
        <w:spacing w:after="0" w:line="125"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on acceptable terms in the future may limit our ability to continue to operate our business and further expand our operations.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Insiders or holders of greater than five percent of our outstanding common stock may exercise significant control over our company and will be able to influence corporate matters.</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Future sales of shares by existing stockholders, or the perception that such sales could occur, could cause the stock price of our common stock to decline.</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common stock and, consequently, your ability to achieve a return on your investment will depend on appreciation of the value of our common stock.</w:t>
      </w:r>
    </w:p>
    <w:p>
      <w:pPr>
        <w:spacing w:after="0" w:line="48"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48"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Our disclosure controls and procedures may not prevent or detect all errors or acts of fraud.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Background</w:t>
      </w:r>
    </w:p>
    <w:p>
      <w:pPr>
        <w:spacing w:after="0" w:line="19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Personalis develops, markets, and sells advanced cancer genomic tests and services. Our services are used by pharmaceutical companies for translational research, biomarker discovery, the development of personalized cancer therapies, and for clinical trials. Our tests are used by physicians to detect residual or recurrent cancer in patients, monitor cancer response to therapy, and uncover insights for therapy selection. We also provide whole exome and whole genome sequencing services for other diagnostic companies and population sequencing initiatives.</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perform our testing services in a large-scale, high quality, Clinical Laboratory Improvement Amendments of 1988 ("CLIA") certified and College of American Pathologists (“CAP”) accredited, laboratory located in our 100,000 square foot headquarters in Fremont, California. We were incorporated under the laws of the state of Delaware in 2011 under the name Personalis, Inc. and became a publicly-traded company in 2019.</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pharmaceutical and biopharmaceutical companies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Personal</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NeXT Personal is a tumor-informed liquid biopsy test for detection of minimal residual disease ("MRD"), therapy response and recurrence monitoring, in solid tumor cancers. It delivers industry-leading, ultra-high sensitivity, which we believe allows for detection of cancer earlier than other technologies. NeXT Personal helps answer these questions: Who are the right patients to enroll into a clinical trial? How are patients responding to the investigational therapy? Can circulating tumor DNA ("ctDNA") potentially be used as an endpoint in clinical trials?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ImmunoID NeXT</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ImmunoID NeXT is a tissue-based service that combines whole exome and whole transcriptome sequencing data with advanced analytics to provide a multi-dimensional view of the tumor and the tumor microenvironment from a single sample. It is designed to enable the development of more efficacious cancer (immuno) therapies and the next-generation of composite biomarkers to better predict patient response. ImmunoID NeXT helps answer these questions: What are the markers and composite biomarkers in the tumor and the tumor microenvironment that contribute to therapy response and resistance? What are the neoantigens in the tumor that can be used in individualized neoantigen therapy (INT)?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cancer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Personal Dx</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NeXT Personal Dx is a tumor-informed liquid biopsy test for the detection of MRD. We believe NeXT Personal Dx is the first ultra-sensitive test on the market to detect MRD and monitor therapy response in patients with solid tumor cancers. NeXT Personal Dx has been shown to potentially detect cancer recurrence ahead of traditional imaging and is designed to aid decision making throughout a patient's cancer journey. NeXT Personal Dx involves the initial whole genome sequencing of matched tumor and normal samples from a patient in order to create a personalized detection assay for that patient based on the biology of the patient's cancer and the subsequent use of that personalized assay to test one or more samples of the patient's blood/plasma. NeXT Personal Dx helps answer these questions: Does the patient still have cancer after curative intent treatment? How is the patient's cancer responding to therapy? And, importantly, has the cancer potentially recurred?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NeXT Dx</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NeXT Dx is a comprehensive tumor profiling test that is used to help select therapy for a cancer patient and identify potential clinical trials for a patient. It analyzes a patient’s exome and transcriptome with matched tumor-normal analysis. We believe it improves chances of finding an effective therapy or help a doctor find an appropriate clinical trial. NeXT Dx helps answer the question: What are the tumor mutations with actionable therapies and clinical trials for the patient?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 diagnostics companies and population sequencing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perform whole exome sequencing ("WES") of cancer tissue and matched blood samples for diagnostic companies as an input to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WGS</w:t>
      </w:r>
    </w:p>
    <w:p>
      <w:pPr>
        <w:spacing w:after="0" w:line="192" w:lineRule="exact"/>
        <w:rPr>
          <w:sz w:val="20"/>
          <w:szCs w:val="20"/>
          <w:color w:val="auto"/>
        </w:rPr>
      </w:pPr>
    </w:p>
    <w:p>
      <w:pPr>
        <w:ind w:right="1000" w:firstLine="749"/>
        <w:spacing w:after="0" w:line="475" w:lineRule="auto"/>
        <w:rPr>
          <w:sz w:val="20"/>
          <w:szCs w:val="20"/>
          <w:color w:val="auto"/>
        </w:rPr>
      </w:pPr>
      <w:r>
        <w:rPr>
          <w:rFonts w:ascii="Arial" w:cs="Arial" w:eastAsia="Arial" w:hAnsi="Arial"/>
          <w:sz w:val="16"/>
          <w:szCs w:val="16"/>
          <w:color w:val="auto"/>
        </w:rPr>
        <w:t xml:space="preserve">We perform whole genome sequencing ("WGS") on human samples for research projects, such as population sequencing initiatives. </w:t>
      </w:r>
      <w:r>
        <w:rPr>
          <w:rFonts w:ascii="Arial" w:cs="Arial" w:eastAsia="Arial" w:hAnsi="Arial"/>
          <w:sz w:val="16"/>
          <w:szCs w:val="16"/>
          <w:b w:val="1"/>
          <w:bCs w:val="1"/>
          <w:color w:val="auto"/>
        </w:rPr>
        <w:t>Markets and Distribution</w:t>
      </w:r>
    </w:p>
    <w:p>
      <w:pPr>
        <w:spacing w:after="0" w:line="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customers include pharmaceutical companies, biopharmaceutical companies, diagnostics companies, universities, non-profits, government entities, and patients. We sell through a small direct sales force, organized by geography. In November 2023, we entered into an agreement with Tempus AI, Inc. ("Tempus") to co-commercialize NeXT Personal Dx in the clinical diagnostics market. In December 2024, we agreed to expand the relationship to include biopharma industry customers. Under this expanded relationship, Tempus can offer our NeXT Personal MRD product to pharmaceutical and biotech customers who wish to bundle our tumor-informed MRD testing with other Tempus offerings in a given study.</w:t>
      </w:r>
    </w:p>
    <w:p>
      <w:pPr>
        <w:spacing w:after="0" w:line="1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principal markets for our products are in the United States, Europe (including the U.K.), and rest of the world, including Asia-Pacific, which accounted for 96%, 3%, and 1%, respectively, of our revenue for the year ended December 31, 2024.</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Evidence and Reimbursement</w:t>
      </w:r>
    </w:p>
    <w:p>
      <w:pPr>
        <w:spacing w:after="0" w:line="18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Generating clinical evidence is critical for driving adoption of our tests in the clinical market (i.e., for cancer patients) and establishing reimbursement by Medicare and private insurance companies. To this end, one of our key strategies is working with a growing number of leading cancer centers and world-class academic research institutions to build and publish the clinical evidence-base to support our products and services in our key indications. Because of the ultra-high sensitivity of our technology, we are initially focusing on three indications: breast cancer, lung cancer, and immunotherapy (IO) monitoring. We currently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Furthermore, generating clinical evidence is crucial to obtaining reimbursement coverage from Medicare and other payors. One of our 2025 goals is to submit for Medicare reimbursement for NeXT Personal Dx upon publication of compelling clinical evidence, and receive Medicare coverage, in at least two of our three key indications. In January 2024, we received a final Medicare coverage determination for our NeXT Dx offering, extended retroactively to August 29, 2023. We estimate that approximately half of new solid tumor cancer cases will be diagnosed in patients covered by Medicare.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principal competition comes from commercial and academic organizations that employ various approaches to produce information that is similar to the information that we generate for our customers. Some of our present or potential competitors include Adela, Inc., BostonGene Corporation, Caris Life Sciences, Inc., DELFI Diagnostics, Inc., Exact Sciences Corporation, Foresight Diagnostics Inc. (“Foresight”), Foundation Medicine, Inc., Freenome, Inc., Fulgent Genetics, Inc., Geneseeq Technology Inc., GRAIL, Inc., Guardant Health, Inc., Haystack Oncology, Inc., which was acquired by Quest Diagnostics Incorporated in June 2023, Laboratory Corporation of America Holdings, MedGenome Inc., Myriad Genetics, Inc., Natera, Inc. ("Natera"), NeoGenomics, Inc., Novogene Corporation, Predicine, Inc., Roche Molecular Systems, Inc., SAGA Diagnostics AB, Tempus, and Veracyte, Inc.</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Additionally, several companies develop next-generation sequencing platforms that can be used for genomic profiling for biopharmaceutical research and development applications. These include Illumina, Inc. ("Illumina"), Thermo Fisher Scientific Inc., and other organizations that specialize in the development of next-generation sequencing instrumentation that can be sold directly to biopharmaceutical companies, clinical laboratories, and research centers. Separate from their instrumentation product lines, both Illumina and Thermo Fisher Scientific Inc., for example, currently market next-generation sequencing clinical oncology kits that are sold to customers who have bought and operate their respective sequencing instruments.</w:t>
      </w:r>
    </w:p>
    <w:p>
      <w:pPr>
        <w:spacing w:after="0" w:line="13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We believe that we compete favorably because of our differentiated technology, such as our ultra-sensitive approach for MRD that is able to detect cancer recurrence many months before imaging or other technologies, comprehensive data and variant calling we provide to our biopharmaceutical customers, high-quality results, and exceptional service.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Protection of our intellectual property is fundamentally important in our business. Specifically, our success is dependent on our ability to obtain and maintain proprietary protection for our unique technology, processes, and approaches, defend and enforce our intellectual property rights, and operate our business without infringing, misappropriating, or otherwise violating valid and enforceable intellectual property rights of others. We protect our research and development investments, inventions, and unique processes by relying on a combination of patents, trademarks, copyrights, trade secrets, know-how, confidentiality agreements and procedures, non-disclosure agreements with third parties, employee disclosure and invention assignment agreements, and other contractual rights.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patent strategy is focused on seeking coverage for our core technology, our NeXT platform, including applications and implementations for enhancing sequencing coverage of certain genomic regions, identifying neoantigens, analyzing cell-free nucleic acids, and creating personalized cancer recurrence detection assays. In addition, we file for patent protection on our ongoing research and development efforts, particularly related to other novel assay technologies which may be applicable to the diagnosis and treatment of cancer and other diseases.</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portfolio is comprised of patents and patent applications owned by the Company. These patents and patent applications generally fall into five broad categories:</w:t>
      </w:r>
    </w:p>
    <w:p>
      <w:pPr>
        <w:spacing w:after="0" w:line="115" w:lineRule="exact"/>
        <w:rPr>
          <w:sz w:val="20"/>
          <w:szCs w:val="20"/>
          <w:color w:val="auto"/>
        </w:rPr>
      </w:pPr>
    </w:p>
    <w:p>
      <w:pPr>
        <w:jc w:val="both"/>
        <w:ind w:left="1140" w:hanging="383"/>
        <w:spacing w:after="0" w:line="266" w:lineRule="auto"/>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personalized genetic testing assays, including claims directed to methods for using sequencing data to create a personalized genetic test to monitor cancer progression, identify neoantigen candidates for personalized cancer therapy treatment, or detect the recurrence of disease at the earliest possible timepoint;</w:t>
      </w:r>
    </w:p>
    <w:p>
      <w:pPr>
        <w:spacing w:after="0" w:line="62"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liquid biopsy methods, including claims directed to methods of analyzing sequenced nucleic acids obtained from a patient sample in comparison with nucleic acids representing the reference genome, obtained from a blood sample, to identify disease, or recommend a drug treatment;</w:t>
      </w:r>
    </w:p>
    <w:p>
      <w:pPr>
        <w:spacing w:after="0" w:line="62"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clinical interpretation and neoantigen identification and prediction methods, including claims directed to methods of ranking genes associated with a phenotype and inheritance pattern or identifying neoantigens expressed in a disease sample that may be used for targeted treatments; and</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hybrid exome-genome technologies, including claims directed to methods for combining exome and/or whole genome sequencing data generated from a sample, along with the identification of other variants to identify or detect disease;</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Accuracy and Content Enhanced ("ACE") assay and NeXT platform technology, including claims directed to methods for enriching nucleic acids from a sample based on differences in various genomic features, such as GC-content, molecular size, presence of genetic variations or rearrangements, identification of biomedically interpretable variants, epigenetic modifications, and/or species-origin (e.g., human and non-human).</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2024, we own 30 issued U.S. patents and 16 issued foreign patents. Issued U.S. patents in our portfolio of company-owned patents are expected to expire between 2033 and 2038, excluding any additional term for patent term adjustments or patent term extensions. If patents are issued on our pending patent applications, the resulting patents are projected to expire on dates ranging from 2033 to 2042.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of Materials</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rely on a limited number of suppliers for sequencers and other equipment and raw materials that we use in our laboratory operations. For example, we rely on Illumina as the sole supplier of sequencers and various associated reagents, and as the sole provider of maintenance and repair services for these sequencers. We have certain agreements and purchase arrangements in place with Illumina to satisfy the projected needs of our laboratory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Concentration</w:t>
      </w:r>
    </w:p>
    <w:p>
      <w:pPr>
        <w:spacing w:after="0" w:line="19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currently derive a significant portion of our revenue from Moderna, Inc. ("Moderna") by providing genomic testing in its ongoing clinical trials evaluating a personalized cancer therapy and Natera, Inc. ("Natera") under our partnership to provide advanced tumor analysis for use in Natera's MRD testing offerings. Natera accounted for 30% and 43% and Moderna accounted for 28% and 5% of our revenue for the years ended December 31, 2024 and 2023, respectively. We previously derived a significant portion of our revenue from the U.S. Department of Veterans Affairs Million Veteran Program ("VA MVP"), which is a large-scale population sequencing initiative. VA MVP accounted for 9% and 13% of our revenue for the years ended December 31, 2024 and 2023, respectively. Our top five customers, including the VA MVP, Moderna and Natera, accounted for 81% and 74% of our revenue for the years ended December 31, 2024 and 2023,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manage our business as one operating segment, which is providing advanced cancer genomic tests and services for precision oncology applications, personalized testing, and other tests. We derive revenue primarily in the United States and manage our business activities on a consolidated basis. Our chief executive officer (“CEO”) is our chief operating decision maker (“CODM”) who reviews consolidated operating results to make decisions about allocating resources and assessing performance for the entire company.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ability to commercialize diagnostic tests based on our technology will depend in large part on the extent to which coverage and reimbursement for our tests can be achieved. Coverage and reimbursement of new products and services is uncertain, and whether we can obtain coverage and adequate reimbursement is unknown. In the U.S., there is no uniform policy for determining coverage and reimbursement. Coverage can differ from payor to payor, and the process for determining whether a payor will provide coverage is</w:t>
      </w:r>
    </w:p>
    <w:p>
      <w:pPr>
        <w:sectPr>
          <w:pgSz w:w="11900" w:h="16838" w:orient="portrait"/>
          <w:cols w:equalWidth="0" w:num="1">
            <w:col w:w="11240"/>
          </w:cols>
          <w:pgMar w:left="320" w:top="778"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separate from the process for setting the reimbursement rate. In addition, the U.S. government, state legislatures and foreign governments have shown significant interest in implementing cost containment programs to limit the growth of government-paid healthcare costs. Additionally, the coverage and reimbursement status of newly-approved or cleared laboratory tests, including our NeXT Personal Dx offering, is uncertain. The commercial success of our current and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Laboratory Licensing Requirements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Because we are a CAP accredited laboratory, the Centers for Medicare &amp; Medicaid Services (“CMS”) does not perform this survey and inspection and relies on our CAP survey and inspection. We also may be subject to additional unannounced inspections. Laboratories performing high complexity testing are required to meet more stringent requirements than laboratories performing less complex tests. In addition, a laboratory that is certified as “high complexity” under CLIA may develop, manufacture, validate, and market proprietary tests referred to as laboratory developed tests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Because our laboratory is located in the state of California, we are required to and do maintain a California state laboratory license. We also maintain licenses to conduct testing in other states where nonresident laboratories are required to obtain state laboratory licenses, including Maryland, Pennsylvania, Rhode Island, and New York. Other states may currently have or adopt similar licensure requirements in the future, which may require us to modify, delay, or stop its operations in those states.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Regulatory framework for medical devices in the United States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Pursuant to its authority under the Federal Food, Drug and Cosmetic Act (“FDC Act”), the U.S. Food and Drug Administration (“FDA") has jurisdiction over medical devices, which are defined to include, among other things, in vitro diagnostic devices (“IVDs”). The FDA regulates, among other things, the research, design, development, pre-clinical and clinical testing, manufacturing, safety, effectiveness, packaging, labeling, storage, recordkeeping, pre-market clearance or approval, adverse event reporting, marketing, promotion, sales, distribution, and import and export of medical devices. Unless an exemption applies, each new or significantly modified medical device we seek to commercially distribute in the United States will require either a premarket notification to the FDA requesting permission for commercial distribution under Section 510(k) of the FDC Act, also referred to as a 510(k) clearance, or approval from the FDA of a premarket approval application (“PMA”). Both the 510(k) clearance and PMA processes can be resource intensive, expensive, and lengthy, and require payment of significant user fees.</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Although the FDA regulates medical devices, including IVDs, the FDA has historically exercised its enforcement discretion and not enforced applicable provisions of the FDC Act and FDA regulations with respect to LDTs, which are a subset of IVDs that are intended for clinical use and developed, validated, and offered within a single laboratory for use only in that laboratory. We currently market our diagnostic tests as LDTs.</w:t>
      </w:r>
    </w:p>
    <w:p>
      <w:pPr>
        <w:spacing w:after="0" w:line="13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On April 29, 2024, the FDA published final regulations to make explicit that IVD products are devices under the FDC Act, removing much of the FDA’s historical enforcement discretion for most LDTs. In conjunction with this final rule, the FDA proposed to phase out its general enforcement discretion approach for LDTs so that IVDs manufactured by a laboratory would generally fall under the same enforcement approach as other IVDs. This final rule also provides that FDA intends to exercise enforcement discretion and generally not enforce premarket review and quality system requirements (except for requirements under Part 820, subpart M (records)) for currently marketed IVDs offered as LDTs that were first marketed prior to April 29, 2024 and intends to exercise enforcement discretion and generally not enforce premarket review requirements for LDTs approved by the New York State Clinical Lab Evaluation Program (“NYS CLEP”). Additionally, pursuant to the final rule, the FDA will gradually end its general enforcement discretion approach in five stages over a four-year period for other LDTs not approved by NYS CLEP and not already on market. Each stage of the proposed phaseout period would subject LDTs to a set of regulatory requirements.</w:t>
      </w:r>
    </w:p>
    <w:p>
      <w:pPr>
        <w:spacing w:after="0" w:line="14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the FDA determines that our tests are subject to enforcement as medical devices, we could be subject to enforcement action, including administrative and judicial sanctions, and additional regulatory controls and submissions for our tests, all of which could be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burdensome. We and/or our collaborators may also be required to submit one or more of our tests for premarket notification, review, clearance or approval by the FDA as medical devices.</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other regulatory or legislative changes, or if we voluntarily submit one or more of our tests for premarket notification, review, clearance or approval by the FDA as medical devices, we may be required to obtain premarket clearance for our tests and associated software under Section 510(k) of the FDC Act or approval of a PMA. We would also be subject to ongoing regulatory requirements such as registration and listing requirements, medical device reporting requirements, and quality control requirements. The regulatory requirements to which our tests are subject would depend on the FDA’s classification of our tests. The FDA has issued regulations classifying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One classification regulation that could be relevant to one or more of our tests is a classification for genetic health risk (“GHR”) assessment tests, codified at 21 C.F.R. § 866.5950. If our tests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w:t>
      </w:r>
    </w:p>
    <w:p>
      <w:pPr>
        <w:spacing w:after="0" w:line="13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4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342"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product marketing;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products from the market;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5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Federal and State Fraud and Abuse Laws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are subject to federal fraud and abuse laws such as the federal Anti-Kickback Statute (the “AKS”), the federal prohibition against physician self-referral (the “Stark Law”), and the federal false claims law, or the False Claims Act (the “FCA”). We are also subject to similar state and foreign fraud and abuse laws.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AKS prohibits, among other things,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w:t>
      </w:r>
    </w:p>
    <w:p>
      <w:pPr>
        <w:spacing w:after="0" w:line="13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Stark Law and similar state laws, including California’s Physician Ownership and Referral Act, generally prohibit, among other things, clinical laboratories and other entities from billing a patient or any governmental or commercial payor for any diagnostic services when the physician ordering the service, or any member of such physician’s immediate family, has a direct or indirect investment interest in or compensation arrangement with us, unless the arrangement meets an exception to the prohibition.</w:t>
      </w:r>
    </w:p>
    <w:p>
      <w:pPr>
        <w:spacing w:after="0" w:line="13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federal civil and criminal false claims laws including the FCA,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We must also operate within the bounds of the fraud and abuse laws of the states in which we do business which may apply to items or services reimbursed by non-governmental third-party payors, including private insurers.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Eliminating Kickbacks in Recovery Act</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Eliminating Kickbacks in Recovery Act of 2018 (“EKRA”)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indicate how and to what extent it will be interpreted, applied and enforced by the government. Currently, there is no proposed regulation interpreting or implementing EKRA, nor any public guidance released by a federal agency concerning EKRA.</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Other Federal and State Healthcare Laws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to the requirements discussed above, several other healthcare laws could have an effect on our business. For example, the Health Insurance Portability and Accountability Act of 1996 (“HIPAA”) fraud and abuse provisions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federal Physician Payments Sunshine Act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“Anti-Markup Rule” and similar state laws prohibit, among other things,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“14-Day Rule,” also known as the Medicare Date of Service Rule,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13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State client billing laws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we may be subject to 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w:t>
      </w:r>
    </w:p>
    <w:p>
      <w:pPr>
        <w:spacing w:after="0" w:line="13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U.S. Department of Health and Human Services ("HHS"), Office of Inspector General (the “OIG”), and CMS. Certain arrangements between clinical laboratories and referring physicians have been identified in fraud alerts issued by the OIG as implicating the Anti-Kickback Statute. 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government-funded healthcare programs.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HIPAA and HITECH</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Under the administrative simplification provisions of HIPAA, as amended by the Health Information Technology for Economic and Clinical Health Act (“HITECH”), HHS issued regulations that establish uniform standards governing the conduct of certain electronic healthcare transactions and requirements for protecting the privacy and security of protected health information (“PHI”), used or disclosed by covered entities and business associates. Covered entities and business associates are subject to HIPAA and HITECH. Our subcontractors that create, receive, maintain, transmit, or otherwise process PHI on behalf of us are HIPAA “business associates” and must also comply with HIPAA as a business associate.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HIPAA and HITECH include privacy and security rules, breach notification requirements, and electronic transaction standards.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Privacy Rule covers the use and disclosure of PHI by covered entities and business associates. The Privacy Rule generally prohibits the use or disclosure of PHI, except as permitted under the Rule. The Privacy Rule also sets forth individual patient rights, such as the right to access or amend certain records containing his or her PHI, or to request restrictions on the use or disclosure of his or her PHI.</w:t>
      </w:r>
    </w:p>
    <w:p>
      <w:pPr>
        <w:spacing w:after="0" w:line="144"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The Security Rule requires covered entities and business associates to safeguard the confidentiality, integrity, and availability of electronically transmitted or stored PHI by implementing administrative, physical, and technical safeguards. Under HITECH’s Breach Notification Rule, a covered entity must notify individuals, the Secretary of the HHS, and in some circumstances, the media of breaches of unsecured PHI.</w:t>
      </w:r>
    </w:p>
    <w:p>
      <w:pPr>
        <w:spacing w:after="0" w:line="13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we may be subject to state health information privacy and data breach notification laws, which may govern the collection, use, disclosure, and protection of health-related and other personal information. California, for example, has enacted the Confidentiality of Medical Information Act, which sets forth standards in addition to HIPAA and HITECH with which all California health care providers like us must abide. State laws may be more stringent, broader in scope, or offer greater individual rights with respect to PHI than HIPAA, and state laws may differ from each other, which may complicate compliance efforts.</w:t>
      </w:r>
    </w:p>
    <w:p>
      <w:pPr>
        <w:spacing w:after="0" w:line="13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Entities that are found to be in violation of HIPAA as the result of a failure to secure PHI, a complaint about our privacy practices or an audit by HHS, may be subject to significant civil and criminal fines and penalties and additional reporting and oversight obligations if such entities are required to enter into a resolution agreement and corrective action plan with HHS to settle allegations of HIPAA non-compliance.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U.S. Healthcare Reform</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that seek to reduce healthcare costs and improve the quality of healthcare. For example, in March 2010, the Patient Protection and Affordable Care Act, as amended by the Health Care and Education Reconciliation Act (collectively, the “ACA”), became law. This law substantially changed the way health care is financed by both commercial payors and government payors, and significantly impacted our industry. The ACA contained a number of provisions expected to impact the clinical laboratory industry, such as changes governing enrollment in state and federal health care programs, reimbursement changes, and fraud and abuse.</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Further, on August 16, 2022, the Inflation Reduction Act of 2022 (“IRA 2022”) was signed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any such challenges and the health reform measures of the current administration will impact the ACA.</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(“APMs”), and the Merit-based Incentive Payment System (“MIPS”). Under both APMs and MIPS, performance data collected each performance year will affect Medicare payments in later years, including potentially reducing payments.</w:t>
      </w:r>
    </w:p>
    <w:p>
      <w:pPr>
        <w:spacing w:after="0" w:line="1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CLFS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 Pursuant to the Coronavirus Aid, Relief, and Economic Security Act ("CARES Act"), as amended by Section 221 of the Continuing Appropriations and Extensions Act, 2025 the statutory phase-in of the payment reductions has been extended through 2025 with a 0% reduction cap for 2021-2025 and a 15% reduction cap for 2026 through 2028. It is unclear what impact new quality and payment programs, such as MACRA, or new pricing structures, such as those adopted under PAMA, may have on our business, financial condition, results of operations, or cash flows.</w:t>
      </w:r>
    </w:p>
    <w:p>
      <w:pPr>
        <w:spacing w:after="0" w:line="3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recognize that our employees are both our most valuable asset and our most important investment. The success of our organization is reliant upon each individual’s significant contribution to our corporate culture and goals. Our core company values include striving to be:</w:t>
      </w:r>
    </w:p>
    <w:p>
      <w:pPr>
        <w:spacing w:after="0" w:line="129"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Patient-centric</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Teachers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Learners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Execution-oriented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Inclusive</w:t>
      </w:r>
    </w:p>
    <w:p>
      <w:pPr>
        <w:spacing w:after="0" w:line="19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At a foundational level, employees receive training related to workplace safety and emergency preparedness, awareness and expectations of inclusion, required data protection, and other regulatory matters. We offer competitive total rewards programs, ongoing training and development, and a commitment to the safety and health of our employees. We also practice a commitment to diversity by including broader outreach and sourcing for candidates for new roles as well as education and a visible commitment to diversity and inclusion internally.</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 engaged workforce with skills specific to our needs is critical for our successful growth in a competitive market and sector. We regularly benchmark our compensation and benefits by geography, industry (life sciences), and by role to ensure we maintain our status as an employer of choice in these areas. Our turnover rates over the last three years have been consistent with such benchmarks. Reports of our position relative to the benchmarks are reported to management and the compensation committee of our board of directors on a periodic basis.</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of January 31, 2025, we had 229 employees, of which 228 were full-time employees. Of these full-time employees, 83 were in research and development, 67 in laboratory operations, 40 in commercial operations and 38 in general and administrative functions. 226 of our full-time employees were located in the United States, with the remaining two located in Europe (including the U.K.). As of January 31, 2025, more than 40% of our employees had completed a Ph.D. or other advanced science or medical degree.</w:t>
      </w:r>
    </w:p>
    <w:p>
      <w:pPr>
        <w:spacing w:after="0" w:line="13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None of our employees are represented by a labor union or covered by collective bargaining agreements, and we have not experienced any labor work stoppages. We consider our relations with our employees to be good. The use of independent contractors is not a material part of our workforce strategy.</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are in compliance with the regulations established by the state of California Division of Occupational Safety and Health Requirements, and California Environmental Protection Agency applicable to our operations based in Fremont, California. This includes, but is not limited to, having an Injury and Illness Prevention Program, a Hazard Communication Program, an Emergency Action Plan, a Chemical Hygiene Plan, a Bloodborne Pathogens Program, and an Exposure Control Plan, which are captured in written standard operating procedures (“SOPs”). We provide training to our employees on these SOPs. We are committed to evaluating our compliance with such regulations on a recurring basis.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website is located at https://www.personalis.com. Our Annual Reports on Form 10-K, Quarterly Reports on Form 10-Q, Current Reports on Form 8-K, including their exhibits, proxy and information statements, and amendments to those reports filed or furnished pursuant to Sections 13(a), 14, and 15(d) of the Securities Exchange Act of 1934, as amended, are available through the “Investors” portion of our website free of charge as soon as reasonably practicable after we electronically file such material with, or furnish it to, the SEC. We also use the investor relations page on our website as a channel of distribution for important company information, including press releases, analyst coverage and financial information regarding us, as well as corporate governance information. We also use our and our Chief Executive Officer's X (formerly Twitter) accounts (@personalisinc; @C_HallBiotech) and our Chief Executive Officer’s LinkedIn accounts (https://www.linkedin.com/company/personalis-inc/; https://www.linkedin.com/in/christopher-hall-a982a0/) as channels of distribution for important company information. Information on our website or our social media accounts is not part of this Annual Report on Form 10-K or any of our other securities filings unless specifically incorporated herein or therein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history of losses and we expect to incur significant losses for the foreseeable future and may not be able to generate sufficient revenue to achieve or sustain profitability.</w:t>
      </w:r>
    </w:p>
    <w:p>
      <w:pPr>
        <w:spacing w:after="0" w:line="1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incurred net losses since our inception. For the years ended December 31, 2024 and 2023, we had net losses of $81 million and $108 million, respectively. As of December 31, 2024, we had an accumulated deficit of $550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13"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generation of sufficient reimbursement or coverage by insurance or governmental payors for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demonstrate the utility and value of our services to our customers and potential customers;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recruitment, hiring, and retention of our commercial team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customers and potential customers accept that our services are sufficiently sensitive and specific;</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educate our customers and potential customers of the utility of the comprehensiveness of our services and of testing patients at multiple time points;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continue to fund sales and marketing activities;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whether our services are considered superior to those of our competitors;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our success enforcing and defending intellectual property rights and claims.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9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that employ various approaches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Some of our present or potential competitors, including Adela, Inc., BostonGene Corporation, Caris Life Sciences, Inc., DELFI Diagnostics, Inc., Exact Sciences Corporation, Foresight Diagnostics Inc. (“Foresight”), Foundation Medicine, Inc., Freenome, Inc., Fulgent Genetics, Inc., Geneseeq Technology Inc., GRAIL, Inc., Guardant Health, Inc., Haystack Oncology, Inc., which was acquired by Quest Diagnostics Incorporated in June 2023, Laboratory Corporation of America Holdings, MedGenome Inc., Myriad Genetics, Inc., Natera, NeoGenomics, Inc., Novogene Corporation, Predicine, Inc., Roche Molecular Systems, Inc., SAGA Diagnostics AB,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2024, revenue under our agreement accounted for 30% of our total revenue. See “—We currently derive a substantial portion of our revenue from DNA sequencing and data analysis services that we provide to Natera. We expect our commercial relationship with Natera to wind down by mid-2025 and, if we are unable to grow our customer base and diversify our revenue concentration,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We may also have disputes with our present or potential competitors.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spacing w:after="0" w:line="14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spacing w:after="0" w:line="34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spacing w:after="0" w:line="334"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Natera, which accounted for 30% and 43% of our revenue for the years ended December 31, 2024 and 2023, respectively. We also derive a significant portion of our revenue from Moderna, which accounted for 28% and 5% of our revenue for the years ended December 31, 2024 and 2023, respectively. We previously derived a significant portion of our revenue from the VA MVP, which more recently accounted for 9% and 13% of our revenue for the years ended December 31, 2024 and 2023, respectively. Our top five customers, including Natera, Moderna, and the VA MVP, accounted for 81% and 74% of our revenue for the years ended December 31, 2024 and 2023, respectively. There are inherent risks whenever a large percentage of revenue is concentrated with a limited number of customers. While we have attempted to grow our customer base and diversify our revenue concentration beyond Natera, Moderna, and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See “—We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4"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Natera. We expect our commercial relationship with Natera to wind down by mid-2025 and, if we are unable to grow our customer base and diversify our revenue concentration, our business, financial condition, revenue and other operating results, and cash flows may be materially harmed.</w:t>
      </w:r>
    </w:p>
    <w:p>
      <w:pPr>
        <w:spacing w:after="0" w:line="12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February 2021, we entered into a partnership in the field of personalized oncology with Natera, pairing our NeXT tumor profiling and diagnostic services and products with Natera’s personalized ctDNA test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in 2024, revenue under our agreement accounted for 30% of our total revenue. In December 2024, we amended our agreement to extend minimum volume commitments through the second quarter of 2025. Upon expiration of the term of the amended agreement, we expect our commercial relationship with Natera to terminate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Natera have fluctuated significantly and may continue to do so for the remainder of the term of the agreement, which could cause us to experience difficulty in achieving such metrics from time to time, or to meet our other obligations under our agreement.</w:t>
      </w:r>
    </w:p>
    <w:p>
      <w:pPr>
        <w:spacing w:after="0" w:line="12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Additionally, Natera or other customers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in the future to increase our laboratory’s capacity to process increased sample volumes from our other customers. Our activities under our agreement with Natera have had, and activities with our other customers may in the future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spacing w:after="0" w:line="149"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spacing w:after="0" w:line="12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September 2024, we received a third task order with a value of up to $7.5 million. There is no guarantee that the VA MVP will exercise any subsequent renewal option.</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annual orders received in subsequent years had values of $10.0 million, or less, which represents a substantial decline. We have no certainty that funding will be made available for our services, or that the VA MVP will honor its payment obligations under the current contract and task order, or award any future contracts, contract renewals or contracted orders to us. The priorities of the VA, the VA MVP, or the U.S. government may change, including in response to a health epidemic pandemic or federal cost-cutting initiatives such as those recently announced and enacted by the current administration.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 health epidemic or pandemic may negatively impact the value of any potential new VA MVP contract or order.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3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other than the VA MVP and Natera, are primarily biopharmaceutical companies that use our services to support clinical trials, including Moderna.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spacing w:after="0" w:line="14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4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Building our clinical laboratory business is subject to a number of reimbursement challenges and we may not be able to establish the medical necessity of our tests for coverage or reimbursement rates that cover our costs.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not medically necessary, or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spacing w:after="0" w:line="14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spacing w:after="0" w:line="153"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We are pursuing a partner-centric strategy and have key relationships with Tempus, Myriad, Moderna and Merck, among others. These and any other partnering and/or collaboration arrangements that we have entered into or may enter into in the future may not be successful, or may terminate, which could adversely impact our business or affect our ability to develop and commercialize our services and products.</w:t>
      </w:r>
    </w:p>
    <w:p>
      <w:pPr>
        <w:spacing w:after="0" w:line="12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strategic alliances with Moderna and Merck; and our collaborations with Tempus; Myriad; ClearNote Health, Inc.;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Anderson Cancer Center; University Medical Center Hamburg-Eppendorf (also known as UKE);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spacing w:after="0" w:line="63" w:lineRule="exact"/>
        <w:rPr>
          <w:sz w:val="20"/>
          <w:szCs w:val="20"/>
          <w:color w:val="auto"/>
        </w:rPr>
      </w:pPr>
    </w:p>
    <w:p>
      <w:pPr>
        <w:jc w:val="both"/>
        <w:ind w:left="1140" w:right="20" w:hanging="383"/>
        <w:spacing w:after="0" w:line="266"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62"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25"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6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48"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 and</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or our collaborators may request or require us to expand our facilities and/or establish new facilities domestically and/or internationally, which may significantly increase our expenses and divert resources and management’s attention. See “</w:t>
      </w:r>
      <w:r>
        <w:rPr>
          <w:rFonts w:ascii="Arial" w:cs="Arial" w:eastAsia="Arial" w:hAnsi="Arial"/>
          <w:sz w:val="16"/>
          <w:szCs w:val="16"/>
          <w:b w:val="1"/>
          <w:bCs w:val="1"/>
          <w:i w:val="1"/>
          <w:iCs w:val="1"/>
          <w:color w:val="auto"/>
        </w:rPr>
        <w:t>—</w:t>
      </w:r>
      <w:r>
        <w:rPr>
          <w:rFonts w:ascii="Arial" w:cs="Arial" w:eastAsia="Arial" w:hAnsi="Arial"/>
          <w:sz w:val="16"/>
          <w:szCs w:val="16"/>
          <w:color w:val="auto"/>
        </w:rPr>
        <w:t>We may need to continue to invest in our infrastructure in advance of increased demand for our services; our failure to accurately forecast demand would have a negative impact on our business and our ability to achieve and sustain profitability.” and “</w:t>
      </w:r>
      <w:r>
        <w:rPr>
          <w:rFonts w:ascii="Arial" w:cs="Arial" w:eastAsia="Arial" w:hAnsi="Arial"/>
          <w:sz w:val="16"/>
          <w:szCs w:val="16"/>
          <w:b w:val="1"/>
          <w:bCs w:val="1"/>
          <w:i w:val="1"/>
          <w:iCs w:val="1"/>
          <w:color w:val="auto"/>
        </w:rPr>
        <w:t>—</w:t>
      </w:r>
      <w:r>
        <w:rPr>
          <w:rFonts w:ascii="Arial" w:cs="Arial" w:eastAsia="Arial" w:hAnsi="Arial"/>
          <w:sz w:val="16"/>
          <w:szCs w:val="16"/>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5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1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spacing w:after="0" w:line="15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4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a single facility and if it becomes damaged or inoperable, or we are required to vacate our facility, our ability to sell and provide our services and pursue research and development efforts may be jeopardized.</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currently derive our revenue from our genomic analysis conducted in our laboratories. Currently, our only clinical reference or research and development laboratory facility is in Fremont, California. Our laboratory facility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laboratory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use of our laboratory facility due to a failure of an electrical bus duct serving that facility. Furthermore, our laboratory facility and the equipment we use to perform our services and our research and development work could be costly and time-consuming to repair or replace.</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facility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spacing w:after="0" w:line="14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Further, if our laboratory facility becomes inoperable, we would likely not be able to license or transfer our technology to other facilities with the qualifications, including state licensure and CLIA certification, that would be necessary to cover the scope of our current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and our planned future services. Even if we were to find facilities with such qualifications to perform our services, they may not be available to us on commercially reasonable terms.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success depends on our ability to provide reliable and timely, high-quality genomic data and analyses and to rapidly evolve to meet our customers’ needs.</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6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achieving, or inability to achieve, regulatory approval, commercialization, or payor coverage, any of which could adversely affect our business.</w:t>
      </w:r>
    </w:p>
    <w:p>
      <w:pPr>
        <w:spacing w:after="0" w:line="13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spacing w:after="0" w:line="14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spacing w:after="0" w:line="16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spacing w:after="0" w:line="160"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4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have undertaken in the past, and may in the future undertake, internal restructuring activities that could result in disruptions to our business or otherwise harm our results of operations or financial condition.</w:t>
      </w:r>
    </w:p>
    <w:p>
      <w:pPr>
        <w:spacing w:after="0" w:line="1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information technology systems,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need to continue to invest in our infrastructure in advance of increased demand for our services; our failure to accurately forecast demand would have a negative impact on our business and our ability to achieve and sustain profitability.</w:t>
      </w:r>
    </w:p>
    <w:p>
      <w:pPr>
        <w:spacing w:after="0" w:line="1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Fremont facility expanded our laboratory capacity and, in order to execute our business model, we will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 In addition, we have experienced, and expect to continue to experience, significant fluctuations in the timing of receipt and volume of samples from our customers and collaborators. These fluctuations have in the past adversely impacted, and may in the future adversely impact, our ability to process samples timely and in an efficient fashion, particularly when the sample volume at any given time exceeds our then current capacity.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expanded our laboratory facility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4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that could adversely affect our operations, our financial condition, and the business or operations of our customers or other third parties with whom we conduct business.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business could be adversely impacted by the effects of a health crisis that could cause significant disruption in the operations of our customers and third-party suppliers upon whom we rely. Our laboratory facility,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3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consumables if our suppliers prioritize orders related to a health epidemic or pandemic or if other supply chain issues arise as a result of 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spacing w:after="0" w:line="15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spacing w:after="0" w:line="32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spacing w:after="0" w:line="12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On May 6, 2024, the FDA issued final regulations under which it intends to phase out its enforcement discretion approach to LDTs over a period of four years (the "Final Rule"). We anticipate that we may be required to obtain PMA approval for certain of our tests by October 1, 2027. We may also be subject to device registration and listing requirements, medical device reporting requirements and the requirements of the FDA’s Quality System Regulation. We may be required to conduct clinical trials to support any premarket notification or applications to FDA, which would increase the costs to our business and impair our profitability.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See “—Failure to comply with federal, state, and foreign laboratory licensing requirements and the applicable requirements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or any other regulatory authority, could cause us to lose the ability to perform our tests, experience disruptions to our business or become subject to administrative or judicial sanctions.”</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implementation of the Final Rule exposes us to additional regulatory controls and submissions for our tests or the possibility of enforcement action, both of which would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facility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spacing w:after="0" w:line="143"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spacing w:after="0" w:line="14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under the FDA's Final Rule or otherwise,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w:t>
      </w:r>
    </w:p>
    <w:p>
      <w:pPr>
        <w:spacing w:after="0" w:line="5" w:lineRule="exact"/>
        <w:rPr>
          <w:sz w:val="20"/>
          <w:szCs w:val="20"/>
          <w:color w:val="auto"/>
        </w:rPr>
      </w:pPr>
    </w:p>
    <w:p>
      <w:pPr>
        <w:jc w:val="both"/>
        <w:ind w:firstLine="8"/>
        <w:spacing w:after="0" w:line="256" w:lineRule="auto"/>
        <w:tabs>
          <w:tab w:leader="none" w:pos="1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spacing w:after="0" w:line="13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spacing w:after="0" w:line="14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5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spacing w:after="0" w:line="15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6" w:lineRule="exact"/>
        <w:rPr>
          <w:sz w:val="20"/>
          <w:szCs w:val="20"/>
          <w:color w:val="auto"/>
        </w:rPr>
      </w:pPr>
    </w:p>
    <w:p>
      <w:pPr>
        <w:jc w:val="both"/>
        <w:ind w:firstLine="816"/>
        <w:spacing w:after="0" w:line="25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spacing w:after="0" w:line="70"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manufacturing processes;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service or product marketing;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warning letters;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or recall of services or products from the market;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fines, restitution, or disgorgement of profits or revenue;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suspension or withdrawal of regulatory clearances or approvals;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limitation on, or refusal to permit, import or export of our products;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product seizures;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imposition of civil or criminal penalties.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spacing w:after="0" w:line="153"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spacing w:after="0" w:line="3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spacing w:after="0" w:line="13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spacing w:after="0" w:line="14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5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spacing w:after="0" w:line="13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any of our services or products fail to comply with FDA regulatory requirements as enforced, including the Final Rule,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4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with whom we work, may be vulnerable to a heightened risk of these attacks, including retaliatory cyberattacks, that could materially disrupt our systems and operations, supply chain, and ability to produce, sell, and distribute our products and services.</w:t>
      </w:r>
    </w:p>
    <w:p>
      <w:pPr>
        <w:spacing w:after="0" w:line="14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Most of our employees are working remotely at least part of the time and such remote work has increased risks to our information technology systems and data, as more of our employees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5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rely on third 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that of the third parties with whom we work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products and services.</w:t>
      </w:r>
    </w:p>
    <w:p>
      <w:pPr>
        <w:spacing w:after="0" w:line="14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spacing w:after="0" w:line="14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employ a shared responsibility model where our customers and partners are responsible for configuring and implementing security measures related to our platform. As part of this model, we make certain security features available to users that can be implemented at their discretion or identify security areas or measures for which they are responsible. For example, users can choose whether to implement and enforce multifactor authentication to access their accounts. In certain cases where users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and partner relationships, reputation, and revenue may be adversely impacted.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tests and services and otherwise conduct our business in the ordinary course.</w:t>
      </w:r>
    </w:p>
    <w:p>
      <w:pPr>
        <w:spacing w:after="0" w:line="15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Unauthorized access, loss, or dissemination could also damage our reputation or disrupt our operations, including our ability to conduct our analyses, deliver test results, process claims and appeals, provide customer assistance, conduct research and development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spacing w:after="0" w:line="15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products and services, deter new customers or partners from using our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spacing w:after="0" w:line="15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spacing w:after="0" w:line="153" w:lineRule="exact"/>
        <w:rPr>
          <w:sz w:val="20"/>
          <w:szCs w:val="20"/>
          <w:color w:val="auto"/>
        </w:rPr>
      </w:pPr>
    </w:p>
    <w:p>
      <w:pPr>
        <w:jc w:val="both"/>
        <w:ind w:left="760"/>
        <w:spacing w:after="0" w:line="258"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30"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spacing w:after="0" w:line="1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spacing w:after="0" w:line="16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also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are found to be deficient, lacking in transparency, deceptive, unfair, or misrepresentative of our practices, we may be subject to investigation, enforcement actions by regulators or other adverse consequences.</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3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3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products and services; expenditure of time and resources to defend any claim or inquiry; adverse publicity; or substantial changes to our business model or operations.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0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operations are or may be subject to other extensive federal, state, local, and foreign laws and regulations, all of which are subject to change.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laws and regulations currently include, among others:</w:t>
      </w:r>
    </w:p>
    <w:p>
      <w:pPr>
        <w:spacing w:after="0" w:line="97" w:lineRule="exact"/>
        <w:rPr>
          <w:sz w:val="20"/>
          <w:szCs w:val="20"/>
          <w:color w:val="auto"/>
        </w:rPr>
      </w:pPr>
    </w:p>
    <w:p>
      <w:pPr>
        <w:jc w:val="both"/>
        <w:ind w:left="1140" w:hanging="383"/>
        <w:spacing w:after="0" w:line="254"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w:t>
      </w:r>
    </w:p>
    <w:p>
      <w:pPr>
        <w:spacing w:after="0" w:line="69" w:lineRule="exact"/>
        <w:rPr>
          <w:rFonts w:ascii="Times New Roman" w:cs="Times New Roman" w:eastAsia="Times New Roman" w:hAnsi="Times New Roman"/>
          <w:sz w:val="16"/>
          <w:szCs w:val="16"/>
          <w:color w:val="auto"/>
        </w:rPr>
      </w:pPr>
    </w:p>
    <w:p>
      <w:pPr>
        <w:jc w:val="both"/>
        <w:ind w:left="1140" w:hanging="383"/>
        <w:spacing w:after="0" w:line="249"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spacing w:after="0" w:line="273"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267" w:lineRule="exact"/>
        <w:rPr>
          <w:rFonts w:ascii="Times New Roman" w:cs="Times New Roman" w:eastAsia="Times New Roman" w:hAnsi="Times New Roman"/>
          <w:sz w:val="16"/>
          <w:szCs w:val="16"/>
          <w:color w:val="auto"/>
        </w:rPr>
      </w:pPr>
    </w:p>
    <w:p>
      <w:pPr>
        <w:jc w:val="both"/>
        <w:ind w:left="1140" w:right="20" w:hanging="383"/>
        <w:spacing w:after="0" w:line="266" w:lineRule="auto"/>
        <w:tabs>
          <w:tab w:leader="none" w:pos="1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jc w:val="both"/>
        <w:ind w:left="1140" w:hanging="383"/>
        <w:spacing w:after="0" w:line="254"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6"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70" w:lineRule="exact"/>
        <w:rPr>
          <w:rFonts w:ascii="Times New Roman" w:cs="Times New Roman" w:eastAsia="Times New Roman" w:hAnsi="Times New Roman"/>
          <w:sz w:val="16"/>
          <w:szCs w:val="16"/>
          <w:color w:val="auto"/>
        </w:rPr>
      </w:pPr>
    </w:p>
    <w:p>
      <w:pPr>
        <w:jc w:val="both"/>
        <w:ind w:left="1140" w:hanging="383"/>
        <w:spacing w:after="0" w:line="253"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72" w:lineRule="exact"/>
        <w:rPr>
          <w:rFonts w:ascii="Times New Roman" w:cs="Times New Roman" w:eastAsia="Times New Roman" w:hAnsi="Times New Roman"/>
          <w:sz w:val="16"/>
          <w:szCs w:val="16"/>
          <w:color w:val="auto"/>
        </w:rPr>
      </w:pPr>
    </w:p>
    <w:p>
      <w:pPr>
        <w:jc w:val="both"/>
        <w:ind w:left="1140" w:hanging="383"/>
        <w:spacing w:after="0" w:line="250"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spacing w:after="0" w:line="80"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spacing w:after="0" w:line="62"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48" w:lineRule="exact"/>
        <w:rPr>
          <w:rFonts w:ascii="Times New Roman" w:cs="Times New Roman" w:eastAsia="Times New Roman" w:hAnsi="Times New Roman"/>
          <w:sz w:val="16"/>
          <w:szCs w:val="16"/>
          <w:color w:val="auto"/>
        </w:rPr>
      </w:pPr>
    </w:p>
    <w:p>
      <w:pPr>
        <w:jc w:val="both"/>
        <w:ind w:left="1140" w:hanging="383"/>
        <w:spacing w:after="0" w:line="257" w:lineRule="auto"/>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264"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could be adversely affected by violations of the FCPA and other worldwide anti-bribery laws.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13" w:lineRule="exact"/>
        <w:rPr>
          <w:sz w:val="20"/>
          <w:szCs w:val="20"/>
          <w:color w:val="auto"/>
        </w:rPr>
      </w:pPr>
    </w:p>
    <w:p>
      <w:pPr>
        <w:jc w:val="both"/>
        <w:ind w:left="1140" w:hanging="383"/>
        <w:spacing w:after="0" w:line="266"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62"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on August 16, 2022, the IRA 2022 was signed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Merit-based Incentive Payment System. Under both APMs and MIPS, performance data collected each performance year will affect Medicare payments in later years, including potentially reducing payments.</w:t>
      </w:r>
    </w:p>
    <w:p>
      <w:pPr>
        <w:spacing w:after="0" w:line="12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spacing w:after="0" w:line="14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the Consolidated Appropriations Act, the statutory phase-in of the payment reductions has been extended through 2025 with a 0% reduction cap for 2021-2023 and a 15% reduction cap for 2026 through 2028.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tax laws or regulations could adversely affect our business and financial condition.</w:t>
      </w:r>
    </w:p>
    <w:p>
      <w:pPr>
        <w:spacing w:after="0" w:line="17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On December 22, 2017, comprehensive tax legislation (the “Tax Cuts and Jobs Act”) was signed into law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tax rate significantly different from previous periods or our current expectations and may result in tax obligations in excess of amounts accrued in our financial statements.</w:t>
      </w:r>
    </w:p>
    <w:p>
      <w:pPr>
        <w:spacing w:after="0" w:line="13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exit of the U.K. from the EU could lead to further regulatory divergence and require us to incur additional expenses in order to develop, manufacture, and commercialize our products and services.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spacing w:after="0" w:line="14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spacing w:after="0" w:line="15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spacing w:after="0" w:line="14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business could be negatively impacted by environmental, social and corporate governance (ESG) matters or our reporting of such matters.</w:t>
      </w:r>
    </w:p>
    <w:p>
      <w:pPr>
        <w:spacing w:after="0" w:line="1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3"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2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6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spacing w:after="0" w:line="14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services or products in the future.</w:t>
      </w:r>
    </w:p>
    <w:p>
      <w:pPr>
        <w:spacing w:after="0" w:line="1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5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39" w:lineRule="exact"/>
        <w:rPr>
          <w:sz w:val="20"/>
          <w:szCs w:val="20"/>
          <w:color w:val="auto"/>
        </w:rPr>
      </w:pPr>
    </w:p>
    <w:p>
      <w:pPr>
        <w:jc w:val="both"/>
        <w:ind w:left="760"/>
        <w:spacing w:after="0" w:line="280"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spacing w:after="0" w:line="31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3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patent prosecution. If we do not have sufficient patent life to protect our technologies, products and services, our competitive position, business, financial condition, results of operations, and prospects will be adversely affected.</w:t>
      </w:r>
    </w:p>
    <w:p>
      <w:pPr>
        <w:spacing w:after="0" w:line="131" w:lineRule="exact"/>
        <w:rPr>
          <w:sz w:val="20"/>
          <w:szCs w:val="20"/>
          <w:color w:val="auto"/>
        </w:rPr>
      </w:pPr>
    </w:p>
    <w:p>
      <w:pPr>
        <w:jc w:val="both"/>
        <w:ind w:left="760"/>
        <w:spacing w:after="0" w:line="262"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spacing w:after="0" w:line="12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5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spacing w:after="0" w:line="3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spacing w:after="0" w:line="81" w:lineRule="exact"/>
        <w:rPr>
          <w:sz w:val="20"/>
          <w:szCs w:val="20"/>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spacing w:after="0" w:line="11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5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4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proceedings, or other post-grant proceedings declared by the USPTO or a foreign patent office that have resulted, and could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57"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spacing w:after="0" w:line="13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5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33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r>
        <w:rPr>
          <w:rFonts w:ascii="Arial" w:cs="Arial" w:eastAsia="Arial" w:hAnsi="Arial"/>
          <w:sz w:val="16"/>
          <w:szCs w:val="16"/>
          <w:b w:val="1"/>
          <w:bCs w:val="1"/>
          <w:color w:val="auto"/>
        </w:rPr>
        <w:t>.</w:t>
      </w:r>
    </w:p>
    <w:p>
      <w:pPr>
        <w:spacing w:after="0" w:line="1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64"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3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r>
        <w:rPr>
          <w:rFonts w:ascii="Arial" w:cs="Arial" w:eastAsia="Arial" w:hAnsi="Arial"/>
          <w:sz w:val="16"/>
          <w:szCs w:val="16"/>
          <w:b w:val="1"/>
          <w:bCs w:val="1"/>
          <w:color w:val="auto"/>
        </w:rPr>
        <w:t>.</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spacing w:after="0" w:line="34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55" w:lineRule="exact"/>
        <w:rPr>
          <w:sz w:val="20"/>
          <w:szCs w:val="20"/>
          <w:color w:val="auto"/>
        </w:rPr>
      </w:pPr>
    </w:p>
    <w:p>
      <w:pPr>
        <w:jc w:val="both"/>
        <w:ind w:left="760" w:right="20"/>
        <w:spacing w:after="0" w:line="270"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8"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1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1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4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7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19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1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may seek to raise additional capital through equity offerings, debt financings, collaborations, or licensing arrangements to continue executing on our long-term business plan. Additional funding may not be available to us on acceptable terms, or at all.</w:t>
      </w:r>
    </w:p>
    <w:p>
      <w:pPr>
        <w:spacing w:after="0" w:line="11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spacing w:after="0" w:line="3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01"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48"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operating results;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tests or new tests that may emerge;</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relating to significant acquisitions, strategic partnerships, joint ventures, collaborations, capital commitments, or by or pertaining to our customers, particularly the VA MVP, Moderna and Natera, as our largest customers;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287"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and amount of our investments in the growth of our business;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or departures of key management or other personnel;</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inability to obtain additional funding;</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sales of our common stock by us or our stockholders in the future;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health epidemics or pandemics, geopolitical conflicts, inflation, global supply chain issues, regional or national economic slowdowns, recessions, depressions or other economic downturns; and</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other general economic, industry, and market conditions, including factors unrelated to our operating performance or the operating performance of our competitors.</w:t>
      </w:r>
    </w:p>
    <w:p>
      <w:pPr>
        <w:spacing w:after="0" w:line="11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59"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Unstable market, economic and geo-political conditions may have serious adverse consequences on our business, financial condition and stock price.</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now a larger regional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351"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0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spacing w:after="0" w:line="13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5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maintain our cash at financial institutions, often in balances that exceed federally insured limits.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56"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Insiders or holders of greater than five percent of our outstanding common stock may exercise significant control over our company and will be able to influence corporate matters.</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 In November 2023, we entered into a Commercialization and Reference Laboratory Agreement (“Tempus Agreement”) (see Note 8 to our audited consolidated financial statements included in this Annual Report on Form 10-K for additional information), pursuant to which, Tempus agreed to certain voting commitments that require Tempus to vote the shares it acquired from exercising its warrants for our common stock in accordance with the recommendations of the majority of our board of directors with respect to director nominations for any meeting of our stockholders occurring on or before December 31, 2025, as well as various compensation-related matters. These voting commitments terminate on when the parties’ exclusivity obligations expire or terminate under the Tempus Agreement. In addition, in December 2024, we entered into an Investment Agreement with Merck &amp; Co.,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Inc. (“Merck”) (see Note 8 to our audited consolidated financial statements included in this Annual Report on Form 10-K for additional information) pursuant to which Merck agreed to certain voting commitments that require Merck to vote, subject to specified exceptions, any shares of our common stock that Merck owns in accordance with the recommendations of our board of directors. Such voting commitments generally apply to director nominations for any meeting of our stockholders, amendments to our charter to increase the authorized shares of our common stock, various compensation-related matters, and ratification of our auditors. These voting commitments terminate upon the earlier of the second anniversary of the date of the investment agreement with Merck and the first time that Merck and its affiliates no longer own at least 50% of our shares owned by Merck immediately following the date of the investment agreement with Merck.</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2024, we had 85,171,146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effect on the market price of our common stock.</w:t>
      </w:r>
    </w:p>
    <w:p>
      <w:pPr>
        <w:spacing w:after="0" w:line="147"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1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39"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spacing w:after="0" w:line="12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55"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0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of December 31, 2024, we had federal and state net operating loss carryforwards of approximately $324.1 million and approximately $302.5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spacing w:after="0" w:line="162"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0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63"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directors may only be removed for cause;</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forum for certain litigation against us to Delaware; and</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6" w:lineRule="exact"/>
        <w:rPr>
          <w:sz w:val="20"/>
          <w:szCs w:val="20"/>
          <w:color w:val="auto"/>
        </w:rPr>
      </w:pPr>
    </w:p>
    <w:p>
      <w:pPr>
        <w:jc w:val="both"/>
        <w:ind w:left="76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48"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any derivative action or proceeding brought on our behalf;</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breach of fiduciary duty;</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5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33"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We currently are a smaller reporting company, and any decision on our part to avail ourselves of certain reduced reporting and disclosure requirements applicable to smaller reporting companies could make our common stock less attractive to investors.</w:t>
      </w:r>
    </w:p>
    <w:p>
      <w:pPr>
        <w:spacing w:after="0" w:line="10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6"/>
          <w:szCs w:val="16"/>
          <w:color w:val="auto"/>
        </w:rPr>
        <w:t>We currently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spacing w:after="0" w:line="33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34" w:lineRule="exact"/>
        <w:rPr>
          <w:sz w:val="20"/>
          <w:szCs w:val="20"/>
          <w:color w:val="auto"/>
        </w:rPr>
      </w:pPr>
    </w:p>
    <w:p>
      <w:pPr>
        <w:ind w:left="760"/>
        <w:spacing w:after="0" w:line="294"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in the future, the accuracy and timing of our financial reporting may be adversely affected.</w:t>
      </w:r>
    </w:p>
    <w:p>
      <w:pPr>
        <w:spacing w:after="0" w:line="1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We currently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Management and Strategy</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personal information, and Personal Health Information (“PHI”) (collectively, “Information Systems and Data”).</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board of director’s audit committee and the internal cybersecurity team help identify, assess and manage the Company’s cybersecurity threats and risks, including through the use of our risk register. Our internal cybersecurity team includes our information security function, security management, engineering operations, legal, risk management and third-party service providers. Our cybersecurity team identifies and assesses risks from cybersecurity threats by monitoring and evaluating our threat environment and Personalis’ risk profile using various methods including, for example: using manual and automated tools, conducting scans of the threat environment, evaluating our and our industry’s risk profile, evaluating threats reported to us, conducting threat assessments, employee reporting, encryption of data, penetration testing, and regular reviews and internal and external audits.</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response plan, incident detection and response, disaster recovery and business continuity plans, risk assessments, network security controls, access controls, user management, asset management, hardware and data segregation, system monitoring and regular reviews.</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assessment and management of material risks from cybersecurity threats are integrated into our overall risk management processes. For example, cybersecurity risk is addressed as a component of our enterprise risk management program and identified in our risk register. Additionally, the cybersecurity team monitors activity on a continual basis and works with security management to prioritize our risk profile and mitigate cybersecurity threats that are more likely to lead to a material impact to our business on a monthly basis; executive management evaluates material risks from cybersecurity threats against our overall business objectives on a periodic basis and reports to the audit committee of the board of directors, which evaluates our overall enterprise risk periodically.</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use third-party service providers to assist us from time to time to identify, assess, and manage material risks from cybersecurity threats, including for example cybersecurity consultants, threat intelligence service providers, forensic investigators, and professional services firms.</w:t>
      </w:r>
    </w:p>
    <w:p>
      <w:pPr>
        <w:spacing w:after="0" w:line="1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We use third-party service providers to perform a variety of functions throughout our business, including, but not limited to infrastructure support and maintenance, supply chain resources, contracting services and software integrations. These vendors are reviewed as part of our vendor management program, including the management of cybersecurity risks associated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For a description of the risks from cybersecurity threats that may materially affect the Company and how they may do so, see our risk factors under Part I, Item1A. Risk Factors in this Annual Report on Form 10-K, including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board of directors addresses our cybersecurity risk management as part of its general oversight function. The board of directors’ audit committee is responsible for overseeing the Company’s cybersecurity risk management processes.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cybersecurity risk assessment and management processes are implemented and maintained by our executive leadership team and led by the Vice President of Informatics, who has more than 20 years of experience in information technology and oversees the Informatics department which includes the Company’s hardware, software, help desk, and cybersecurity team.</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Vice President of Informatics reports to our Chief Financial Officer and is responsible for hiring appropriate personnel, helping to integrate cybersecurity risk considerations into our overall risk management strategy, and communicating key priorities to relevant personnel. The Vice President of Informatics is responsible for approving budgets, helping prepare for cybersecurity incidents, approving cybersecurity processes, and reviewing security assessments and other security-related reports.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cybersecurity incident response and vulnerability management processes are designed to escalate certain cybersecurity incidents to members of management depending on the circumstances, including the internal cybersecurity team and others, depending on severity. The cybersecurity team works with our incident response team to help the company mitigate and remediate cybersecurity incidents of which they are notified. In addition, our incident response processes include reporting to the audit committee of the board of directors for certain cybersecurity incidents.</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board of directors receives periodic updates from certain members of the cybersecurity team concerning the Company’s significant cybersecurity threats and risk and the processes we have implemented to address them. The audit committee and board also have access to various reports, summaries or presentations related to cybersecurity threats, risk and mitigation.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Our corporate headquarters is located in Fremont, California, and comprise 100,000 square feet of space, pursuant to a lease that expires in 2036. The lease includes two options to extend the term for a period of five-years per option, at prevailing market rates. This facility is used for our CLIA-certified and CAP-accredited laboratory operations, research and development, and corporate functions.</w:t>
      </w:r>
    </w:p>
    <w:p>
      <w:pPr>
        <w:spacing w:after="0" w:line="14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also lease 31,280 square feet of space in Menlo Park, California, pursuant to a lease that expires in 2027. This facility was previously used for laboratory operations and our former corporate headquarters. We moved all laboratory operations to the Fremont facility during the third quarter of 2023 and are actively marketing the space for sublease.</w:t>
      </w:r>
    </w:p>
    <w:p>
      <w:pPr>
        <w:spacing w:after="0" w:line="13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believe that our facilities are sufficient to meet our current and foreseeable future needs. We also believe we will be able to obtain additional space, as needed, on commercially reasonable terms.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See the disclosure under the heading "Contingencies" in Note 12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7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20"/>
        <w:spacing w:after="0" w:line="484" w:lineRule="auto"/>
        <w:rPr>
          <w:sz w:val="20"/>
          <w:szCs w:val="20"/>
          <w:color w:val="auto"/>
        </w:rPr>
      </w:pPr>
      <w:r>
        <w:rPr>
          <w:rFonts w:ascii="Arial" w:cs="Arial" w:eastAsia="Arial" w:hAnsi="Arial"/>
          <w:sz w:val="16"/>
          <w:szCs w:val="16"/>
          <w:b w:val="1"/>
          <w:bCs w:val="1"/>
          <w:color w:val="auto"/>
        </w:rPr>
        <w:t xml:space="preserve">Item 5. Market for Registrant’s Common Equity, Related Stockholder Matters and Issuer Purchases of Equity Securities. </w:t>
      </w:r>
      <w:r>
        <w:rPr>
          <w:rFonts w:ascii="Arial" w:cs="Arial" w:eastAsia="Arial" w:hAnsi="Arial"/>
          <w:sz w:val="16"/>
          <w:szCs w:val="16"/>
          <w:b w:val="1"/>
          <w:bCs w:val="1"/>
          <w:i w:val="1"/>
          <w:iCs w:val="1"/>
          <w:color w:val="auto"/>
        </w:rPr>
        <w:t>Market Information</w:t>
      </w:r>
    </w:p>
    <w:p>
      <w:pPr>
        <w:ind w:left="760"/>
        <w:spacing w:after="0"/>
        <w:rPr>
          <w:sz w:val="20"/>
          <w:szCs w:val="20"/>
          <w:color w:val="auto"/>
        </w:rPr>
      </w:pPr>
      <w:r>
        <w:rPr>
          <w:rFonts w:ascii="Arial" w:cs="Arial" w:eastAsia="Arial" w:hAnsi="Arial"/>
          <w:sz w:val="16"/>
          <w:szCs w:val="16"/>
          <w:color w:val="auto"/>
        </w:rPr>
        <w:t>Our common stock is listed on The Nasdaq Global Market under the symbol “PSNL.”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w:t>
      </w:r>
    </w:p>
    <w:p>
      <w:pPr>
        <w:spacing w:after="0" w:line="179"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As of February 21, 2025, there were approximately 47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not declared or paid any cash dividend on our common stock. We intend to retain any future earnings and do not expect to pay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8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accompanying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 Item 1A, “Risk Factors” for a discussion of factors that could cause actual results to differ materially from the results described in or implied by the forward-looking statements contained in the following discussion and elsewhere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develop, market, and sell advanced cancer genomic tests and services. Our services are used by pharmaceutical companies for translational research, biomarker discovery, the development of personalized cancer therapies, and for clinical trials. Our tests are used by physicians to detect residual or recurrent cancer in patients, monitor cancer response to therapy, and uncover insights for therapy selection. We also provide whole exome and whole genome sequencing services for other diagnostic companies and population sequencing initiatives.</w:t>
      </w:r>
    </w:p>
    <w:p>
      <w:pPr>
        <w:spacing w:after="0" w:line="1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neoantigen therapies for cancer and other next-generation cancer immunotherapies. For example, we are providing genomic testing to Moderna, Inc. ("Moderna") in its ongoing clinical trials evaluating a personalized cancer therapy.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to commercialize our NeXT Personal Dx test. We have also pursued non-cancer related business opportunities, specifically within the population sequencing market, by providing whole genome sequencing ("WGS") services under contract with the U.S. Department of Veterans Affairs Million Veteran Program ("VA MVP").</w:t>
      </w:r>
    </w:p>
    <w:p>
      <w:pPr>
        <w:spacing w:after="0" w:line="15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that will focus on building the evidence-base for our technology and these indications.</w:t>
      </w:r>
    </w:p>
    <w:p>
      <w:pPr>
        <w:spacing w:after="0" w:line="14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approximately 500,000 human samples, of which approximately 200,000 were whole human genomes.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Highlights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Total revenue of $84.6 million increased 15%, or $11.1 million, during 2024 compared to 2023, primarily driven by higher revenue from pharma tests. Revenue from pharma tests was $50.9 million in 2024 compared to $31.9 million in 2023, an increase of 60%. This increase was partially offset by lower revenue from enterprise sales, which declined $6.4 million, or 20%.</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Key business accomplishments and financial updates in 2024 and early 2025 include:</w:t>
      </w:r>
    </w:p>
    <w:p>
      <w:pPr>
        <w:spacing w:after="0" w:line="113" w:lineRule="exact"/>
        <w:rPr>
          <w:sz w:val="20"/>
          <w:szCs w:val="20"/>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Received Medicare coverage for NeXT Dx, our comprehensive tumor profiling test and we are currently seeking Medicare coverage for our separate liquid biopsy molecular residual disease ("MRD") test, Next Personal Dx.</w:t>
      </w:r>
    </w:p>
    <w:p>
      <w:pPr>
        <w:spacing w:after="0" w:line="48"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Delivered 3,285 total molecular tests in 2024, compared with 177 tests in the prior year.</w:t>
      </w:r>
    </w:p>
    <w:p>
      <w:pPr>
        <w:spacing w:after="0" w:line="125"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Announced a new publication validating our NeXT Personal test, an ultra-sensitive, tumor-informed circulating tumor DNA (ctDNA) assay for detecting MRD, monitoring therapy response, and detecting recurrence in patients diagnosed with solid tumor cancers.</w:t>
      </w:r>
    </w:p>
    <w:p>
      <w:pPr>
        <w:spacing w:after="0" w:line="48"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The analytical validation study was published in Oncotarget on March 14, 2024.</w:t>
      </w:r>
    </w:p>
    <w:p>
      <w:pPr>
        <w:spacing w:after="0" w:line="126" w:lineRule="exact"/>
        <w:rPr>
          <w:rFonts w:ascii="Times New Roman" w:cs="Times New Roman" w:eastAsia="Times New Roman" w:hAnsi="Times New Roman"/>
          <w:sz w:val="16"/>
          <w:szCs w:val="16"/>
          <w:color w:val="auto"/>
        </w:rPr>
      </w:pPr>
    </w:p>
    <w:p>
      <w:pPr>
        <w:ind w:left="1580" w:right="20" w:hanging="44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The test demonstrated a detection threshold of 1.67 parts per million (PPM) of ctDNA with 100% analytical specificity; enabling an ultra-sensitive range leading to early cancer detection.</w:t>
      </w:r>
    </w:p>
    <w:p>
      <w:pPr>
        <w:spacing w:after="0" w:line="47"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Multiple clinical data results demonstrating the clinical performance of NeXT Personal were presented at the American College of Clinical Oncology meeting in Chicago. Key presentations include: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287" w:lineRule="exact"/>
        <w:rPr>
          <w:sz w:val="20"/>
          <w:szCs w:val="20"/>
          <w:color w:val="auto"/>
        </w:rPr>
      </w:pPr>
    </w:p>
    <w:p>
      <w:pPr>
        <w:ind w:left="1580" w:right="20" w:hanging="449"/>
        <w:spacing w:after="0" w:line="285" w:lineRule="auto"/>
        <w:tabs>
          <w:tab w:leader="none" w:pos="158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Compelling early-stage breast cancer detection results presented by Dr. Isaac Garcia-Murillas and team (Institute of Cancer Research, London) and Prof. Nicolas Turner and team (Royal Marsden NHS Foundation Trust UK). In this study, they found:</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2"/>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NeXT Personal enabled earlier detection of recurrence, with a ~15-month lead time over imaging.</w:t>
      </w:r>
    </w:p>
    <w:p>
      <w:pPr>
        <w:spacing w:after="0" w:line="125" w:lineRule="exact"/>
        <w:rPr>
          <w:rFonts w:ascii="Times New Roman" w:cs="Times New Roman" w:eastAsia="Times New Roman" w:hAnsi="Times New Roman"/>
          <w:sz w:val="16"/>
          <w:szCs w:val="16"/>
          <w:color w:val="auto"/>
        </w:rPr>
      </w:pPr>
    </w:p>
    <w:p>
      <w:pPr>
        <w:ind w:left="2040" w:hanging="505"/>
        <w:spacing w:after="0" w:line="285" w:lineRule="auto"/>
        <w:tabs>
          <w:tab w:leader="none" w:pos="2040" w:val="left"/>
        </w:tabs>
        <w:numPr>
          <w:ilvl w:val="2"/>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100% of patients that recurred were detected with NeXT Personal and 100% of patients that were ctDNA negative on longitudinal testing were cancer-free.</w:t>
      </w:r>
    </w:p>
    <w:p>
      <w:pPr>
        <w:spacing w:after="0" w:line="48" w:lineRule="exact"/>
        <w:rPr>
          <w:rFonts w:ascii="Times New Roman" w:cs="Times New Roman" w:eastAsia="Times New Roman" w:hAnsi="Times New Roman"/>
          <w:sz w:val="16"/>
          <w:szCs w:val="16"/>
          <w:color w:val="auto"/>
        </w:rPr>
      </w:pPr>
    </w:p>
    <w:p>
      <w:pPr>
        <w:ind w:left="1580" w:hanging="449"/>
        <w:spacing w:after="0" w:line="285" w:lineRule="auto"/>
        <w:tabs>
          <w:tab w:leader="none" w:pos="158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 presentation by Dr. Rodrigo Toledo of the Vall d’Hebron Institute of Oncology (VHIO) highlighted the importance of NeXT Personal’s use for immunotherapy monitoring. This data showed:</w:t>
      </w:r>
    </w:p>
    <w:p>
      <w:pPr>
        <w:spacing w:after="0" w:line="48" w:lineRule="exact"/>
        <w:rPr>
          <w:rFonts w:ascii="Times New Roman" w:cs="Times New Roman" w:eastAsia="Times New Roman" w:hAnsi="Times New Roman"/>
          <w:sz w:val="16"/>
          <w:szCs w:val="16"/>
          <w:color w:val="auto"/>
        </w:rPr>
      </w:pPr>
    </w:p>
    <w:p>
      <w:pPr>
        <w:ind w:left="2040" w:hanging="505"/>
        <w:spacing w:after="0" w:line="285" w:lineRule="auto"/>
        <w:tabs>
          <w:tab w:leader="none" w:pos="2040" w:val="left"/>
        </w:tabs>
        <w:numPr>
          <w:ilvl w:val="2"/>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Baseline levels and the changes in levels of ctDNA detected by NeXT Personal predict therapy response and clinical outcomes for late-stage cancer patients receiving immunotherapy.</w:t>
      </w:r>
    </w:p>
    <w:p>
      <w:pPr>
        <w:spacing w:after="0" w:line="48" w:lineRule="exact"/>
        <w:rPr>
          <w:rFonts w:ascii="Times New Roman" w:cs="Times New Roman" w:eastAsia="Times New Roman" w:hAnsi="Times New Roman"/>
          <w:sz w:val="16"/>
          <w:szCs w:val="16"/>
          <w:color w:val="auto"/>
        </w:rPr>
      </w:pPr>
    </w:p>
    <w:p>
      <w:pPr>
        <w:ind w:left="2040" w:hanging="505"/>
        <w:spacing w:after="0"/>
        <w:tabs>
          <w:tab w:leader="none" w:pos="2040" w:val="left"/>
        </w:tabs>
        <w:numPr>
          <w:ilvl w:val="2"/>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NeXT Personal had an average lead time for detecting cancer progression of 81 days over imaging.</w:t>
      </w:r>
    </w:p>
    <w:p>
      <w:pPr>
        <w:spacing w:after="0" w:line="193" w:lineRule="exact"/>
        <w:rPr>
          <w:rFonts w:ascii="Times New Roman" w:cs="Times New Roman" w:eastAsia="Times New Roman" w:hAnsi="Times New Roman"/>
          <w:sz w:val="16"/>
          <w:szCs w:val="16"/>
          <w:color w:val="auto"/>
        </w:rPr>
      </w:pPr>
    </w:p>
    <w:p>
      <w:pPr>
        <w:ind w:left="1140" w:hanging="383"/>
        <w:spacing w:after="0" w:line="262"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Highlighted clinical performance of NeXT Personal at the European Society of Medical Oncology (ESMO) Congress 2024 in Barcelona, Spain:</w:t>
      </w:r>
    </w:p>
    <w:p>
      <w:pPr>
        <w:spacing w:after="0" w:line="365" w:lineRule="exact"/>
        <w:rPr>
          <w:rFonts w:ascii="Times New Roman" w:cs="Times New Roman" w:eastAsia="Times New Roman" w:hAnsi="Times New Roman"/>
          <w:sz w:val="16"/>
          <w:szCs w:val="16"/>
          <w:color w:val="auto"/>
        </w:rPr>
      </w:pPr>
    </w:p>
    <w:p>
      <w:pPr>
        <w:jc w:val="both"/>
        <w:ind w:left="1580" w:hanging="449"/>
        <w:spacing w:after="0" w:line="266" w:lineRule="auto"/>
        <w:tabs>
          <w:tab w:leader="none" w:pos="158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results from the TRACERx study presented by Professor Charles Swanton of University College London and the Francis Crick Institute with an expanded study cohort of non-small cell lung cancer (NSCLC) patients with strong detection rates for residual cancer in the challenging landmark period (first 10 to 120 days immediately after surgery).</w:t>
      </w:r>
    </w:p>
    <w:p>
      <w:pPr>
        <w:spacing w:after="0" w:line="129" w:lineRule="exact"/>
        <w:rPr>
          <w:rFonts w:ascii="Times New Roman" w:cs="Times New Roman" w:eastAsia="Times New Roman" w:hAnsi="Times New Roman"/>
          <w:sz w:val="16"/>
          <w:szCs w:val="16"/>
          <w:color w:val="auto"/>
        </w:rPr>
      </w:pPr>
    </w:p>
    <w:p>
      <w:pPr>
        <w:jc w:val="both"/>
        <w:ind w:left="1580" w:hanging="449"/>
        <w:spacing w:after="0" w:line="266" w:lineRule="auto"/>
        <w:tabs>
          <w:tab w:leader="none" w:pos="1580" w:val="left"/>
        </w:tabs>
        <w:numPr>
          <w:ilvl w:val="1"/>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Compelling data for late-stage cancer patients on immunotherapy presented by Dr. Rodrigo Toledo of the Vall d’Hebron Institute of Oncology that accurately linked significant decreases in ctDNA levels in response to immunotherapy to longer overall survival than patients who did not respond well.</w:t>
      </w:r>
    </w:p>
    <w:p>
      <w:pPr>
        <w:spacing w:after="0" w:line="129"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Commenced NeXT Personal Dx commercialization efforts with Tempus.</w:t>
      </w:r>
    </w:p>
    <w:p>
      <w:pPr>
        <w:spacing w:after="0" w:line="206"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Expanded Tempus collaboration to the biopharma industry, which enables Tempus to market NeXT Personal to Tempus' pharmaceutical and biotech customers who wish to bundle MRD testing with other Tempus offerings in a given study.</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Executed a cross-license agreement with Myriad Genetics, Inc. covering patent estates for tumor-informed approaches to detect MRD.</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Entered into an agreement with Foresight Diagnostics Inc. to settle and dismiss pending claims of intellectual property infringement by licensing our patents. Foresight agreed to pay a low single-digit tiered royalty on sales covered by the patents.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Raised approximately $35.0 million in net financing proceeds from Tempus, consisting of $18.4 million from Tempus’ exercise of all its common stock warrants, at an average price of $2.00 per share, and $16.6 million net of expenses, from Tempus' purchase of common stock at a price of $5.07 per share.</w:t>
      </w:r>
    </w:p>
    <w:p>
      <w:pPr>
        <w:spacing w:after="0" w:line="129"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Raised an additional $30.1 million in net proceeds from selling common stock under our At-The-Market ("ATM") program at a weighted-average price of $4.61 per share.</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Advanced business strategy with investment of $50.0 million from Merck and extended collaboration with Moderna.</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Received a new task order in the amount of $7.5 million from the VA MVP.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Performance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there are several important factors that we expect to impact our operating performance and results of operations, including:</w:t>
      </w:r>
    </w:p>
    <w:p>
      <w:pPr>
        <w:sectPr>
          <w:pgSz w:w="11900" w:h="16838" w:orient="portrait"/>
          <w:cols w:equalWidth="0" w:num="1">
            <w:col w:w="11240"/>
          </w:cols>
          <w:pgMar w:left="320" w:top="778" w:right="339" w:bottom="1440" w:gutter="0" w:footer="0" w:header="0"/>
        </w:sectPr>
      </w:pPr>
    </w:p>
    <w:p>
      <w:pPr>
        <w:spacing w:after="0" w:line="194" w:lineRule="exact"/>
        <w:rPr>
          <w:sz w:val="20"/>
          <w:szCs w:val="20"/>
          <w:color w:val="auto"/>
        </w:rPr>
      </w:pPr>
    </w:p>
    <w:p>
      <w:pPr>
        <w:ind w:left="1140" w:hanging="383"/>
        <w:spacing w:after="0" w:line="266" w:lineRule="auto"/>
        <w:tabs>
          <w:tab w:leader="none" w:pos="1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continued development of the market for genomic-based tests. </w:t>
      </w:r>
      <w:r>
        <w:rPr>
          <w:rFonts w:ascii="Arial" w:cs="Arial" w:eastAsia="Arial" w:hAnsi="Arial"/>
          <w:sz w:val="16"/>
          <w:szCs w:val="16"/>
          <w:color w:val="auto"/>
        </w:rPr>
        <w:t>companies, enterprise customers, and oncologists to continue to seek efficacious cancer therapies.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spacing w:after="0" w:line="286" w:lineRule="auto"/>
        <w:rPr>
          <w:sz w:val="20"/>
          <w:szCs w:val="20"/>
          <w:color w:val="auto"/>
        </w:rPr>
      </w:pPr>
      <w:r>
        <w:rPr>
          <w:rFonts w:ascii="Arial" w:cs="Arial" w:eastAsia="Arial" w:hAnsi="Arial"/>
          <w:sz w:val="16"/>
          <w:szCs w:val="16"/>
          <w:color w:val="auto"/>
        </w:rPr>
        <w:t>Our performance depends on the willingness of pharmaceutical more comprehensive molecular information to develop more</w:t>
      </w:r>
    </w:p>
    <w:p>
      <w:pPr>
        <w:spacing w:after="0" w:line="304" w:lineRule="exact"/>
        <w:rPr>
          <w:sz w:val="20"/>
          <w:szCs w:val="20"/>
          <w:color w:val="auto"/>
        </w:rPr>
      </w:pPr>
    </w:p>
    <w:p>
      <w:pPr>
        <w:sectPr>
          <w:pgSz w:w="11900" w:h="16838" w:orient="portrait"/>
          <w:cols w:equalWidth="0" w:num="2">
            <w:col w:w="6540" w:space="0"/>
            <w:col w:w="4700"/>
          </w:cols>
          <w:pgMar w:left="320" w:top="778" w:right="339" w:bottom="1440" w:gutter="0" w:footer="0" w:header="0"/>
          <w:type w:val="continuous"/>
        </w:sectPr>
      </w:pPr>
    </w:p>
    <w:p>
      <w:pPr>
        <w:jc w:val="both"/>
        <w:ind w:left="1140" w:hanging="383"/>
        <w:spacing w:after="0" w:line="266" w:lineRule="auto"/>
        <w:tabs>
          <w:tab w:leader="none" w:pos="1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adoption of ultra-sensitive MRD testing. </w:t>
      </w:r>
      <w:r>
        <w:rPr>
          <w:rFonts w:ascii="Arial" w:cs="Arial" w:eastAsia="Arial" w:hAnsi="Arial"/>
          <w:sz w:val="16"/>
          <w:szCs w:val="16"/>
          <w:color w:val="auto"/>
        </w:rPr>
        <w:t>We are pioneering the ultra-sensitive MRD testing market with the belief that an ultra-sensitive approach will lead to earlier intervention and the ability to better trust that a negative MRD patient is likely cancer-free. There are no assurances that the market will value ultra-sensitive testing over other ways to monitor cancer and look for recurrence and disease.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left="1140" w:hanging="383"/>
        <w:spacing w:after="0" w:line="254"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Increasing adoption of our products and solutions by existing bio-pharma customers. </w:t>
      </w:r>
      <w:r>
        <w:rPr>
          <w:rFonts w:ascii="Arial" w:cs="Arial" w:eastAsia="Arial" w:hAnsi="Arial"/>
          <w:sz w:val="16"/>
          <w:szCs w:val="16"/>
          <w:color w:val="auto"/>
        </w:rPr>
        <w:t>Our performance depends on our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retain and broaden adoption with existing customers. Because our technology is novel, some customers begin using our products by initiating pilot studies involving a small number of samples to gain experience with our service. As a result, historically a significant portion of our revenue has come from existing customers. We believe that our ability to convert initial pilots into larger orders from existing customers has the potential to drive substantial long-term revenue. We expect there may be some variation in the number of samples they choose to test each quarter.</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Adoption of our products and solutions by new customers. </w:t>
      </w:r>
      <w:r>
        <w:rPr>
          <w:rFonts w:ascii="Arial" w:cs="Arial" w:eastAsia="Arial" w:hAnsi="Arial"/>
          <w:sz w:val="16"/>
          <w:szCs w:val="16"/>
          <w:color w:val="auto"/>
        </w:rPr>
        <w:t>While new customers initially may not account for significant revenue,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they have the potential to grow substantially over the long term as they gain confidence in our service. Our ability to engage new customers is critical to our long-term success. Our publications, posters and presentations at scientific conferences lead to engagement at the scientific level with potential customers who often make the initial decision to gain experience with our products. Accessing these new customers through scientific engagement and marketing to gain initial buy-in is critical to our success and gives us the opportunity to demonstrate the utility of our products.</w:t>
      </w:r>
    </w:p>
    <w:p>
      <w:pPr>
        <w:spacing w:after="0" w:line="140"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Obtaining coverage and reimbursement status of our diagnostic tests. </w:t>
      </w:r>
      <w:r>
        <w:rPr>
          <w:rFonts w:ascii="Arial" w:cs="Arial" w:eastAsia="Arial" w:hAnsi="Arial"/>
          <w:sz w:val="16"/>
          <w:szCs w:val="16"/>
          <w:color w:val="auto"/>
        </w:rPr>
        <w:t>Building our clinical laboratory business is subject to a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or reimbursement challenges and we may not be able to establish the medical necessity of our tests (coverage) or payment rates that cover our costs (reimbursement).</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54"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revenue and cost are affected by the volume of samples we receive from customers from period to period. </w:t>
      </w:r>
      <w:r>
        <w:rPr>
          <w:rFonts w:ascii="Arial" w:cs="Arial" w:eastAsia="Arial" w:hAnsi="Arial"/>
          <w:sz w:val="16"/>
          <w:szCs w:val="16"/>
          <w:color w:val="auto"/>
        </w:rPr>
        <w:t>The timing and size</w:t>
      </w:r>
      <w:r>
        <w:rPr>
          <w:rFonts w:ascii="Arial" w:cs="Arial" w:eastAsia="Arial" w:hAnsi="Arial"/>
          <w:sz w:val="16"/>
          <w:szCs w:val="16"/>
          <w:b w:val="1"/>
          <w:bCs w:val="1"/>
          <w:color w:val="auto"/>
        </w:rPr>
        <w:t xml:space="preserve"> </w:t>
      </w:r>
      <w:r>
        <w:rPr>
          <w:rFonts w:ascii="Arial" w:cs="Arial" w:eastAsia="Arial" w:hAnsi="Arial"/>
          <w:sz w:val="16"/>
          <w:szCs w:val="16"/>
          <w:color w:val="auto"/>
        </w:rPr>
        <w:t>of sample shipments received after orders have been placed is variable. Since sample shipments can be large, and are often received from a third party, the timing of arrival can be difficult to predict over the short term. Although our long-term performance is not affected, we see quarter-to-quarter volatility due to these factors. Samples arriving later than expected may not be processed in the quarter proposed and result in revenue the following quarter. Since many of our customers request defined turnaround times, we employ project managers to coordinate and manage the complex process from sample receipt to sequencing and delivery of results.</w:t>
      </w:r>
    </w:p>
    <w:p>
      <w:pPr>
        <w:spacing w:after="0" w:line="153" w:lineRule="exact"/>
        <w:rPr>
          <w:rFonts w:ascii="Times New Roman" w:cs="Times New Roman" w:eastAsia="Times New Roman" w:hAnsi="Times New Roman"/>
          <w:sz w:val="16"/>
          <w:szCs w:val="16"/>
          <w:color w:val="auto"/>
        </w:rPr>
      </w:pPr>
    </w:p>
    <w:p>
      <w:pPr>
        <w:jc w:val="both"/>
        <w:ind w:left="1140" w:hanging="383"/>
        <w:spacing w:after="0" w:line="259"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Investment in product innovation to support growth. </w:t>
      </w:r>
      <w:r>
        <w:rPr>
          <w:rFonts w:ascii="Arial" w:cs="Arial" w:eastAsia="Arial" w:hAnsi="Arial"/>
          <w:sz w:val="16"/>
          <w:szCs w:val="16"/>
          <w:color w:val="auto"/>
        </w:rPr>
        <w:t>Investment in research and development, including the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capabilities is critical to establish and maintain our leading position. We have invested significantly in our NeXT platform, introducing new products and additional capabilities. We are also collaborating with KOLs to support the clinical utility of our products. We believe this work is critical to gaining customer adoption and expect our investments in these efforts to continue.</w:t>
      </w:r>
    </w:p>
    <w:p>
      <w:pPr>
        <w:spacing w:after="0" w:line="136"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Leverage our operational infrastructure. </w:t>
      </w:r>
      <w:r>
        <w:rPr>
          <w:rFonts w:ascii="Arial" w:cs="Arial" w:eastAsia="Arial" w:hAnsi="Arial"/>
          <w:sz w:val="16"/>
          <w:szCs w:val="16"/>
          <w:color w:val="auto"/>
        </w:rPr>
        <w:t>We have invested significantly in our sample processing capabilities and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With our current operating model and infrastructure, we can increase our production and commercialize new generations of our products. We expect to grow our revenue and spread our costs over a larger volume of services.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derive our revenue primarily from sales of genomic testing services to the following five customer types:</w:t>
      </w:r>
    </w:p>
    <w:p>
      <w:pPr>
        <w:spacing w:after="0" w:line="181" w:lineRule="exact"/>
        <w:rPr>
          <w:sz w:val="20"/>
          <w:szCs w:val="20"/>
          <w:color w:val="auto"/>
        </w:rPr>
      </w:pPr>
    </w:p>
    <w:p>
      <w:pPr>
        <w:ind w:left="1140" w:hanging="383"/>
        <w:spacing w:after="0" w:line="285" w:lineRule="auto"/>
        <w:tabs>
          <w:tab w:leader="none" w:pos="1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from our partnership with Natera to provide advanced tumor analysis for use in Natera's MRD test currently makes up substantially all of the revenue in this category.</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All of the revenue in this category is from our partnership with the VA MVP.</w:t>
      </w:r>
    </w:p>
    <w:p>
      <w:pPr>
        <w:spacing w:after="0" w:line="115"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comprehensive tumor profiling test that is used to help select therapy for a cancer patient and identify</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clinical trials for a patient, and sales of ultra-sensitive, tumor-informed diagnostic tests, ordered by healthcare providers for cancer patients. Revenue in this category is derived from Medicare and private insurance reimbursements.</w:t>
      </w:r>
    </w:p>
    <w:p>
      <w:pPr>
        <w:spacing w:after="0" w:line="14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w:t>
      </w:r>
    </w:p>
    <w:p>
      <w:pPr>
        <w:spacing w:after="0" w:line="19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building and publishing the clinical evidence-base to support our products and services in our key indications, pursuing reimbursement coverage from Medicare and other payors; and seeking additional partnerships. We market to biopharma customers and doctors through a small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direct sales force. In late 2023, we entered into an agreement with Tempus to co-commercialize NeXT Personal Dx in the clinical diagnostics market and will be leveraging Tempus' significantly larger sales force as a key vector to grow our clinical diagnostic business. In late 2024, we expanded our collaboration partnership with Tempus to enable Tempus to market and sell NeXT Personal to Tempus' pharmaceutical and biotech customers who wish to bundle MRD testing with other Tempus offerings in a given study.</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We have one reportable segment which is providing advanced cancer genomic tests for precision oncology and personalized testing. Most of our revenue to date has been derived from sales in the United States.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spacing w:after="0" w:line="33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spacing w:after="0" w:line="34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expense our research and development costs in the period in which they are incurred. We expect research and development expenses to remain consistent in the short-term since the completion of our reductions in workforce in 2023.</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spacing w:after="0" w:line="1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Selling, general and administrative expenses have decreased since the completion of our reductions in workforce in 2023. But we expect them to increase over the medium term as we commercialize our clinical diagnostic offerings.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recognized an impairment loss for operating lease right-of-use assets as a result of the change in use of our Menlo Park facility during the third quarter of 2023.</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Restructuring and other charges consists of charges in connection with our reductions in workforce and charges in connection with the closure of our China operations.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Interest income consists primarily of interest earned on our cash, cash equivalents and short-term investments. Interest expense is the recognition of imputed interest on noninterest bearing loans.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connection with our November 2023 agreement with Tempus, we issued two warrants to Tempus to purchase, in the aggregate, up to 9,218,800 shares of our common stock (the “Tempus Warrants”). Other income (expense), net consists primarily of a noncash loss related to the remeasurement and settlement of the Tempus Warrants. Other income (expense), net also includes foreign currency exchange gains and losses.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 Financial Information</w:t>
      </w:r>
    </w:p>
    <w:p>
      <w:pPr>
        <w:spacing w:after="0" w:line="19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following selected consolidated financial data should be read in conjunction with the consolidated financial statements and the notes thereto in Item 8 of Part II, “Financial Statements and Supplementary Data”. Historical results are not necessarily indicative of future results.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5"/>
                <w:szCs w:val="15"/>
                <w:color w:val="auto"/>
              </w:rPr>
            </w:pPr>
          </w:p>
        </w:tc>
        <w:tc>
          <w:tcPr>
            <w:tcW w:w="1200" w:type="dxa"/>
            <w:vAlign w:val="bottom"/>
            <w:gridSpan w:val="2"/>
          </w:tcPr>
          <w:p>
            <w:pPr>
              <w:spacing w:after="0" w:line="183" w:lineRule="exact"/>
              <w:rPr>
                <w:sz w:val="20"/>
                <w:szCs w:val="20"/>
                <w:color w:val="auto"/>
              </w:rPr>
            </w:pPr>
            <w:r>
              <w:rPr>
                <w:rFonts w:ascii="Arial" w:cs="Arial" w:eastAsia="Arial" w:hAnsi="Arial"/>
                <w:sz w:val="16"/>
                <w:szCs w:val="16"/>
                <w:color w:val="auto"/>
                <w:w w:val="96"/>
              </w:rPr>
              <w:t>except share and</w:t>
            </w:r>
          </w:p>
        </w:tc>
        <w:tc>
          <w:tcPr>
            <w:tcW w:w="1320" w:type="dxa"/>
            <w:vAlign w:val="bottom"/>
            <w:gridSpan w:val="3"/>
          </w:tcPr>
          <w:p>
            <w:pPr>
              <w:jc w:val="right"/>
              <w:ind w:right="160"/>
              <w:spacing w:after="0" w:line="183" w:lineRule="exact"/>
              <w:rPr>
                <w:sz w:val="20"/>
                <w:szCs w:val="20"/>
                <w:color w:val="auto"/>
              </w:rPr>
            </w:pPr>
            <w:r>
              <w:rPr>
                <w:rFonts w:ascii="Arial" w:cs="Arial" w:eastAsia="Arial" w:hAnsi="Arial"/>
                <w:sz w:val="16"/>
                <w:szCs w:val="16"/>
                <w:color w:val="auto"/>
                <w:w w:val="97"/>
              </w:rPr>
              <w:t>per share data)</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84,614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73,481</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65,047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85,494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78,648</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57,789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55,273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51,697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53,837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58,534</w:t>
            </w:r>
          </w:p>
        </w:tc>
        <w:tc>
          <w:tcPr>
            <w:tcW w:w="0" w:type="dxa"/>
            <w:vAlign w:val="bottom"/>
          </w:tcPr>
          <w:p>
            <w:pPr>
              <w:spacing w:after="0"/>
              <w:rPr>
                <w:sz w:val="1"/>
                <w:szCs w:val="1"/>
                <w:color w:val="auto"/>
              </w:rPr>
            </w:pPr>
          </w:p>
        </w:tc>
      </w:tr>
      <w:tr>
        <w:trPr>
          <w:trHeight w:val="189"/>
        </w:trPr>
        <w:tc>
          <w:tcPr>
            <w:tcW w:w="47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48,905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64,776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64,912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49,312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28,568</w:t>
            </w: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46,187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49,726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63,969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47,698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33,692</w:t>
            </w:r>
          </w:p>
        </w:tc>
        <w:tc>
          <w:tcPr>
            <w:tcW w:w="0" w:type="dxa"/>
            <w:vAlign w:val="bottom"/>
          </w:tcPr>
          <w:p>
            <w:pPr>
              <w:spacing w:after="0"/>
              <w:rPr>
                <w:sz w:val="1"/>
                <w:szCs w:val="1"/>
                <w:color w:val="auto"/>
              </w:rPr>
            </w:pPr>
          </w:p>
        </w:tc>
      </w:tr>
      <w:tr>
        <w:trPr>
          <w:trHeight w:val="189"/>
        </w:trPr>
        <w:tc>
          <w:tcPr>
            <w:tcW w:w="478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16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5,565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1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8,077</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780" w:type="dxa"/>
            <w:vAlign w:val="bottom"/>
          </w:tcPr>
          <w:p>
            <w:pPr>
              <w:ind w:left="38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152,881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183,417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180,578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150,847</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120,794</w:t>
            </w:r>
          </w:p>
        </w:tc>
        <w:tc>
          <w:tcPr>
            <w:tcW w:w="0" w:type="dxa"/>
            <w:vAlign w:val="bottom"/>
          </w:tcPr>
          <w:p>
            <w:pPr>
              <w:spacing w:after="0"/>
              <w:rPr>
                <w:sz w:val="1"/>
                <w:szCs w:val="1"/>
                <w:color w:val="auto"/>
              </w:rPr>
            </w:pPr>
          </w:p>
        </w:tc>
      </w:tr>
      <w:tr>
        <w:trPr>
          <w:trHeight w:val="183"/>
        </w:trPr>
        <w:tc>
          <w:tcPr>
            <w:tcW w:w="4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(68,267 )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(109,936 )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(115,531 )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(65,353 )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(42,146 )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5,510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5,901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2,396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18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(3)</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(18,485 )</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(4,068 )</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83"/>
        </w:trPr>
        <w:tc>
          <w:tcPr>
            <w:tcW w:w="4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before income taxes</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(81,266 )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(108,213 )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(113,275 )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(65,212 )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(41,223 )</w:t>
            </w:r>
          </w:p>
        </w:tc>
        <w:tc>
          <w:tcPr>
            <w:tcW w:w="0" w:type="dxa"/>
            <w:vAlign w:val="bottom"/>
          </w:tcPr>
          <w:p>
            <w:pPr>
              <w:spacing w:after="0"/>
              <w:rPr>
                <w:sz w:val="1"/>
                <w:szCs w:val="1"/>
                <w:color w:val="auto"/>
              </w:rPr>
            </w:pPr>
          </w:p>
        </w:tc>
      </w:tr>
      <w:tr>
        <w:trPr>
          <w:trHeight w:val="189"/>
        </w:trPr>
        <w:tc>
          <w:tcPr>
            <w:tcW w:w="47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560"/>
              <w:spacing w:after="0" w:line="169" w:lineRule="exact"/>
              <w:rPr>
                <w:sz w:val="20"/>
                <w:szCs w:val="20"/>
                <w:color w:val="auto"/>
              </w:rPr>
            </w:pPr>
            <w:r>
              <w:rPr>
                <w:rFonts w:ascii="Arial" w:cs="Arial" w:eastAsia="Arial" w:hAnsi="Arial"/>
                <w:sz w:val="16"/>
                <w:szCs w:val="16"/>
                <w:color w:val="auto"/>
              </w:rPr>
              <w:t>Net loss</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(81,284 )</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(108,296 )</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(113,315 )</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(65,226 )</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(41,280 )</w:t>
            </w:r>
          </w:p>
        </w:tc>
        <w:tc>
          <w:tcPr>
            <w:tcW w:w="0" w:type="dxa"/>
            <w:vAlign w:val="bottom"/>
          </w:tcPr>
          <w:p>
            <w:pPr>
              <w:spacing w:after="0"/>
              <w:rPr>
                <w:sz w:val="1"/>
                <w:szCs w:val="1"/>
                <w:color w:val="auto"/>
              </w:rPr>
            </w:pPr>
          </w:p>
        </w:tc>
      </w:tr>
      <w:tr>
        <w:trPr>
          <w:trHeight w:val="169"/>
        </w:trPr>
        <w:tc>
          <w:tcPr>
            <w:tcW w:w="4780" w:type="dxa"/>
            <w:vAlign w:val="bottom"/>
          </w:tcPr>
          <w:p>
            <w:pPr>
              <w:ind w:left="20"/>
              <w:spacing w:after="0" w:line="170" w:lineRule="exact"/>
              <w:rPr>
                <w:sz w:val="20"/>
                <w:szCs w:val="20"/>
                <w:color w:val="auto"/>
              </w:rPr>
            </w:pPr>
            <w:r>
              <w:rPr>
                <w:rFonts w:ascii="Arial" w:cs="Arial" w:eastAsia="Arial" w:hAnsi="Arial"/>
                <w:sz w:val="16"/>
                <w:szCs w:val="16"/>
                <w:color w:val="auto"/>
              </w:rPr>
              <w:t>Net loss per share, basic and diluted</w:t>
            </w:r>
          </w:p>
        </w:tc>
        <w:tc>
          <w:tcPr>
            <w:tcW w:w="16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(1.37 )</w:t>
            </w:r>
          </w:p>
        </w:tc>
        <w:tc>
          <w:tcPr>
            <w:tcW w:w="24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0" w:lineRule="exact"/>
              <w:rPr>
                <w:sz w:val="20"/>
                <w:szCs w:val="20"/>
                <w:color w:val="auto"/>
              </w:rPr>
            </w:pPr>
            <w:r>
              <w:rPr>
                <w:rFonts w:ascii="Arial" w:cs="Arial" w:eastAsia="Arial" w:hAnsi="Arial"/>
                <w:sz w:val="16"/>
                <w:szCs w:val="16"/>
                <w:color w:val="auto"/>
              </w:rPr>
              <w:t>(2.25 )</w:t>
            </w:r>
          </w:p>
        </w:tc>
        <w:tc>
          <w:tcPr>
            <w:tcW w:w="300" w:type="dxa"/>
            <w:vAlign w:val="bottom"/>
            <w:gridSpan w:val="2"/>
          </w:tcPr>
          <w:p>
            <w:pPr>
              <w:ind w:left="120"/>
              <w:spacing w:after="0" w:line="170"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(2.48 )</w:t>
            </w:r>
          </w:p>
        </w:tc>
        <w:tc>
          <w:tcPr>
            <w:tcW w:w="30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(1.49 )</w:t>
            </w:r>
          </w:p>
        </w:tc>
        <w:tc>
          <w:tcPr>
            <w:tcW w:w="30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59,251,013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48,175,201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45,704,805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43,886,730</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34,374,903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-1293495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-1293495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-1293495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-1293495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-299720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-282575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-299720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-282575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-299720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-282575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-299720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-282575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7" w:lineRule="exact"/>
        <w:rPr>
          <w:sz w:val="20"/>
          <w:szCs w:val="20"/>
          <w:color w:val="auto"/>
        </w:rPr>
      </w:pPr>
    </w:p>
    <w:p>
      <w:pPr>
        <w:ind w:left="280" w:hanging="259"/>
        <w:spacing w:after="0"/>
        <w:tabs>
          <w:tab w:leader="none" w:pos="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related party revenue of $2.0 million for the year ended December 31, 2024.</w:t>
      </w:r>
    </w:p>
    <w:p>
      <w:pPr>
        <w:spacing w:after="0" w:line="15" w:lineRule="exact"/>
        <w:rPr>
          <w:rFonts w:ascii="Arial" w:cs="Arial" w:eastAsia="Arial" w:hAnsi="Arial"/>
          <w:sz w:val="14"/>
          <w:szCs w:val="14"/>
          <w:color w:val="auto"/>
        </w:rPr>
      </w:pPr>
    </w:p>
    <w:p>
      <w:pPr>
        <w:ind w:left="280" w:hanging="259"/>
        <w:spacing w:after="0"/>
        <w:tabs>
          <w:tab w:leader="none" w:pos="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$0.5 million for the year ended December 31, 2024.</w:t>
      </w:r>
    </w:p>
    <w:p>
      <w:pPr>
        <w:spacing w:after="0" w:line="1" w:lineRule="exact"/>
        <w:rPr>
          <w:rFonts w:ascii="Arial" w:cs="Arial" w:eastAsia="Arial" w:hAnsi="Arial"/>
          <w:sz w:val="14"/>
          <w:szCs w:val="14"/>
          <w:color w:val="auto"/>
        </w:rPr>
      </w:pPr>
    </w:p>
    <w:p>
      <w:pPr>
        <w:ind w:left="280" w:hanging="259"/>
        <w:spacing w:after="0"/>
        <w:tabs>
          <w:tab w:leader="none" w:pos="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related party other expense of $18.3 million in connection with the change in fair value of Tempus Warrants for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6"/>
        </w:trPr>
        <w:tc>
          <w:tcPr>
            <w:tcW w:w="5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0"/>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and short-term investments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185,009</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114,179</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167,658</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287,064</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203,290</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2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171,889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99,510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166,568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286,918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180,083</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270,268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225,099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292,700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396,528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244,842</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obligations</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36,185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48,424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41,430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54,914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9,261</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67,311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95,658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74,561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86,227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49,897</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202,957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129,441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218,139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310,301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This section discusses 2024 and 2023 items and year-to-year comparisons between 2024 and 2023.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 except percentages):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r>
      <w:tr>
        <w:trPr>
          <w:trHeight w:val="183"/>
        </w:trPr>
        <w:tc>
          <w:tcPr>
            <w:tcW w:w="5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900" w:type="dxa"/>
            <w:vAlign w:val="bottom"/>
            <w:shd w:val="clear" w:color="auto" w:fill="CFF0FC"/>
          </w:tcPr>
          <w:p>
            <w:pPr>
              <w:jc w:val="right"/>
              <w:ind w:right="722"/>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50,939</w:t>
            </w:r>
          </w:p>
        </w:tc>
        <w:tc>
          <w:tcPr>
            <w:tcW w:w="4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31,904</w:t>
            </w:r>
          </w:p>
        </w:tc>
        <w:tc>
          <w:tcPr>
            <w:tcW w:w="840" w:type="dxa"/>
            <w:vAlign w:val="bottom"/>
            <w:gridSpan w:val="2"/>
            <w:shd w:val="clear" w:color="auto" w:fill="CFF0FC"/>
          </w:tcPr>
          <w:p>
            <w:pPr>
              <w:jc w:val="right"/>
              <w:ind w:right="56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19,035</w:t>
            </w:r>
          </w:p>
        </w:tc>
        <w:tc>
          <w:tcPr>
            <w:tcW w:w="980" w:type="dxa"/>
            <w:vAlign w:val="bottom"/>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w w:val="99"/>
              </w:rPr>
              <w:t>60%</w:t>
            </w: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90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25,364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31,729</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(6,365 )</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rPr>
              <w:t>(20%)</w:t>
            </w: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9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7,430</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9,412</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(1,982 )</w:t>
            </w:r>
          </w:p>
        </w:tc>
        <w:tc>
          <w:tcPr>
            <w:tcW w:w="98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(21%)</w:t>
            </w: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Clinical diagnostic</w:t>
            </w:r>
          </w:p>
        </w:tc>
        <w:tc>
          <w:tcPr>
            <w:tcW w:w="90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759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721</w:t>
            </w:r>
          </w:p>
        </w:tc>
        <w:tc>
          <w:tcPr>
            <w:tcW w:w="980" w:type="dxa"/>
            <w:vAlign w:val="bottom"/>
          </w:tcPr>
          <w:p>
            <w:pPr>
              <w:jc w:val="center"/>
              <w:ind w:left="79"/>
              <w:spacing w:after="0"/>
              <w:rPr>
                <w:sz w:val="20"/>
                <w:szCs w:val="20"/>
                <w:color w:val="auto"/>
              </w:rPr>
            </w:pPr>
            <w:r>
              <w:rPr>
                <w:rFonts w:ascii="Arial" w:cs="Arial" w:eastAsia="Arial" w:hAnsi="Arial"/>
                <w:sz w:val="16"/>
                <w:szCs w:val="16"/>
                <w:color w:val="auto"/>
              </w:rPr>
              <w:t>1897%</w:t>
            </w: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398</w:t>
            </w:r>
          </w:p>
        </w:tc>
        <w:tc>
          <w:tcPr>
            <w:tcW w:w="16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(276 )</w:t>
            </w:r>
          </w:p>
        </w:tc>
        <w:tc>
          <w:tcPr>
            <w:tcW w:w="980" w:type="dxa"/>
            <w:vAlign w:val="bottom"/>
            <w:tcBorders>
              <w:bottom w:val="single" w:sz="8" w:color="CFF0FC"/>
            </w:tcBorders>
            <w:shd w:val="clear" w:color="auto" w:fill="CFF0FC"/>
          </w:tcPr>
          <w:p>
            <w:pPr>
              <w:jc w:val="center"/>
              <w:ind w:left="59"/>
              <w:spacing w:after="0"/>
              <w:rPr>
                <w:sz w:val="20"/>
                <w:szCs w:val="20"/>
                <w:color w:val="auto"/>
              </w:rPr>
            </w:pPr>
            <w:r>
              <w:rPr>
                <w:rFonts w:ascii="Arial" w:cs="Arial" w:eastAsia="Arial" w:hAnsi="Arial"/>
                <w:sz w:val="16"/>
                <w:szCs w:val="16"/>
                <w:color w:val="auto"/>
              </w:rPr>
              <w:t>(69%)</w:t>
            </w:r>
          </w:p>
        </w:tc>
      </w:tr>
      <w:tr>
        <w:trPr>
          <w:trHeight w:val="183"/>
        </w:trPr>
        <w:tc>
          <w:tcPr>
            <w:tcW w:w="5240" w:type="dxa"/>
            <w:vAlign w:val="bottom"/>
          </w:tcPr>
          <w:p>
            <w:pPr>
              <w:ind w:left="20"/>
              <w:spacing w:after="0" w:line="169" w:lineRule="exact"/>
              <w:rPr>
                <w:sz w:val="20"/>
                <w:szCs w:val="20"/>
                <w:color w:val="auto"/>
              </w:rPr>
            </w:pPr>
            <w:r>
              <w:rPr>
                <w:rFonts w:ascii="Arial" w:cs="Arial" w:eastAsia="Arial" w:hAnsi="Arial"/>
                <w:sz w:val="16"/>
                <w:szCs w:val="16"/>
                <w:color w:val="auto"/>
              </w:rPr>
              <w:t>Total revenue</w:t>
            </w:r>
          </w:p>
        </w:tc>
        <w:tc>
          <w:tcPr>
            <w:tcW w:w="900" w:type="dxa"/>
            <w:vAlign w:val="bottom"/>
          </w:tcPr>
          <w:p>
            <w:pPr>
              <w:jc w:val="right"/>
              <w:ind w:right="722"/>
              <w:spacing w:after="0" w:line="169" w:lineRule="exact"/>
              <w:rPr>
                <w:sz w:val="20"/>
                <w:szCs w:val="20"/>
                <w:color w:val="auto"/>
              </w:rPr>
            </w:pPr>
            <w:r>
              <w:rPr>
                <w:rFonts w:ascii="Arial" w:cs="Arial" w:eastAsia="Arial" w:hAnsi="Arial"/>
                <w:sz w:val="16"/>
                <w:szCs w:val="16"/>
                <w:color w:val="auto"/>
                <w:w w:val="89"/>
              </w:rPr>
              <w:t>$</w:t>
            </w:r>
          </w:p>
        </w:tc>
        <w:tc>
          <w:tcPr>
            <w:tcW w:w="6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84,614</w:t>
            </w:r>
          </w:p>
        </w:tc>
        <w:tc>
          <w:tcPr>
            <w:tcW w:w="4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line="169" w:lineRule="exact"/>
              <w:rPr>
                <w:sz w:val="20"/>
                <w:szCs w:val="20"/>
                <w:color w:val="auto"/>
              </w:rPr>
            </w:pPr>
            <w:r>
              <w:rPr>
                <w:rFonts w:ascii="Arial" w:cs="Arial" w:eastAsia="Arial" w:hAnsi="Arial"/>
                <w:sz w:val="16"/>
                <w:szCs w:val="16"/>
                <w:color w:val="auto"/>
              </w:rPr>
              <w:t>73,481</w:t>
            </w:r>
          </w:p>
        </w:tc>
        <w:tc>
          <w:tcPr>
            <w:tcW w:w="840" w:type="dxa"/>
            <w:vAlign w:val="bottom"/>
            <w:gridSpan w:val="2"/>
          </w:tcPr>
          <w:p>
            <w:pPr>
              <w:jc w:val="right"/>
              <w:ind w:right="560"/>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11,133</w:t>
            </w:r>
          </w:p>
        </w:tc>
        <w:tc>
          <w:tcPr>
            <w:tcW w:w="980" w:type="dxa"/>
            <w:vAlign w:val="bottom"/>
          </w:tcPr>
          <w:p>
            <w:pPr>
              <w:jc w:val="center"/>
              <w:ind w:left="59"/>
              <w:spacing w:after="0" w:line="169" w:lineRule="exact"/>
              <w:rPr>
                <w:sz w:val="20"/>
                <w:szCs w:val="20"/>
                <w:color w:val="auto"/>
              </w:rPr>
            </w:pPr>
            <w:r>
              <w:rPr>
                <w:rFonts w:ascii="Arial" w:cs="Arial" w:eastAsia="Arial" w:hAnsi="Arial"/>
                <w:sz w:val="16"/>
                <w:szCs w:val="16"/>
                <w:color w:val="auto"/>
                <w:w w:val="99"/>
              </w:rPr>
              <w:t>15%</w:t>
            </w:r>
          </w:p>
        </w:tc>
      </w:tr>
      <w:tr>
        <w:trPr>
          <w:trHeight w:val="20"/>
        </w:trPr>
        <w:tc>
          <w:tcPr>
            <w:tcW w:w="5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-153670</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-153670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Includes related party revenue of $2.0 million for the year ended December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customers that made up at least 10% of total revenue in each year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4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Natera, Inc.</w:t>
            </w:r>
          </w:p>
        </w:tc>
        <w:tc>
          <w:tcPr>
            <w:tcW w:w="1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30%</w:t>
            </w:r>
          </w:p>
        </w:tc>
        <w:tc>
          <w:tcPr>
            <w:tcW w:w="1840" w:type="dxa"/>
            <w:vAlign w:val="bottom"/>
            <w:gridSpan w:val="2"/>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w w:val="99"/>
              </w:rPr>
              <w:t>43%</w:t>
            </w: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VA MVP</w:t>
            </w:r>
          </w:p>
        </w:tc>
        <w:tc>
          <w:tcPr>
            <w:tcW w:w="16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13%</w:t>
            </w: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Moderna, Inc.</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28%</w:t>
            </w:r>
          </w:p>
        </w:tc>
        <w:tc>
          <w:tcPr>
            <w:tcW w:w="184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w w:val="95"/>
              </w:rPr>
              <w:t>*</w:t>
            </w:r>
          </w:p>
        </w:tc>
      </w:tr>
      <w:tr>
        <w:trPr>
          <w:trHeight w:val="215"/>
        </w:trPr>
        <w:tc>
          <w:tcPr>
            <w:tcW w:w="7740" w:type="dxa"/>
            <w:vAlign w:val="bottom"/>
          </w:tcPr>
          <w:p>
            <w:pPr>
              <w:ind w:left="20"/>
              <w:spacing w:after="0"/>
              <w:rPr>
                <w:sz w:val="20"/>
                <w:szCs w:val="20"/>
                <w:color w:val="auto"/>
              </w:rPr>
            </w:pPr>
            <w:r>
              <w:rPr>
                <w:rFonts w:ascii="Arial" w:cs="Arial" w:eastAsia="Arial" w:hAnsi="Arial"/>
                <w:sz w:val="16"/>
                <w:szCs w:val="16"/>
                <w:color w:val="auto"/>
              </w:rPr>
              <w:t>* Less than 10% of revenue</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Pharma tests and services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primary driver for the increase in pharma tests and services revenue in 2024 was due to increases in revenue from one of our personalized cancer therapy customers that ramped up clinical trial patient enrollments. Revenue from this customer increased $20.0 million in 2024 compared with the prior year. Revenue from this customer is expected to decline over the next few quarters until this customer is ready to commercialize its personalized cancer therapy program, or until other projects increase in size.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Enterprise sales</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Revenue from enterprise sales decreased in 2024 due to lower average selling prices. The number of samples we processed for Natera increased by over 7%, but such increase was offset by lower selling prices.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We launched a reduced-cost version of our exome product offering for Natera near the end of the first quarter of 2024 to support their requirement for an overall reduction in price. Our agreement with Natera included minimum volume commitments through the end of 2024. We amended our agreement with Natera during the fourth quarter of 2024 to extend minimum volume commitments through the second quarter of 2025.</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Population sequencing</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Revenue recognized each period from population sequencing is impacted by timing of our fulfillment of samples under each annual task order. The decrease in revenue in 2024 was due to a decrease in the number of samples we processed in addition to a small decline in selling prices. Our annual task orders received in 2024 and 2023 were $7.5 million and $7.5 million, respectively. Our contract with the VA MVP does not include specific testing turnaround times. Therefore, we may modulate the volume of samples processed from the VA MVP to accommodate sample volumes from other customers, which can vary from period to period. We anticipate fulfilling the new task order received in September 2024 during the first three quarters of 2025.</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Clinical diagnostic</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Clinical diagnostic revenue is generated from Medicare and private insurance payors, In January 2024, we received a Medicare coverage determination for NeXT Dx, our ultra-comprehensive tumor genomic profiling assay. The revenue of $0.8 million in 2024 was mainly due to an increase in NeXT Dx tests reimbursed by Medicare. We delivered a total of 3,285 molecular cancer tests in 2024.</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costs and expenses (in thousands, except percentages):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0"/>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Cost of revenue</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57,789</w:t>
            </w:r>
          </w:p>
        </w:tc>
        <w:tc>
          <w:tcPr>
            <w:tcW w:w="4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55,273</w:t>
            </w:r>
          </w:p>
        </w:tc>
        <w:tc>
          <w:tcPr>
            <w:tcW w:w="820" w:type="dxa"/>
            <w:vAlign w:val="bottom"/>
            <w:gridSpan w:val="2"/>
            <w:shd w:val="clear" w:color="auto" w:fill="CFF0FC"/>
          </w:tcPr>
          <w:p>
            <w:pPr>
              <w:jc w:val="right"/>
              <w:ind w:right="54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2,516</w:t>
            </w:r>
          </w:p>
        </w:tc>
        <w:tc>
          <w:tcPr>
            <w:tcW w:w="980" w:type="dxa"/>
            <w:vAlign w:val="bottom"/>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48,905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64,776</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(15,871 )</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46,187</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49,726</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(3,539 )</w:t>
            </w:r>
          </w:p>
        </w:tc>
        <w:tc>
          <w:tcPr>
            <w:tcW w:w="98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Lease impairment</w:t>
            </w:r>
          </w:p>
        </w:tc>
        <w:tc>
          <w:tcPr>
            <w:tcW w:w="34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5,565</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(5,565 )</w:t>
            </w:r>
          </w:p>
        </w:tc>
        <w:tc>
          <w:tcPr>
            <w:tcW w:w="980" w:type="dxa"/>
            <w:vAlign w:val="bottom"/>
          </w:tcPr>
          <w:p>
            <w:pPr>
              <w:jc w:val="center"/>
              <w:ind w:left="7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Restructuring and other charges</w:t>
            </w: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8,077</w:t>
            </w: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(8,077 )</w:t>
            </w:r>
          </w:p>
        </w:tc>
        <w:tc>
          <w:tcPr>
            <w:tcW w:w="980" w:type="dxa"/>
            <w:vAlign w:val="bottom"/>
            <w:tcBorders>
              <w:bottom w:val="single" w:sz="8" w:color="CFF0FC"/>
            </w:tcBorders>
            <w:shd w:val="clear" w:color="auto" w:fill="CFF0FC"/>
          </w:tcPr>
          <w:p>
            <w:pPr>
              <w:jc w:val="center"/>
              <w:ind w:left="7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183"/>
        </w:trPr>
        <w:tc>
          <w:tcPr>
            <w:tcW w:w="5240" w:type="dxa"/>
            <w:vAlign w:val="bottom"/>
          </w:tcPr>
          <w:p>
            <w:pPr>
              <w:ind w:left="200"/>
              <w:spacing w:after="0" w:line="169" w:lineRule="exact"/>
              <w:rPr>
                <w:sz w:val="20"/>
                <w:szCs w:val="20"/>
                <w:color w:val="auto"/>
              </w:rPr>
            </w:pPr>
            <w:r>
              <w:rPr>
                <w:rFonts w:ascii="Arial" w:cs="Arial" w:eastAsia="Arial" w:hAnsi="Arial"/>
                <w:sz w:val="16"/>
                <w:szCs w:val="16"/>
                <w:color w:val="auto"/>
              </w:rPr>
              <w:t>Total costs and expenses</w:t>
            </w:r>
          </w:p>
        </w:tc>
        <w:tc>
          <w:tcPr>
            <w:tcW w:w="340" w:type="dxa"/>
            <w:vAlign w:val="bottom"/>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152,881</w:t>
            </w:r>
          </w:p>
        </w:tc>
        <w:tc>
          <w:tcPr>
            <w:tcW w:w="4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183,417</w:t>
            </w:r>
          </w:p>
        </w:tc>
        <w:tc>
          <w:tcPr>
            <w:tcW w:w="820" w:type="dxa"/>
            <w:vAlign w:val="bottom"/>
            <w:gridSpan w:val="2"/>
          </w:tcPr>
          <w:p>
            <w:pPr>
              <w:jc w:val="right"/>
              <w:ind w:right="5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(30,536 )</w:t>
            </w:r>
          </w:p>
        </w:tc>
        <w:tc>
          <w:tcPr>
            <w:tcW w:w="980" w:type="dxa"/>
            <w:vAlign w:val="bottom"/>
          </w:tcPr>
          <w:p>
            <w:pPr>
              <w:jc w:val="center"/>
              <w:ind w:left="59"/>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 Not meaningful</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-281305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-281305</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-281305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increase in cost of revenue in 2024 was primarily due to higher revenue levels (revenue increased 15% over the same period). Cost of revenue increased at a lesser rate as compared to the corresponding revenue increases primarily because of lower labor costs resulting from prior workforce reductions and operational efficiencies. Specific components of the increase were a $4.0 million increase in direct material costs due to support higher revenue levels, a $2.1 million increase in allocated facilities and equipment costs (mainly due to moving our laboratory from our Menlo Park facility to our Fremont facility in the third quarter of 2023), partially offset by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$2.8 million decrease in labor costs and a $0.7 million decrease in shared laboratory costs due to greater usage of our laboratory capacity for R&amp;D projects.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 in research and development expenses in 2024 was primarily due to cost savings from our workforce reductions in 2023 and lower sample processing costs for product development, collaborations, and clinical evidence generation.</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decrease include a $6.3 million decrease in personnel-related costs driven by our workforce reductions, a $4.7 million decrease in allocated facilities costs (primarily due to a reduction in R&amp;D usage of our facilities relative to other functions, as well as lower facilities costs in general), and a $4.9 million decrease in sample processing costs incurred in our laboratory for product development, collaborations, and clinical evidence generation.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decrease in selling, general and administrative expenses was primarily due to lower professional outside services expenses and cost savings from our workforce reductions in 2023.</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Specific components of the decrease were a $3.1 million decrease in professional outside services, a $2.9 million decrease in personnel-related costs driven by our workforce reductions, and a $0.5 million decrease in office equipment costs; partially offset by a $1.4 million increase in allocated facilities costs, $1.0 million increase in other outside services and office expenses and a $0.6 million increase in other marketing costs, including trade shows expenses.</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(with the assistance of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Restructuring and other charges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reduced our workforce during the first quarter of 2023 and the fourth quarter of 2023 to reduce our cash burn and increase operating efficiencies, which combined affected about 100 employees. We also closed our China operations. The $8.1 million in restructuring and other charges recognized in 2023 is comprised of $7.5 million in one-time employee termination benefits (including costs related to termination of our former China employees) and $0.6 million of other noncash charges (primarily asset disposals and impairments in connection with the closure of our China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interest income and expense, and other income (expense), net (in thousands, except percentages):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2"/>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3"/>
                <w:szCs w:val="13"/>
                <w:color w:val="auto"/>
              </w:rPr>
            </w:pPr>
          </w:p>
        </w:tc>
      </w:tr>
      <w:tr>
        <w:trPr>
          <w:trHeight w:val="183"/>
        </w:trPr>
        <w:tc>
          <w:tcPr>
            <w:tcW w:w="5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income</w:t>
            </w:r>
          </w:p>
        </w:tc>
        <w:tc>
          <w:tcPr>
            <w:tcW w:w="880" w:type="dxa"/>
            <w:vAlign w:val="bottom"/>
            <w:shd w:val="clear" w:color="auto" w:fill="CFF0FC"/>
          </w:tcPr>
          <w:p>
            <w:pPr>
              <w:jc w:val="right"/>
              <w:ind w:right="702"/>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5,510</w:t>
            </w:r>
          </w:p>
        </w:tc>
        <w:tc>
          <w:tcPr>
            <w:tcW w:w="4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5,901</w:t>
            </w:r>
          </w:p>
        </w:tc>
        <w:tc>
          <w:tcPr>
            <w:tcW w:w="820" w:type="dxa"/>
            <w:vAlign w:val="bottom"/>
            <w:gridSpan w:val="2"/>
            <w:shd w:val="clear" w:color="auto" w:fill="CFF0FC"/>
          </w:tcPr>
          <w:p>
            <w:pPr>
              <w:jc w:val="right"/>
              <w:ind w:right="54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(391 )</w:t>
            </w:r>
          </w:p>
        </w:tc>
        <w:tc>
          <w:tcPr>
            <w:tcW w:w="980" w:type="dxa"/>
            <w:vAlign w:val="bottom"/>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rPr>
              <w:t>(7%)</w:t>
            </w:r>
          </w:p>
        </w:tc>
      </w:tr>
      <w:tr>
        <w:trPr>
          <w:trHeight w:val="189"/>
        </w:trPr>
        <w:tc>
          <w:tcPr>
            <w:tcW w:w="5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(24 )</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(110 )</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86</w:t>
            </w:r>
          </w:p>
        </w:tc>
        <w:tc>
          <w:tcPr>
            <w:tcW w:w="980" w:type="dxa"/>
            <w:vAlign w:val="bottom"/>
          </w:tcPr>
          <w:p>
            <w:pPr>
              <w:jc w:val="center"/>
              <w:ind w:left="59"/>
              <w:spacing w:after="0"/>
              <w:rPr>
                <w:sz w:val="20"/>
                <w:szCs w:val="20"/>
                <w:color w:val="auto"/>
              </w:rPr>
            </w:pPr>
            <w:r>
              <w:rPr>
                <w:rFonts w:ascii="Arial" w:cs="Arial" w:eastAsia="Arial" w:hAnsi="Arial"/>
                <w:sz w:val="16"/>
                <w:szCs w:val="16"/>
                <w:color w:val="auto"/>
              </w:rPr>
              <w:t>(78%)</w:t>
            </w:r>
          </w:p>
        </w:tc>
      </w:tr>
      <w:tr>
        <w:trPr>
          <w:trHeight w:val="18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(18,485 )</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(4,068 )</w:t>
            </w:r>
          </w:p>
        </w:tc>
        <w:tc>
          <w:tcPr>
            <w:tcW w:w="1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(14,417 )</w:t>
            </w:r>
          </w:p>
        </w:tc>
        <w:tc>
          <w:tcPr>
            <w:tcW w:w="980" w:type="dxa"/>
            <w:vAlign w:val="bottom"/>
            <w:tcBorders>
              <w:bottom w:val="single" w:sz="8" w:color="CFF0FC"/>
            </w:tcBorders>
            <w:shd w:val="clear" w:color="auto" w:fill="CFF0FC"/>
          </w:tcPr>
          <w:p>
            <w:pPr>
              <w:jc w:val="center"/>
              <w:ind w:left="59"/>
              <w:spacing w:after="0"/>
              <w:rPr>
                <w:sz w:val="20"/>
                <w:szCs w:val="20"/>
                <w:color w:val="auto"/>
              </w:rPr>
            </w:pPr>
            <w:r>
              <w:rPr>
                <w:rFonts w:ascii="Arial" w:cs="Arial" w:eastAsia="Arial" w:hAnsi="Arial"/>
                <w:sz w:val="16"/>
                <w:szCs w:val="16"/>
                <w:color w:val="auto"/>
                <w:w w:val="97"/>
              </w:rPr>
              <w:t>354%</w:t>
            </w:r>
          </w:p>
        </w:tc>
      </w:tr>
      <w:tr>
        <w:trPr>
          <w:trHeight w:val="183"/>
        </w:trPr>
        <w:tc>
          <w:tcPr>
            <w:tcW w:w="5240" w:type="dxa"/>
            <w:vAlign w:val="bottom"/>
          </w:tcPr>
          <w:p>
            <w:pPr>
              <w:ind w:left="200"/>
              <w:spacing w:after="0" w:line="169" w:lineRule="exact"/>
              <w:rPr>
                <w:sz w:val="20"/>
                <w:szCs w:val="20"/>
                <w:color w:val="auto"/>
              </w:rPr>
            </w:pPr>
            <w:r>
              <w:rPr>
                <w:rFonts w:ascii="Arial" w:cs="Arial" w:eastAsia="Arial" w:hAnsi="Arial"/>
                <w:sz w:val="16"/>
                <w:szCs w:val="16"/>
                <w:color w:val="auto"/>
              </w:rPr>
              <w:t>Total</w:t>
            </w:r>
          </w:p>
        </w:tc>
        <w:tc>
          <w:tcPr>
            <w:tcW w:w="880" w:type="dxa"/>
            <w:vAlign w:val="bottom"/>
          </w:tcPr>
          <w:p>
            <w:pPr>
              <w:jc w:val="right"/>
              <w:ind w:right="702"/>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w w:val="96"/>
              </w:rPr>
              <w:t>(12,999 )</w:t>
            </w:r>
          </w:p>
        </w:tc>
        <w:tc>
          <w:tcPr>
            <w:tcW w:w="40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1,723</w:t>
            </w:r>
          </w:p>
        </w:tc>
        <w:tc>
          <w:tcPr>
            <w:tcW w:w="820" w:type="dxa"/>
            <w:vAlign w:val="bottom"/>
            <w:gridSpan w:val="2"/>
          </w:tcPr>
          <w:p>
            <w:pPr>
              <w:jc w:val="right"/>
              <w:ind w:right="5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(14,722 )</w:t>
            </w:r>
          </w:p>
        </w:tc>
        <w:tc>
          <w:tcPr>
            <w:tcW w:w="980" w:type="dxa"/>
            <w:vAlign w:val="bottom"/>
          </w:tcPr>
          <w:p>
            <w:pPr>
              <w:jc w:val="center"/>
              <w:ind w:left="59"/>
              <w:spacing w:after="0" w:line="169" w:lineRule="exact"/>
              <w:rPr>
                <w:sz w:val="20"/>
                <w:szCs w:val="20"/>
                <w:color w:val="auto"/>
              </w:rPr>
            </w:pPr>
            <w:r>
              <w:rPr>
                <w:rFonts w:ascii="Arial" w:cs="Arial" w:eastAsia="Arial" w:hAnsi="Arial"/>
                <w:sz w:val="16"/>
                <w:szCs w:val="16"/>
                <w:color w:val="auto"/>
              </w:rPr>
              <w:t>(854%)</w:t>
            </w:r>
          </w:p>
        </w:tc>
      </w:tr>
      <w:tr>
        <w:trPr>
          <w:trHeight w:val="20"/>
        </w:trPr>
        <w:tc>
          <w:tcPr>
            <w:tcW w:w="5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-153670</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-153670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-153670</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decrease in interest income was due to lower average investment balances in 2024, partially offset by increased yields on our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is the recognition of imputed interest on noninterest bearing loans.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connection with our November 2023 agreement with Tempus, we issued two warrants to purchase, in the aggregate, up to 9,218,800 shares of our common stock ("Tempus Warrants") at an average exercise price of $2.00 per share. If Tempus acquired any shares of common stock directly from us other than by exercising the warrants, then the total number of shares issuable upon exercise of the warrants would have been reduced by such shares. Because the number of shares issuable upon settlement were subject to adjustment, the warrants were classified as liability instruments while outstanding and were subject to remeasurement at each balance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sheet date, with changes in fair value recognized as other income (expense), net. In August 2024, Tempus exercised in full the Tempus Warrants for $18.4 million in cash; as such there will be no further noncash gains or losses associated with the Tempus Warrants going forward.</w:t>
      </w:r>
    </w:p>
    <w:p>
      <w:pPr>
        <w:spacing w:after="0" w:line="12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Prior to the exercise, we recognized noncash losses of $18.3 million as a result of increases in the fair value of the Tempus Warrants in other income (expense), net in the consolidated statements of operations during the year ended December 31, 2024.</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initial fair value at the time of issuance of the warrants of $6.9 million exceeded the total proceeds received from Tempus of $6.0 million, which resulted in a loss of $0.9 million. In addition, we recognized noncash losses of $3.1 million as a result of increases in the fair value of the Tempus Warrants after the issuance date in 2023. The increase in fair value, plus the immediate loss of $0.9 million, resulted in a $4.0 million expense, which was recognized in other income (expense), net in the consolidated statements of operations during the year ended December 31, 2023.</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Separately, upon dissolution of our China entity (Personalis (Shanghai) Ltd) during the first quarter of 2024, we reclassified an accumulated foreign currency translation loss of $0.2 million to other income (expense), net.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selected financial information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 and short-term investments</w:t>
            </w:r>
          </w:p>
        </w:tc>
        <w:tc>
          <w:tcPr>
            <w:tcW w:w="940" w:type="dxa"/>
            <w:vAlign w:val="bottom"/>
            <w:shd w:val="clear" w:color="auto" w:fill="CFF0FC"/>
          </w:tcPr>
          <w:p>
            <w:pPr>
              <w:jc w:val="right"/>
              <w:ind w:right="764"/>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185,009</w:t>
            </w:r>
          </w:p>
        </w:tc>
        <w:tc>
          <w:tcPr>
            <w:tcW w:w="640" w:type="dxa"/>
            <w:vAlign w:val="bottom"/>
            <w:gridSpan w:val="2"/>
            <w:shd w:val="clear" w:color="auto" w:fill="CFF0FC"/>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114,179</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40" w:type="dxa"/>
            <w:vAlign w:val="bottom"/>
          </w:tcPr>
          <w:p>
            <w:pPr>
              <w:spacing w:after="0"/>
              <w:rPr>
                <w:sz w:val="16"/>
                <w:szCs w:val="16"/>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48,274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57,366</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Contract liabilities</w:t>
            </w: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3,100</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7,216</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Working capital</w:t>
            </w:r>
          </w:p>
        </w:tc>
        <w:tc>
          <w:tcPr>
            <w:tcW w:w="94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171,889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99,510</w:t>
            </w:r>
          </w:p>
        </w:tc>
      </w:tr>
    </w:tbl>
    <w:p>
      <w:pPr>
        <w:spacing w:after="0" w:line="13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From our inception through December 31, 2024, we have funded our operations primarily from net proceeds from issuance of redeemable convertible preferred stock, IPO, follow-on equity offerings, At-the-Market ("ATM") facility (see Note 2, Summary of Significant Accounting Policies for additional information), Tempus exercising warrants and purchasing additional shares under an investment agreement, and Merck purchasing shares under an investment agreement (see Note 8, "Related Party Transactions" in our consolidated financial statements for additional information), as well as debt financings. As of December 31, 2024, we had cash and cash equivalents of $91.4 million and short-term investments of $93.6 million.</w:t>
      </w:r>
    </w:p>
    <w:p>
      <w:pPr>
        <w:spacing w:after="0" w:line="1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are sufficient to fund our near-term capital and operating needs for at least the next 12 months.</w:t>
      </w:r>
    </w:p>
    <w:p>
      <w:pPr>
        <w:spacing w:after="0" w:line="11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Annual Report on Form 10-K, we may seek to sell additional common or preferred equity or convertible debt securities, enter into an additional credit facility or another form of third-party funding or seek other debt financing. We filed a sales agreement prospectus supplement in December 2024, pursuant to which we may offer and sell up to $50.0 million of shares of our common stock through our ATM facility. The sale of equity and convertible debt securities may result in dilution to our stockholders and, in the case of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337"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55"/>
        </w:trPr>
        <w:tc>
          <w:tcPr>
            <w:tcW w:w="6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3"/>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3"/>
                <w:szCs w:val="13"/>
                <w:color w:val="auto"/>
              </w:rPr>
            </w:pPr>
          </w:p>
        </w:tc>
      </w:tr>
      <w:tr>
        <w:trPr>
          <w:trHeight w:val="183"/>
        </w:trPr>
        <w:tc>
          <w:tcPr>
            <w:tcW w:w="61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(45,150 )  $</w:t>
            </w:r>
          </w:p>
        </w:tc>
        <w:tc>
          <w:tcPr>
            <w:tcW w:w="1880" w:type="dxa"/>
            <w:vAlign w:val="bottom"/>
            <w:gridSpan w:val="3"/>
            <w:shd w:val="clear" w:color="auto" w:fill="CFF0FC"/>
          </w:tcPr>
          <w:p>
            <w:pPr>
              <w:jc w:val="right"/>
              <w:ind w:right="460"/>
              <w:spacing w:after="0" w:line="183" w:lineRule="exact"/>
              <w:rPr>
                <w:sz w:val="20"/>
                <w:szCs w:val="20"/>
                <w:color w:val="auto"/>
              </w:rPr>
            </w:pPr>
            <w:r>
              <w:rPr>
                <w:rFonts w:ascii="Arial" w:cs="Arial" w:eastAsia="Arial" w:hAnsi="Arial"/>
                <w:sz w:val="16"/>
                <w:szCs w:val="16"/>
                <w:color w:val="auto"/>
              </w:rPr>
              <w:t>(56,258 )  $</w:t>
            </w:r>
          </w:p>
        </w:tc>
        <w:tc>
          <w:tcPr>
            <w:tcW w:w="880" w:type="dxa"/>
            <w:vAlign w:val="bottom"/>
            <w:shd w:val="clear" w:color="auto" w:fill="CFF0FC"/>
          </w:tcPr>
          <w:p>
            <w:pPr>
              <w:jc w:val="right"/>
              <w:ind w:right="161"/>
              <w:spacing w:after="0" w:line="183" w:lineRule="exact"/>
              <w:rPr>
                <w:sz w:val="20"/>
                <w:szCs w:val="20"/>
                <w:color w:val="auto"/>
              </w:rPr>
            </w:pPr>
            <w:r>
              <w:rPr>
                <w:rFonts w:ascii="Arial" w:cs="Arial" w:eastAsia="Arial" w:hAnsi="Arial"/>
                <w:sz w:val="16"/>
                <w:szCs w:val="16"/>
                <w:color w:val="auto"/>
              </w:rPr>
              <w:t>11,108</w:t>
            </w:r>
          </w:p>
        </w:tc>
        <w:tc>
          <w:tcPr>
            <w:tcW w:w="7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(20%)</w:t>
            </w:r>
          </w:p>
        </w:tc>
      </w:tr>
      <w:tr>
        <w:trPr>
          <w:trHeight w:val="189"/>
        </w:trPr>
        <w:tc>
          <w:tcPr>
            <w:tcW w:w="61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(35,069 )</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13,099</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(48,168 )</w:t>
            </w:r>
          </w:p>
        </w:tc>
        <w:tc>
          <w:tcPr>
            <w:tcW w:w="740" w:type="dxa"/>
            <w:vAlign w:val="bottom"/>
          </w:tcPr>
          <w:p>
            <w:pPr>
              <w:jc w:val="center"/>
              <w:spacing w:after="0"/>
              <w:rPr>
                <w:sz w:val="20"/>
                <w:szCs w:val="20"/>
                <w:color w:val="auto"/>
              </w:rPr>
            </w:pPr>
            <w:r>
              <w:rPr>
                <w:rFonts w:ascii="Arial" w:cs="Arial" w:eastAsia="Arial" w:hAnsi="Arial"/>
                <w:sz w:val="16"/>
                <w:szCs w:val="16"/>
                <w:color w:val="auto"/>
              </w:rPr>
              <w:t>(368%)</w:t>
            </w:r>
          </w:p>
        </w:tc>
      </w:tr>
      <w:tr>
        <w:trPr>
          <w:trHeight w:val="189"/>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114,672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11,031</w:t>
            </w:r>
          </w:p>
        </w:tc>
        <w:tc>
          <w:tcPr>
            <w:tcW w:w="1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rPr>
              <w:t>103,641</w:t>
            </w: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940%</w:t>
            </w:r>
          </w:p>
        </w:tc>
      </w:tr>
    </w:tbl>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$11.1 million decrease in cash used in operating activities in 2024 was primarily due to lower operating expenses, particularly lower payroll expenses as a result of our workforce reductions in 2023 and higher gross margin, due to a combination of higher revenue levels and higher gross margin percentage. These increases in operating cash flow were partially offset by changes in working capital. Notably, during the first half of 2023 we received significant customer deposits in connection with our agreement with Moderna to support its ongoing clinical trials project for development of a personalized cancer therapy and the customer deposit did not repeat in 2024. We also paid more in rent in 2024 as compared to 2023 for our Fremont headquarters due to the end of a free rent period plus escalating rent payments. Furthermore, we paid more to vendors in 2024 as compared to 2023 due to timing of vendor shipments and billings.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$48.2 million decrease in cash provided by investing activities in 2024 was due to increase in investments of our cash into short-term investments by $17.8 million and reduction in maturities of our short-term investments by $40.0 million, partially offset by a $9.3 million reduction in capital expenditures.</w:t>
      </w:r>
    </w:p>
    <w:p>
      <w:pPr>
        <w:spacing w:after="0" w:line="14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$103.6 million increase in cash provided by financing activities was driven by $50 million from Merck purchasing shares under an investment agreement, $36.2 million from Tempus exercising warrants and purchasing additional shares under an investment agreement, $26.6 million higher net proceeds from sales of common stock under our ATM facility, and $2.1 million lower repayments of loans; partially offset by $1.2 million payments of costs associated with the Tempus and Merck investments, and $0.6 million lower proceeds from our employee incentive plans. In addition, we received $6.0 million in proceeds from the issuance of Tempus Warrants and $3.4 million from loans in 2023, which did not occur in 2024.</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$185.0 million as of December 31, 2024, as well as anticipated cash receipts from customers. To fund our material cash requirements in the short-term and long-term, we may also seek to sell additional common or preferred equity or convertible debt securities, enter into an additional credit facility or another form of third-party funding or seek other debt financing.</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Variable costs of revenue</w:t>
      </w:r>
      <w:r>
        <w:rPr>
          <w:rFonts w:ascii="Arial" w:cs="Arial" w:eastAsia="Arial" w:hAnsi="Arial"/>
          <w:sz w:val="16"/>
          <w:szCs w:val="16"/>
          <w:color w:val="auto"/>
        </w:rPr>
        <w:t>. From time to time in the ordinary course of business, we enter into agreements with vendors for the purchase of raw</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remain similar to the levels in 2024 to support expected higher levels of revenue.</w:t>
      </w:r>
    </w:p>
    <w:p>
      <w:pPr>
        <w:spacing w:after="0" w:line="13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i w:val="1"/>
          <w:iCs w:val="1"/>
          <w:color w:val="auto"/>
        </w:rPr>
        <w:t>Operating expenditures</w:t>
      </w:r>
      <w:r>
        <w:rPr>
          <w:rFonts w:ascii="Arial" w:cs="Arial" w:eastAsia="Arial" w:hAnsi="Arial"/>
          <w:sz w:val="16"/>
          <w:szCs w:val="16"/>
          <w:color w:val="auto"/>
        </w:rPr>
        <w:t>. Our primary use of cash relates to employee compensation, spend on professional services, spend related to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and development projects, and other costs related to our research and development, selling, general and administrative functions. We currently expect our spending in these areas to remain similar to the levels in 2024. On a long-term basis, we manage future cash requirements relative to our long-term business plans.</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are expected to increase from 2024 levels as we expect to expand NeXT Personal Dx capacity. Going</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our capital expenditures are expected to consist primarily of laboratory equipment and computer equipment. We currently expect capital expenditures to be approximately $8.0 million in 2025 and between $7 million to $10 million in each of the years 2026 and 2027.</w:t>
      </w:r>
    </w:p>
    <w:p>
      <w:pPr>
        <w:spacing w:after="0" w:line="14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i w:val="1"/>
          <w:iCs w:val="1"/>
          <w:color w:val="auto"/>
        </w:rPr>
        <w:t>Property leases</w:t>
      </w:r>
      <w:r>
        <w:rPr>
          <w:rFonts w:ascii="Arial" w:cs="Arial" w:eastAsia="Arial" w:hAnsi="Arial"/>
          <w:sz w:val="16"/>
          <w:szCs w:val="16"/>
          <w:color w:val="auto"/>
        </w:rPr>
        <w:t>. Our noncancelable operating lease payments were $70.5 million as of December 31, 2024. The timing of these future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year, can be found in Part II, Item 8 of this Form 10-K in the Notes to Consolidated Financial Statements in Note 7, “Leases.”</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As of December 31, 2024, we have an outstanding noninterest bearing loan that was used to finance the purchase of equipment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laboratory. We owe a total of $1.8 million, of which the majority is payable in 2025. Further discussion of this loan can be found in Part II, Item 8 of this Form 10-K in the Notes to Consolidated Financial Statements in Note 6, “Loans.”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consolidated financial statements are prepared in accordance with U.S. GAAP. The preparation of our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consolidated financial statements. Therefore, we consider these to be our critical accounting policies and estimates.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We generate our revenue from the sale of genomic testing services. We agree to provide services to our customers through a contract, which may be in the form of a combination of a signed agreement, statement of work and/or a purchase order.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We have evaluated the performance obligations contained in contracts with customers to determine whether any of the performance obligations are distinct, such that the customers can benefit from the obligations on their own, and whether the obligations can be separately identifiable from other obligations in the contract. For the significant majority of our contracts to date, the customer orders a specified quantity of sequencing and the delivery of each test to the customer is accounted for as one performance obligation.</w:t>
      </w:r>
    </w:p>
    <w:p>
      <w:pPr>
        <w:spacing w:after="0" w:line="15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Fees for our genomic testing services are predominantly based on a fixed price per sample. The fixed prices identified in the arrangements only change if a pricing amendment is agreed with a customer. In limited cases we provide our customers a discount if samples received above a certain volume are purchased. In such cases, the discount applies prospectively. We have analyzed such discounts if they represent a material right provided to a customer. We have concluded that such discounts generally do not represent a material right provided to a customer since they are not deemed to be incremental to the pricing offered to the customer or are not enforceable options to acquire additional goods. As a result, these discounts do not constitute a material right and do not meet the definition of a separate performance obligation, except in limited instances. We do not offer retrospective discounts or rebates.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Leases</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our current borrowing rate at the lease commencement date (the incremental borrowing rate), unless the rate implicit in the lease is readily determinable.</w:t>
      </w:r>
    </w:p>
    <w:p>
      <w:pPr>
        <w:spacing w:after="0" w:line="1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August 2021, we entered into a 13.5-year lease for our corporate headquarters in Fremont, California. We estimated our incremental borrowing rate as the rate implicit in the lease was not readily determinable. To determine the incremental borrowing rate, we estimated our credit rating by comparing certain financial ratios and metrics of the Company to those of other issuers with publicly-available credit ratings from Standard &amp; Poor’s (S&amp;P). We then adjusted yields from publicly traded corporate bonds of companies of similar size and credit rating over a term approximating the term of our lease for the nature of the collateral. In September 2022, the lease commencement date for our facility in Fremont, California was delayed from the original intended date due to delays in the completion of the work necessary for us to move into the facility, which resulted in a reassessment of the lease term. Our concluded incremental borrowing rate for this remeasured lease was 10.5%, which resulted in a lease liability and right-of-use asset of $31.8 million.</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third quarter of 2023, we completed the move of our laboratory operations from our Menlo Park facility to our Fremont facility and began actively marketing the Menlo Park space for sublease. Accordingly, we evaluated the ongoing value of the operating lease right-of-use asset associated with the Menlo Park facility. Based on this evaluation, we determined that the right-of-use asset with a carrying amount of $6.7 million was no longer recoverable and was impaired and wrote it down to its estimated fair value of $1.1 million, which resulted in a noncash impairment loss of $5.6 million. Estimated fair value was based on expected future sublease cash flows (with the assistance of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November 2023, we entered into an agreement with Tempus to commercialize NeXT Personal Dx in the clinical diagnostics market. In connection with this agreement, we issued to Tempus two warrants to purchase, in the aggregate, up to 9,218,800 shares of our common stock. In August 2024, Tempus exercised the warrants in full to purchase 9,218,800 shares of Personalis common stock for $18.4 million in cash, at an average exercise price of $2.00 per share.</w:t>
      </w:r>
    </w:p>
    <w:p>
      <w:pPr>
        <w:spacing w:after="0" w:line="13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Tempus Warrants included a provision under which the total number of shares issuable upon settlement were subject to adjustment. Consequently, prior to the exercise, the Tempus Warrants were classified as liability instruments while outstanding and subject to remeasurement at each balance sheet date, with changes in fair value recognized as other income (expense), net in the consolidated statements of operations. Fair values of the warrants were estimated using the Black-Scholes option-pricing model. Estimating fair value using the Black-Scholes option-pricing model requires a number of assumptions. Changes in the assumptions can materially affect the fair value and ultimately how much other income (or expense) is recognized. The inputs generally require analysis to develop.</w:t>
      </w:r>
    </w:p>
    <w:p>
      <w:pPr>
        <w:spacing w:after="0" w:line="74"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assumption represents the contractual period of each of the two warrants.</w:t>
      </w:r>
    </w:p>
    <w:p>
      <w:pPr>
        <w:spacing w:after="0" w:line="12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was based on the Company's actual historical volatility over the expected terms of the warrants.</w:t>
      </w:r>
    </w:p>
    <w:p>
      <w:pPr>
        <w:spacing w:after="0" w:line="125" w:lineRule="exact"/>
        <w:rPr>
          <w:rFonts w:ascii="Times New Roman" w:cs="Times New Roman" w:eastAsia="Times New Roman" w:hAnsi="Times New Roman"/>
          <w:sz w:val="16"/>
          <w:szCs w:val="16"/>
          <w:color w:val="auto"/>
        </w:rPr>
      </w:pPr>
    </w:p>
    <w:p>
      <w:pPr>
        <w:ind w:left="1140" w:right="20" w:hanging="383"/>
        <w:spacing w:after="0" w:line="285" w:lineRule="auto"/>
        <w:tabs>
          <w:tab w:leader="none" w:pos="1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—The Black-Scholes option-pricing valuation model calls for a single expected dividend yield as an input. We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have no history or expectation of paying cash dividends on our common stock.</w:t>
      </w:r>
    </w:p>
    <w:p>
      <w:pPr>
        <w:spacing w:after="0" w:line="48"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based on the yield available on U.S. Treasury zero-coupon issues similar in duration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term of the warrants.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4" w:lineRule="exact"/>
        <w:rPr>
          <w:sz w:val="20"/>
          <w:szCs w:val="20"/>
          <w:color w:val="auto"/>
        </w:rPr>
      </w:pPr>
    </w:p>
    <w:p>
      <w:pPr>
        <w:ind w:right="20" w:firstLine="749"/>
        <w:spacing w:after="0" w:line="286"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in Note 2 to our consolidated financial statements for additional information.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8"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155"/>
        </w:trPr>
        <w:tc>
          <w:tcPr>
            <w:tcW w:w="20" w:type="dxa"/>
            <w:vAlign w:val="bottom"/>
            <w:shd w:val="clear" w:color="auto" w:fill="CFF0FC"/>
          </w:tcPr>
          <w:p>
            <w:pPr>
              <w:spacing w:after="0"/>
              <w:rPr>
                <w:sz w:val="13"/>
                <w:szCs w:val="13"/>
                <w:color w:val="auto"/>
              </w:rPr>
            </w:pPr>
          </w:p>
        </w:tc>
        <w:tc>
          <w:tcPr>
            <w:tcW w:w="10280" w:type="dxa"/>
            <w:vAlign w:val="bottom"/>
            <w:gridSpan w:val="18"/>
            <w:shd w:val="clear" w:color="auto" w:fill="CFF0FC"/>
          </w:tcPr>
          <w:p>
            <w:pPr>
              <w:spacing w:after="0" w:line="155" w:lineRule="exact"/>
              <w:rPr>
                <w:sz w:val="20"/>
                <w:szCs w:val="20"/>
                <w:color w:val="auto"/>
              </w:rPr>
            </w:pPr>
            <w:r>
              <w:rPr>
                <w:rFonts w:ascii="Arial" w:cs="Arial" w:eastAsia="Arial" w:hAnsi="Arial"/>
                <w:sz w:val="16"/>
                <w:szCs w:val="16"/>
                <w:color w:val="0000FF"/>
              </w:rPr>
              <w:t>Consolidated Balance Sheets</w:t>
            </w:r>
          </w:p>
        </w:tc>
        <w:tc>
          <w:tcPr>
            <w:tcW w:w="940" w:type="dxa"/>
            <w:vAlign w:val="bottom"/>
            <w:shd w:val="clear" w:color="auto" w:fill="CFF0FC"/>
          </w:tcPr>
          <w:p>
            <w:pPr>
              <w:jc w:val="center"/>
              <w:spacing w:after="0" w:line="155" w:lineRule="exact"/>
              <w:rPr>
                <w:sz w:val="20"/>
                <w:szCs w:val="20"/>
                <w:color w:val="auto"/>
              </w:rPr>
            </w:pPr>
            <w:r>
              <w:rPr>
                <w:rFonts w:ascii="Arial" w:cs="Arial" w:eastAsia="Arial" w:hAnsi="Arial"/>
                <w:sz w:val="16"/>
                <w:szCs w:val="16"/>
                <w:color w:val="auto"/>
              </w:rPr>
              <w:t>70</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CFF0FC"/>
            </w:tcBorders>
            <w:shd w:val="clear" w:color="auto" w:fill="0000FF"/>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280" w:type="dxa"/>
            <w:vAlign w:val="bottom"/>
            <w:gridSpan w:val="18"/>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71</w:t>
            </w:r>
          </w:p>
        </w:tc>
      </w:tr>
      <w:tr>
        <w:trPr>
          <w:trHeight w:val="27"/>
        </w:trPr>
        <w:tc>
          <w:tcPr>
            <w:tcW w:w="20" w:type="dxa"/>
            <w:vAlign w:val="bottom"/>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540" w:type="dxa"/>
            <w:vAlign w:val="bottom"/>
            <w:tcBorders>
              <w:bottom w:val="single" w:sz="8" w:color="0000FF"/>
              <w:right w:val="single" w:sz="8" w:color="CFF0FC"/>
            </w:tcBorders>
            <w:gridSpan w:val="13"/>
            <w:shd w:val="clear" w:color="auto" w:fill="CFF0FC"/>
          </w:tcPr>
          <w:p>
            <w:pPr>
              <w:spacing w:after="0" w:line="162" w:lineRule="exact"/>
              <w:rPr>
                <w:sz w:val="20"/>
                <w:szCs w:val="20"/>
                <w:color w:val="auto"/>
              </w:rPr>
            </w:pPr>
            <w:r>
              <w:rPr>
                <w:rFonts w:ascii="Arial" w:cs="Arial" w:eastAsia="Arial" w:hAnsi="Arial"/>
                <w:sz w:val="16"/>
                <w:szCs w:val="16"/>
                <w:color w:val="0000FF"/>
                <w:w w:val="99"/>
              </w:rPr>
              <w:t>Consolidated Statements of Comprehensive Loss</w:t>
            </w:r>
          </w:p>
        </w:tc>
        <w:tc>
          <w:tcPr>
            <w:tcW w:w="6740" w:type="dxa"/>
            <w:vAlign w:val="bottom"/>
            <w:tcBorders>
              <w:left w:val="single" w:sz="8" w:color="CFF0FC"/>
              <w:bottom w:val="single" w:sz="8" w:color="CFF0FC"/>
            </w:tcBorders>
            <w:gridSpan w:val="5"/>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jc w:val="center"/>
              <w:spacing w:after="0" w:line="162" w:lineRule="exact"/>
              <w:rPr>
                <w:sz w:val="20"/>
                <w:szCs w:val="20"/>
                <w:color w:val="auto"/>
              </w:rPr>
            </w:pPr>
            <w:r>
              <w:rPr>
                <w:rFonts w:ascii="Arial" w:cs="Arial" w:eastAsia="Arial" w:hAnsi="Arial"/>
                <w:sz w:val="16"/>
                <w:szCs w:val="16"/>
                <w:color w:val="auto"/>
              </w:rPr>
              <w:t>72</w:t>
            </w:r>
          </w:p>
        </w:tc>
      </w:tr>
      <w:tr>
        <w:trPr>
          <w:trHeight w:val="169"/>
        </w:trPr>
        <w:tc>
          <w:tcPr>
            <w:tcW w:w="20" w:type="dxa"/>
            <w:vAlign w:val="bottom"/>
          </w:tcPr>
          <w:p>
            <w:pPr>
              <w:spacing w:after="0"/>
              <w:rPr>
                <w:sz w:val="14"/>
                <w:szCs w:val="14"/>
                <w:color w:val="auto"/>
              </w:rPr>
            </w:pPr>
          </w:p>
        </w:tc>
        <w:tc>
          <w:tcPr>
            <w:tcW w:w="10280" w:type="dxa"/>
            <w:vAlign w:val="bottom"/>
            <w:gridSpan w:val="18"/>
          </w:tcPr>
          <w:p>
            <w:pPr>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73</w:t>
            </w:r>
          </w:p>
        </w:tc>
      </w:tr>
      <w:tr>
        <w:trPr>
          <w:trHeight w:val="169"/>
        </w:trPr>
        <w:tc>
          <w:tcPr>
            <w:tcW w:w="20" w:type="dxa"/>
            <w:vAlign w:val="bottom"/>
            <w:shd w:val="clear" w:color="auto" w:fill="CFF0FC"/>
          </w:tcPr>
          <w:p>
            <w:pPr>
              <w:spacing w:after="0"/>
              <w:rPr>
                <w:sz w:val="14"/>
                <w:szCs w:val="14"/>
                <w:color w:val="auto"/>
              </w:rPr>
            </w:pPr>
          </w:p>
        </w:tc>
        <w:tc>
          <w:tcPr>
            <w:tcW w:w="3540" w:type="dxa"/>
            <w:vAlign w:val="bottom"/>
            <w:tcBorders>
              <w:top w:val="single" w:sz="8" w:color="0000FF"/>
              <w:right w:val="single" w:sz="8" w:color="CFF0FC"/>
            </w:tcBorders>
            <w:gridSpan w:val="13"/>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6740" w:type="dxa"/>
            <w:vAlign w:val="bottom"/>
            <w:tcBorders>
              <w:left w:val="single" w:sz="8" w:color="CFF0FC"/>
            </w:tcBorders>
            <w:gridSpan w:val="5"/>
            <w:shd w:val="clear" w:color="auto" w:fill="CFF0FC"/>
          </w:tcPr>
          <w:p>
            <w:pPr>
              <w:spacing w:after="0"/>
              <w:rPr>
                <w:sz w:val="14"/>
                <w:szCs w:val="14"/>
                <w:color w:val="auto"/>
              </w:rPr>
            </w:pP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74</w:t>
            </w:r>
          </w:p>
        </w:tc>
      </w:tr>
      <w:tr>
        <w:trPr>
          <w:trHeight w:val="189"/>
        </w:trPr>
        <w:tc>
          <w:tcPr>
            <w:tcW w:w="20" w:type="dxa"/>
            <w:vAlign w:val="bottom"/>
            <w:tcBorders>
              <w:top w:val="single" w:sz="8" w:color="CFF0FC"/>
            </w:tcBorders>
          </w:tcPr>
          <w:p>
            <w:pPr>
              <w:spacing w:after="0"/>
              <w:rPr>
                <w:sz w:val="16"/>
                <w:szCs w:val="16"/>
                <w:color w:val="auto"/>
              </w:rPr>
            </w:pPr>
          </w:p>
        </w:tc>
        <w:tc>
          <w:tcPr>
            <w:tcW w:w="1160" w:type="dxa"/>
            <w:vAlign w:val="bottom"/>
            <w:tcBorders>
              <w:top w:val="single" w:sz="8" w:color="0000FF"/>
            </w:tcBorders>
            <w:gridSpan w:val="2"/>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380" w:type="dxa"/>
            <w:vAlign w:val="bottom"/>
            <w:tcBorders>
              <w:top w:val="single" w:sz="8" w:color="CFF0FC"/>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570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r>
      <w:tr>
        <w:trPr>
          <w:trHeight w:val="189"/>
        </w:trPr>
        <w:tc>
          <w:tcPr>
            <w:tcW w:w="20" w:type="dxa"/>
            <w:vAlign w:val="bottom"/>
            <w:shd w:val="clear" w:color="auto" w:fill="CFF0FC"/>
          </w:tcPr>
          <w:p>
            <w:pPr>
              <w:spacing w:after="0"/>
              <w:rPr>
                <w:sz w:val="16"/>
                <w:szCs w:val="16"/>
                <w:color w:val="auto"/>
              </w:rPr>
            </w:pPr>
          </w:p>
        </w:tc>
        <w:tc>
          <w:tcPr>
            <w:tcW w:w="10280" w:type="dxa"/>
            <w:vAlign w:val="bottom"/>
            <w:gridSpan w:val="18"/>
            <w:shd w:val="clear" w:color="auto" w:fill="CFF0FC"/>
          </w:tcPr>
          <w:p>
            <w:pPr>
              <w:spacing w:after="0"/>
              <w:rPr>
                <w:sz w:val="20"/>
                <w:szCs w:val="20"/>
                <w:color w:val="auto"/>
              </w:rPr>
            </w:pPr>
            <w:r>
              <w:rPr>
                <w:rFonts w:ascii="Arial" w:cs="Arial" w:eastAsia="Arial" w:hAnsi="Arial"/>
                <w:sz w:val="16"/>
                <w:szCs w:val="16"/>
                <w:color w:val="auto"/>
              </w:rPr>
              <w:t>Notes to Consolidated Financial Statements</w:t>
            </w:r>
          </w:p>
        </w:tc>
        <w:tc>
          <w:tcPr>
            <w:tcW w:w="940" w:type="dxa"/>
            <w:vAlign w:val="bottom"/>
            <w:shd w:val="clear" w:color="auto" w:fill="CFF0FC"/>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1.</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Company and Nature of Business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75</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2.</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Summary of Significant Accounting Policies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75</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3.</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Revenue</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81</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4.</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Balance Sheet Details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82</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5.</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Fair Value Measurements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83</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6.</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Loans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84</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7.</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Leases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85</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8.</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Related Party Transactions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86</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CFF0FC"/>
            </w:tcBorders>
            <w:shd w:val="clear" w:color="auto" w:fill="0000FF"/>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9.</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Restructuring and Other Charges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89</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10.</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Stock-Based Compensation</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89</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1060" w:type="dxa"/>
            <w:vAlign w:val="bottom"/>
          </w:tcPr>
          <w:p>
            <w:pPr>
              <w:ind w:left="360"/>
              <w:spacing w:after="0" w:line="155" w:lineRule="exact"/>
              <w:rPr>
                <w:sz w:val="20"/>
                <w:szCs w:val="20"/>
                <w:color w:val="auto"/>
              </w:rPr>
            </w:pPr>
            <w:r>
              <w:rPr>
                <w:rFonts w:ascii="Arial" w:cs="Arial" w:eastAsia="Arial" w:hAnsi="Arial"/>
                <w:sz w:val="16"/>
                <w:szCs w:val="16"/>
                <w:color w:val="auto"/>
              </w:rPr>
              <w:t>Note 11.</w:t>
            </w:r>
          </w:p>
        </w:tc>
        <w:tc>
          <w:tcPr>
            <w:tcW w:w="9220" w:type="dxa"/>
            <w:vAlign w:val="bottom"/>
            <w:gridSpan w:val="17"/>
          </w:tcPr>
          <w:p>
            <w:pPr>
              <w:ind w:left="100"/>
              <w:spacing w:after="0" w:line="156" w:lineRule="exact"/>
              <w:rPr>
                <w:sz w:val="20"/>
                <w:szCs w:val="20"/>
                <w:color w:val="auto"/>
              </w:rPr>
            </w:pPr>
            <w:r>
              <w:rPr>
                <w:rFonts w:ascii="Times New Roman" w:cs="Times New Roman" w:eastAsia="Times New Roman" w:hAnsi="Times New Roman"/>
                <w:sz w:val="18"/>
                <w:szCs w:val="18"/>
                <w:color w:val="0000FF"/>
              </w:rPr>
              <w:t>Segment and Geographic Information</w:t>
            </w:r>
          </w:p>
        </w:tc>
        <w:tc>
          <w:tcPr>
            <w:tcW w:w="940" w:type="dxa"/>
            <w:vAlign w:val="bottom"/>
          </w:tcPr>
          <w:p>
            <w:pPr>
              <w:jc w:val="center"/>
              <w:spacing w:after="0" w:line="155" w:lineRule="exact"/>
              <w:rPr>
                <w:sz w:val="20"/>
                <w:szCs w:val="20"/>
                <w:color w:val="auto"/>
              </w:rPr>
            </w:pPr>
            <w:r>
              <w:rPr>
                <w:rFonts w:ascii="Arial" w:cs="Arial" w:eastAsia="Arial" w:hAnsi="Arial"/>
                <w:sz w:val="16"/>
                <w:szCs w:val="16"/>
                <w:color w:val="auto"/>
              </w:rPr>
              <w:t>93</w:t>
            </w: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12.</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Commitments and Contingencies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13.</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Basic and Diluted Net Loss Per Common Share</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94</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7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1060" w:type="dxa"/>
            <w:vAlign w:val="bottom"/>
            <w:shd w:val="clear" w:color="auto" w:fill="CFF0FC"/>
          </w:tcPr>
          <w:p>
            <w:pPr>
              <w:ind w:left="360"/>
              <w:spacing w:after="0" w:line="162" w:lineRule="exact"/>
              <w:rPr>
                <w:sz w:val="20"/>
                <w:szCs w:val="20"/>
                <w:color w:val="auto"/>
              </w:rPr>
            </w:pPr>
            <w:r>
              <w:rPr>
                <w:rFonts w:ascii="Arial" w:cs="Arial" w:eastAsia="Arial" w:hAnsi="Arial"/>
                <w:sz w:val="16"/>
                <w:szCs w:val="16"/>
                <w:color w:val="auto"/>
              </w:rPr>
              <w:t>Note 14.</w:t>
            </w:r>
          </w:p>
        </w:tc>
        <w:tc>
          <w:tcPr>
            <w:tcW w:w="9220" w:type="dxa"/>
            <w:vAlign w:val="bottom"/>
            <w:gridSpan w:val="17"/>
            <w:shd w:val="clear" w:color="auto" w:fill="CFF0FC"/>
          </w:tcPr>
          <w:p>
            <w:pPr>
              <w:ind w:left="100"/>
              <w:spacing w:after="0" w:line="162" w:lineRule="exact"/>
              <w:rPr>
                <w:sz w:val="20"/>
                <w:szCs w:val="20"/>
                <w:color w:val="auto"/>
              </w:rPr>
            </w:pPr>
            <w:r>
              <w:rPr>
                <w:rFonts w:ascii="Arial" w:cs="Arial" w:eastAsia="Arial" w:hAnsi="Arial"/>
                <w:sz w:val="16"/>
                <w:szCs w:val="16"/>
                <w:color w:val="0000FF"/>
              </w:rPr>
              <w:t>Income Taxes</w:t>
            </w:r>
          </w:p>
        </w:tc>
        <w:tc>
          <w:tcPr>
            <w:tcW w:w="940" w:type="dxa"/>
            <w:vAlign w:val="bottom"/>
            <w:shd w:val="clear" w:color="auto" w:fill="CFF0FC"/>
          </w:tcPr>
          <w:p>
            <w:pPr>
              <w:jc w:val="center"/>
              <w:spacing w:after="0" w:line="162" w:lineRule="exact"/>
              <w:rPr>
                <w:sz w:val="20"/>
                <w:szCs w:val="20"/>
                <w:color w:val="auto"/>
              </w:rPr>
            </w:pPr>
            <w:r>
              <w:rPr>
                <w:rFonts w:ascii="Arial" w:cs="Arial" w:eastAsia="Arial" w:hAnsi="Arial"/>
                <w:sz w:val="16"/>
                <w:szCs w:val="16"/>
                <w:color w:val="auto"/>
              </w:rPr>
              <w:t>95</w:t>
            </w:r>
          </w:p>
        </w:tc>
      </w:tr>
      <w:tr>
        <w:trPr>
          <w:trHeight w:val="27"/>
        </w:trPr>
        <w:tc>
          <w:tcPr>
            <w:tcW w:w="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380" w:type="dxa"/>
            <w:vAlign w:val="bottom"/>
            <w:tcBorders>
              <w:right w:val="single" w:sz="8" w:color="CFF0FC"/>
            </w:tcBorders>
            <w:shd w:val="clear" w:color="auto" w:fill="CFF0FC"/>
          </w:tcPr>
          <w:p>
            <w:pPr>
              <w:spacing w:after="0"/>
              <w:rPr>
                <w:sz w:val="2"/>
                <w:szCs w:val="2"/>
                <w:color w:val="auto"/>
              </w:rPr>
            </w:pPr>
          </w:p>
        </w:tc>
        <w:tc>
          <w:tcPr>
            <w:tcW w:w="340" w:type="dxa"/>
            <w:vAlign w:val="bottom"/>
            <w:tcBorders>
              <w:left w:val="single" w:sz="8" w:color="CFF0FC"/>
            </w:tcBorders>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7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1060" w:type="dxa"/>
            <w:vAlign w:val="bottom"/>
          </w:tcPr>
          <w:p>
            <w:pPr>
              <w:ind w:left="360"/>
              <w:spacing w:after="0" w:line="162" w:lineRule="exact"/>
              <w:rPr>
                <w:sz w:val="20"/>
                <w:szCs w:val="20"/>
                <w:color w:val="auto"/>
              </w:rPr>
            </w:pPr>
            <w:r>
              <w:rPr>
                <w:rFonts w:ascii="Arial" w:cs="Arial" w:eastAsia="Arial" w:hAnsi="Arial"/>
                <w:sz w:val="16"/>
                <w:szCs w:val="16"/>
                <w:color w:val="auto"/>
              </w:rPr>
              <w:t>Note 15.</w:t>
            </w:r>
          </w:p>
        </w:tc>
        <w:tc>
          <w:tcPr>
            <w:tcW w:w="9220" w:type="dxa"/>
            <w:vAlign w:val="bottom"/>
            <w:gridSpan w:val="17"/>
          </w:tcPr>
          <w:p>
            <w:pPr>
              <w:ind w:left="100"/>
              <w:spacing w:after="0" w:line="162" w:lineRule="exact"/>
              <w:rPr>
                <w:sz w:val="20"/>
                <w:szCs w:val="20"/>
                <w:color w:val="auto"/>
              </w:rPr>
            </w:pPr>
            <w:r>
              <w:rPr>
                <w:rFonts w:ascii="Arial" w:cs="Arial" w:eastAsia="Arial" w:hAnsi="Arial"/>
                <w:sz w:val="16"/>
                <w:szCs w:val="16"/>
                <w:color w:val="0000FF"/>
              </w:rPr>
              <w:t>Subsequent Events</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97</w:t>
            </w:r>
          </w:p>
        </w:tc>
      </w:tr>
      <w:tr>
        <w:trPr>
          <w:trHeight w:val="189"/>
        </w:trPr>
        <w:tc>
          <w:tcPr>
            <w:tcW w:w="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spacing w:after="0"/>
              <w:rPr>
                <w:sz w:val="16"/>
                <w:szCs w:val="16"/>
                <w:color w:val="auto"/>
              </w:rPr>
            </w:pPr>
          </w:p>
        </w:tc>
        <w:tc>
          <w:tcPr>
            <w:tcW w:w="440" w:type="dxa"/>
            <w:vAlign w:val="bottom"/>
            <w:tcBorders>
              <w:top w:val="single" w:sz="8" w:color="0000FF"/>
            </w:tcBorders>
            <w:shd w:val="clear" w:color="auto" w:fill="CFF0FC"/>
          </w:tcPr>
          <w:p>
            <w:pPr>
              <w:spacing w:after="0"/>
              <w:rPr>
                <w:sz w:val="16"/>
                <w:szCs w:val="16"/>
                <w:color w:val="auto"/>
              </w:rPr>
            </w:pPr>
          </w:p>
        </w:tc>
        <w:tc>
          <w:tcPr>
            <w:tcW w:w="80" w:type="dxa"/>
            <w:vAlign w:val="bottom"/>
            <w:tcBorders>
              <w:top w:val="single" w:sz="8" w:color="0000FF"/>
            </w:tcBorders>
            <w:shd w:val="clear" w:color="auto" w:fill="CFF0FC"/>
          </w:tcPr>
          <w:p>
            <w:pPr>
              <w:spacing w:after="0"/>
              <w:rPr>
                <w:sz w:val="16"/>
                <w:szCs w:val="16"/>
                <w:color w:val="auto"/>
              </w:rPr>
            </w:pPr>
          </w:p>
        </w:tc>
        <w:tc>
          <w:tcPr>
            <w:tcW w:w="120" w:type="dxa"/>
            <w:vAlign w:val="bottom"/>
            <w:tcBorders>
              <w:top w:val="single" w:sz="8" w:color="0000FF"/>
            </w:tcBorders>
            <w:shd w:val="clear" w:color="auto" w:fill="CFF0FC"/>
          </w:tcPr>
          <w:p>
            <w:pPr>
              <w:spacing w:after="0"/>
              <w:rPr>
                <w:sz w:val="16"/>
                <w:szCs w:val="16"/>
                <w:color w:val="auto"/>
              </w:rPr>
            </w:pPr>
          </w:p>
        </w:tc>
        <w:tc>
          <w:tcPr>
            <w:tcW w:w="380" w:type="dxa"/>
            <w:vAlign w:val="bottom"/>
            <w:tcBorders>
              <w:top w:val="single" w:sz="8" w:color="0000FF"/>
              <w:right w:val="single" w:sz="8" w:color="CFF0FC"/>
            </w:tcBorders>
            <w:shd w:val="clear" w:color="auto" w:fill="CFF0FC"/>
          </w:tcPr>
          <w:p>
            <w:pPr>
              <w:spacing w:after="0"/>
              <w:rPr>
                <w:sz w:val="16"/>
                <w:szCs w:val="16"/>
                <w:color w:val="auto"/>
              </w:rPr>
            </w:pPr>
          </w:p>
        </w:tc>
        <w:tc>
          <w:tcPr>
            <w:tcW w:w="380" w:type="dxa"/>
            <w:vAlign w:val="bottom"/>
            <w:tcBorders>
              <w:top w:val="single" w:sz="8" w:color="0000FF"/>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340" w:type="dxa"/>
            <w:vAlign w:val="bottom"/>
            <w:tcBorders>
              <w:lef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7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0280" w:type="dxa"/>
            <w:vAlign w:val="bottom"/>
            <w:gridSpan w:val="18"/>
          </w:tcPr>
          <w:p>
            <w:pPr>
              <w:spacing w:after="0" w:line="162" w:lineRule="exact"/>
              <w:rPr>
                <w:sz w:val="20"/>
                <w:szCs w:val="20"/>
                <w:color w:val="auto"/>
              </w:rPr>
            </w:pPr>
            <w:r>
              <w:rPr>
                <w:rFonts w:ascii="Arial" w:cs="Arial" w:eastAsia="Arial" w:hAnsi="Arial"/>
                <w:sz w:val="16"/>
                <w:szCs w:val="16"/>
                <w:color w:val="0000FF"/>
              </w:rPr>
              <w:t>Report of Independent Registered Public Accounting Firm</w:t>
            </w:r>
          </w:p>
        </w:tc>
        <w:tc>
          <w:tcPr>
            <w:tcW w:w="940" w:type="dxa"/>
            <w:vAlign w:val="bottom"/>
          </w:tcPr>
          <w:p>
            <w:pPr>
              <w:jc w:val="center"/>
              <w:spacing w:after="0" w:line="162" w:lineRule="exact"/>
              <w:rPr>
                <w:sz w:val="20"/>
                <w:szCs w:val="20"/>
                <w:color w:val="auto"/>
              </w:rPr>
            </w:pPr>
            <w:r>
              <w:rPr>
                <w:rFonts w:ascii="Arial" w:cs="Arial" w:eastAsia="Arial" w:hAnsi="Arial"/>
                <w:sz w:val="16"/>
                <w:szCs w:val="16"/>
                <w:color w:val="auto"/>
              </w:rPr>
              <w:t>98</w:t>
            </w:r>
          </w:p>
        </w:tc>
      </w:tr>
      <w:tr>
        <w:trPr>
          <w:trHeight w:val="208"/>
        </w:trPr>
        <w:tc>
          <w:tcPr>
            <w:tcW w:w="20" w:type="dxa"/>
            <w:vAlign w:val="bottom"/>
            <w:tcBorders>
              <w:top w:val="single" w:sz="8" w:color="0000EE"/>
            </w:tcBorders>
          </w:tcPr>
          <w:p>
            <w:pPr>
              <w:spacing w:after="0"/>
              <w:rPr>
                <w:sz w:val="18"/>
                <w:szCs w:val="18"/>
                <w:color w:val="auto"/>
              </w:rPr>
            </w:pPr>
          </w:p>
        </w:tc>
        <w:tc>
          <w:tcPr>
            <w:tcW w:w="414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auto"/>
              </w:rPr>
              <w:t>(BDO USA, P.C., PCAOB ID: 243)</w:t>
            </w:r>
          </w:p>
        </w:tc>
        <w:tc>
          <w:tcPr>
            <w:tcW w:w="614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71"/>
        </w:trPr>
        <w:tc>
          <w:tcPr>
            <w:tcW w:w="1140" w:type="dxa"/>
            <w:vAlign w:val="bottom"/>
            <w:tcBorders>
              <w:top w:val="single" w:sz="8" w:color="0000FF"/>
            </w:tcBorders>
          </w:tcPr>
          <w:p>
            <w:pPr>
              <w:spacing w:after="0"/>
              <w:rPr>
                <w:sz w:val="24"/>
                <w:szCs w:val="24"/>
                <w:color w:val="auto"/>
              </w:rPr>
            </w:pPr>
          </w:p>
        </w:tc>
        <w:tc>
          <w:tcPr>
            <w:tcW w:w="6580" w:type="dxa"/>
            <w:vAlign w:val="bottom"/>
          </w:tcPr>
          <w:p>
            <w:pPr>
              <w:jc w:val="center"/>
              <w:ind w:left="2319"/>
              <w:spacing w:after="0"/>
              <w:rPr>
                <w:sz w:val="20"/>
                <w:szCs w:val="20"/>
                <w:color w:val="auto"/>
              </w:rPr>
            </w:pPr>
            <w:r>
              <w:rPr>
                <w:rFonts w:ascii="Arial" w:cs="Arial" w:eastAsia="Arial" w:hAnsi="Arial"/>
                <w:sz w:val="16"/>
                <w:szCs w:val="16"/>
                <w:b w:val="1"/>
                <w:bCs w:val="1"/>
                <w:color w:val="auto"/>
              </w:rPr>
              <w:t>PERSONALIS, INC.</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6580" w:type="dxa"/>
            <w:vAlign w:val="bottom"/>
          </w:tcPr>
          <w:p>
            <w:pPr>
              <w:jc w:val="center"/>
              <w:ind w:left="2319"/>
              <w:spacing w:after="0"/>
              <w:rPr>
                <w:sz w:val="20"/>
                <w:szCs w:val="20"/>
                <w:color w:val="auto"/>
              </w:rPr>
            </w:pPr>
            <w:r>
              <w:rPr>
                <w:rFonts w:ascii="Arial" w:cs="Arial" w:eastAsia="Arial" w:hAnsi="Arial"/>
                <w:sz w:val="16"/>
                <w:szCs w:val="16"/>
                <w:b w:val="1"/>
                <w:bCs w:val="1"/>
                <w:color w:val="auto"/>
              </w:rPr>
              <w:t>CONSOLIDATED BALANCE SHEETS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6580" w:type="dxa"/>
            <w:vAlign w:val="bottom"/>
          </w:tcPr>
          <w:p>
            <w:pPr>
              <w:jc w:val="center"/>
              <w:ind w:left="2299"/>
              <w:spacing w:after="0"/>
              <w:rPr>
                <w:sz w:val="20"/>
                <w:szCs w:val="20"/>
                <w:color w:val="auto"/>
              </w:rPr>
            </w:pPr>
            <w:r>
              <w:rPr>
                <w:rFonts w:ascii="Arial" w:cs="Arial" w:eastAsia="Arial" w:hAnsi="Arial"/>
                <w:sz w:val="16"/>
                <w:szCs w:val="16"/>
                <w:color w:val="auto"/>
              </w:rPr>
              <w:t>(in thousands, except share and per share data)</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67"/>
        </w:trPr>
        <w:tc>
          <w:tcPr>
            <w:tcW w:w="11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Borders>
              <w:bottom w:val="single" w:sz="8" w:color="auto"/>
            </w:tcBorders>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77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91,415</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56,984</w:t>
            </w:r>
          </w:p>
        </w:tc>
      </w:tr>
      <w:tr>
        <w:trPr>
          <w:trHeight w:val="189"/>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93,594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57,195</w:t>
            </w:r>
          </w:p>
        </w:tc>
      </w:tr>
      <w:tr>
        <w:trPr>
          <w:trHeight w:val="189"/>
        </w:trPr>
        <w:tc>
          <w:tcPr>
            <w:tcW w:w="772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8,140</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17,730</w:t>
            </w:r>
          </w:p>
        </w:tc>
      </w:tr>
      <w:tr>
        <w:trPr>
          <w:trHeight w:val="189"/>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Inventory and other deferred costs</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5,939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10,474</w:t>
            </w:r>
          </w:p>
        </w:tc>
      </w:tr>
      <w:tr>
        <w:trPr>
          <w:trHeight w:val="189"/>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3,927</w:t>
            </w: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4,361</w:t>
            </w:r>
          </w:p>
        </w:tc>
      </w:tr>
      <w:tr>
        <w:trPr>
          <w:trHeight w:val="183"/>
        </w:trPr>
        <w:tc>
          <w:tcPr>
            <w:tcW w:w="7720" w:type="dxa"/>
            <w:vAlign w:val="bottom"/>
            <w:gridSpan w:val="2"/>
          </w:tcPr>
          <w:p>
            <w:pPr>
              <w:ind w:left="560"/>
              <w:spacing w:after="0" w:line="183" w:lineRule="exact"/>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5"/>
                <w:szCs w:val="15"/>
                <w:color w:val="auto"/>
              </w:rPr>
            </w:pPr>
          </w:p>
        </w:tc>
        <w:tc>
          <w:tcPr>
            <w:tcW w:w="1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203,015</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146,744</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48,274</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57,366</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16,453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17,852</w:t>
            </w:r>
          </w:p>
        </w:tc>
      </w:tr>
      <w:tr>
        <w:trPr>
          <w:trHeight w:val="18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2,526</w:t>
            </w: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3,137</w:t>
            </w:r>
          </w:p>
        </w:tc>
      </w:tr>
      <w:tr>
        <w:trPr>
          <w:trHeight w:val="183"/>
        </w:trPr>
        <w:tc>
          <w:tcPr>
            <w:tcW w:w="7720" w:type="dxa"/>
            <w:vAlign w:val="bottom"/>
            <w:gridSpan w:val="2"/>
          </w:tcPr>
          <w:p>
            <w:pPr>
              <w:ind w:left="560"/>
              <w:spacing w:after="0" w:line="169" w:lineRule="exact"/>
              <w:rPr>
                <w:sz w:val="20"/>
                <w:szCs w:val="20"/>
                <w:color w:val="auto"/>
              </w:rPr>
            </w:pPr>
            <w:r>
              <w:rPr>
                <w:rFonts w:ascii="Arial" w:cs="Arial" w:eastAsia="Arial" w:hAnsi="Arial"/>
                <w:sz w:val="16"/>
                <w:szCs w:val="16"/>
                <w:color w:val="auto"/>
              </w:rPr>
              <w:t>Total assets</w:t>
            </w:r>
          </w:p>
        </w:tc>
        <w:tc>
          <w:tcPr>
            <w:tcW w:w="340" w:type="dxa"/>
            <w:vAlign w:val="bottom"/>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270,268</w:t>
            </w:r>
          </w:p>
        </w:tc>
        <w:tc>
          <w:tcPr>
            <w:tcW w:w="660" w:type="dxa"/>
            <w:vAlign w:val="bottom"/>
            <w:gridSpan w:val="2"/>
          </w:tcPr>
          <w:p>
            <w:pPr>
              <w:jc w:val="right"/>
              <w:ind w:right="400"/>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225,099</w:t>
            </w:r>
          </w:p>
        </w:tc>
      </w:tr>
      <w:tr>
        <w:trPr>
          <w:trHeight w:val="20"/>
        </w:trPr>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720" w:type="dxa"/>
            <w:vAlign w:val="bottom"/>
            <w:gridSpan w:val="2"/>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6,397</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14,920</w:t>
            </w:r>
          </w:p>
        </w:tc>
      </w:tr>
      <w:tr>
        <w:trPr>
          <w:trHeight w:val="189"/>
        </w:trPr>
        <w:tc>
          <w:tcPr>
            <w:tcW w:w="7720" w:type="dxa"/>
            <w:vAlign w:val="bottom"/>
            <w:gridSpan w:val="2"/>
          </w:tcPr>
          <w:p>
            <w:pPr>
              <w:ind w:left="20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21,629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23,941</w:t>
            </w:r>
          </w:p>
        </w:tc>
      </w:tr>
      <w:tr>
        <w:trPr>
          <w:trHeight w:val="189"/>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Contract liabilities</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3,100</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3,288</w:t>
            </w:r>
          </w:p>
        </w:tc>
      </w:tr>
      <w:tr>
        <w:trPr>
          <w:trHeight w:val="189"/>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Short-term warrant liability</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5,085</w:t>
            </w:r>
          </w:p>
        </w:tc>
      </w:tr>
      <w:tr>
        <w:trPr>
          <w:trHeight w:val="183"/>
        </w:trPr>
        <w:tc>
          <w:tcPr>
            <w:tcW w:w="7720" w:type="dxa"/>
            <w:vAlign w:val="bottom"/>
            <w:gridSpan w:val="2"/>
            <w:shd w:val="clear" w:color="auto" w:fill="CFF0FC"/>
          </w:tcPr>
          <w:p>
            <w:pPr>
              <w:ind w:left="560"/>
              <w:spacing w:after="0" w:line="183" w:lineRule="exact"/>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31,126</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47,234</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Long-term operating lease liabilities</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34,882</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38,321</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Long-term warrant liability</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4,942</w:t>
            </w:r>
          </w:p>
        </w:tc>
      </w:tr>
      <w:tr>
        <w:trPr>
          <w:trHeight w:val="189"/>
        </w:trPr>
        <w:tc>
          <w:tcPr>
            <w:tcW w:w="7720" w:type="dxa"/>
            <w:vAlign w:val="bottom"/>
            <w:gridSpan w:val="2"/>
          </w:tcPr>
          <w:p>
            <w:pPr>
              <w:ind w:left="20"/>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(3)</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1,303</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5,161</w:t>
            </w:r>
          </w:p>
        </w:tc>
      </w:tr>
      <w:tr>
        <w:trPr>
          <w:trHeight w:val="182"/>
        </w:trPr>
        <w:tc>
          <w:tcPr>
            <w:tcW w:w="7720" w:type="dxa"/>
            <w:vAlign w:val="bottom"/>
            <w:tcBorders>
              <w:bottom w:val="single" w:sz="8" w:color="CFF0FC"/>
            </w:tcBorders>
            <w:gridSpan w:val="2"/>
            <w:shd w:val="clear" w:color="auto" w:fill="CFF0FC"/>
          </w:tcPr>
          <w:p>
            <w:pPr>
              <w:ind w:left="560"/>
              <w:spacing w:after="0" w:line="183" w:lineRule="exact"/>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67,311</w:t>
            </w:r>
          </w:p>
        </w:tc>
        <w:tc>
          <w:tcPr>
            <w:tcW w:w="1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95,658</w:t>
            </w:r>
          </w:p>
        </w:tc>
      </w:tr>
      <w:tr>
        <w:trPr>
          <w:trHeight w:val="183"/>
        </w:trPr>
        <w:tc>
          <w:tcPr>
            <w:tcW w:w="77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Commitments and contingencies (Note 12)</w:t>
            </w: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7720" w:type="dxa"/>
            <w:vAlign w:val="bottom"/>
            <w:gridSpan w:val="2"/>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75"/>
        </w:trPr>
        <w:tc>
          <w:tcPr>
            <w:tcW w:w="7720" w:type="dxa"/>
            <w:vAlign w:val="bottom"/>
            <w:gridSpan w:val="2"/>
            <w:shd w:val="clear" w:color="auto" w:fill="CFF0FC"/>
          </w:tcPr>
          <w:p>
            <w:pPr>
              <w:ind w:left="380"/>
              <w:spacing w:after="0" w:line="175" w:lineRule="exact"/>
              <w:rPr>
                <w:sz w:val="20"/>
                <w:szCs w:val="20"/>
                <w:color w:val="auto"/>
              </w:rPr>
            </w:pPr>
            <w:r>
              <w:rPr>
                <w:rFonts w:ascii="Arial" w:cs="Arial" w:eastAsia="Arial" w:hAnsi="Arial"/>
                <w:sz w:val="16"/>
                <w:szCs w:val="16"/>
                <w:color w:val="auto"/>
              </w:rPr>
              <w:t>Common stock, $0.0001 par value — 200,000,000 shares authorized; 85,171,146 and</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03"/>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50,480,694 shares issued and outstanding, respectively</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r>
      <w:tr>
        <w:trPr>
          <w:trHeight w:val="189"/>
        </w:trPr>
        <w:tc>
          <w:tcPr>
            <w:tcW w:w="77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752,961</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598,364</w:t>
            </w:r>
          </w:p>
        </w:tc>
      </w:tr>
      <w:tr>
        <w:trPr>
          <w:trHeight w:val="189"/>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(222 )</w:t>
            </w:r>
          </w:p>
        </w:tc>
      </w:tr>
      <w:tr>
        <w:trPr>
          <w:trHeight w:val="189"/>
        </w:trPr>
        <w:tc>
          <w:tcPr>
            <w:tcW w:w="7720" w:type="dxa"/>
            <w:vAlign w:val="bottom"/>
            <w:gridSpan w:val="2"/>
          </w:tcPr>
          <w:p>
            <w:pPr>
              <w:ind w:left="3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(549,990 )</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(468,706 )</w:t>
            </w:r>
          </w:p>
        </w:tc>
      </w:tr>
      <w:tr>
        <w:trPr>
          <w:trHeight w:val="183"/>
        </w:trPr>
        <w:tc>
          <w:tcPr>
            <w:tcW w:w="7720" w:type="dxa"/>
            <w:vAlign w:val="bottom"/>
            <w:tcBorders>
              <w:bottom w:val="single" w:sz="8" w:color="CFF0FC"/>
            </w:tcBorders>
            <w:gridSpan w:val="2"/>
            <w:shd w:val="clear" w:color="auto" w:fill="CFF0FC"/>
          </w:tcPr>
          <w:p>
            <w:pPr>
              <w:ind w:left="560"/>
              <w:spacing w:after="0" w:line="183" w:lineRule="exact"/>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202,957</w:t>
            </w:r>
          </w:p>
        </w:tc>
        <w:tc>
          <w:tcPr>
            <w:tcW w:w="1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129,441</w:t>
            </w:r>
          </w:p>
        </w:tc>
      </w:tr>
      <w:tr>
        <w:trPr>
          <w:trHeight w:val="183"/>
        </w:trPr>
        <w:tc>
          <w:tcPr>
            <w:tcW w:w="7720" w:type="dxa"/>
            <w:vAlign w:val="bottom"/>
            <w:gridSpan w:val="2"/>
          </w:tcPr>
          <w:p>
            <w:pPr>
              <w:ind w:left="560"/>
              <w:spacing w:after="0" w:line="169" w:lineRule="exact"/>
              <w:rPr>
                <w:sz w:val="20"/>
                <w:szCs w:val="20"/>
                <w:color w:val="auto"/>
              </w:rPr>
            </w:pPr>
            <w:r>
              <w:rPr>
                <w:rFonts w:ascii="Arial" w:cs="Arial" w:eastAsia="Arial" w:hAnsi="Arial"/>
                <w:sz w:val="16"/>
                <w:szCs w:val="16"/>
                <w:color w:val="auto"/>
              </w:rPr>
              <w:t>Total liabilities and stockholders’ equity</w:t>
            </w:r>
          </w:p>
        </w:tc>
        <w:tc>
          <w:tcPr>
            <w:tcW w:w="340" w:type="dxa"/>
            <w:vAlign w:val="bottom"/>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270,268</w:t>
            </w:r>
          </w:p>
        </w:tc>
        <w:tc>
          <w:tcPr>
            <w:tcW w:w="660" w:type="dxa"/>
            <w:vAlign w:val="bottom"/>
            <w:gridSpan w:val="2"/>
          </w:tcPr>
          <w:p>
            <w:pPr>
              <w:jc w:val="right"/>
              <w:ind w:right="400"/>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line="169" w:lineRule="exact"/>
              <w:rPr>
                <w:sz w:val="20"/>
                <w:szCs w:val="20"/>
                <w:color w:val="auto"/>
              </w:rPr>
            </w:pPr>
            <w:r>
              <w:rPr>
                <w:rFonts w:ascii="Arial" w:cs="Arial" w:eastAsia="Arial" w:hAnsi="Arial"/>
                <w:sz w:val="16"/>
                <w:szCs w:val="16"/>
                <w:color w:val="auto"/>
              </w:rPr>
              <w:t>225,099</w:t>
            </w:r>
          </w:p>
        </w:tc>
      </w:tr>
      <w:tr>
        <w:trPr>
          <w:trHeight w:val="20"/>
        </w:trPr>
        <w:tc>
          <w:tcPr>
            <w:tcW w:w="11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-3230880</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-2742565</wp:posOffset>
            </wp:positionV>
            <wp:extent cx="111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-1250950</wp:posOffset>
            </wp:positionV>
            <wp:extent cx="1117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related party accounts receivable of $2.5 million as of December 31, 2024.</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related party liabilities of $1.7 million as of December 31, 2024.</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related party liabilities of $1.2 million as of December 31,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Revenue </w:t>
            </w:r>
            <w:r>
              <w:rPr>
                <w:rFonts w:ascii="Arial" w:cs="Arial" w:eastAsia="Arial" w:hAnsi="Arial"/>
                <w:sz w:val="21"/>
                <w:szCs w:val="21"/>
                <w:color w:val="auto"/>
                <w:vertAlign w:val="superscript"/>
              </w:rPr>
              <w:t>(1)</w:t>
            </w: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84,614</w:t>
            </w:r>
          </w:p>
        </w:tc>
        <w:tc>
          <w:tcPr>
            <w:tcW w:w="52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73,481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57,789</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55,273</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48,905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64,776</w:t>
            </w: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1"/>
                <w:szCs w:val="21"/>
                <w:color w:val="auto"/>
                <w:vertAlign w:val="superscript"/>
              </w:rPr>
              <w:t>(2)</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46,187</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49,726</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5,565</w:t>
            </w: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8,077</w:t>
            </w:r>
          </w:p>
        </w:tc>
      </w:tr>
      <w:tr>
        <w:trPr>
          <w:trHeight w:val="183"/>
        </w:trPr>
        <w:tc>
          <w:tcPr>
            <w:tcW w:w="7720" w:type="dxa"/>
            <w:vAlign w:val="bottom"/>
          </w:tcPr>
          <w:p>
            <w:pPr>
              <w:ind w:left="380"/>
              <w:spacing w:after="0" w:line="183" w:lineRule="exact"/>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152,881</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183,417</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(68,267 )</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(109,936 )</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5,510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5,901</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(110 )</w:t>
            </w:r>
          </w:p>
        </w:tc>
      </w:tr>
      <w:tr>
        <w:trPr>
          <w:trHeight w:val="189"/>
        </w:trPr>
        <w:tc>
          <w:tcPr>
            <w:tcW w:w="772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(18,485 )</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(4,068 )</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before income taxes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(81,266 )</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(108,213 )</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w:t>
            </w:r>
          </w:p>
        </w:tc>
      </w:tr>
      <w:tr>
        <w:trPr>
          <w:trHeight w:val="223"/>
        </w:trPr>
        <w:tc>
          <w:tcPr>
            <w:tcW w:w="7720" w:type="dxa"/>
            <w:vAlign w:val="bottom"/>
            <w:tcBorders>
              <w:bottom w:val="single" w:sz="8" w:color="CFF0FC"/>
            </w:tcBorders>
            <w:shd w:val="clear" w:color="auto" w:fill="CFF0FC"/>
          </w:tcPr>
          <w:p>
            <w:pPr>
              <w:ind w:left="560"/>
              <w:spacing w:after="0" w:line="169" w:lineRule="exact"/>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(81,284 )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(108,296 )</w:t>
            </w:r>
          </w:p>
        </w:tc>
      </w:tr>
      <w:tr>
        <w:trPr>
          <w:trHeight w:val="169"/>
        </w:trPr>
        <w:tc>
          <w:tcPr>
            <w:tcW w:w="7720" w:type="dxa"/>
            <w:vAlign w:val="bottom"/>
          </w:tcPr>
          <w:p>
            <w:pPr>
              <w:ind w:left="20"/>
              <w:spacing w:after="0" w:line="169" w:lineRule="exact"/>
              <w:rPr>
                <w:sz w:val="20"/>
                <w:szCs w:val="20"/>
                <w:color w:val="auto"/>
              </w:rPr>
            </w:pPr>
            <w:r>
              <w:rPr>
                <w:rFonts w:ascii="Arial" w:cs="Arial" w:eastAsia="Arial" w:hAnsi="Arial"/>
                <w:sz w:val="16"/>
                <w:szCs w:val="16"/>
                <w:color w:val="auto"/>
              </w:rPr>
              <w:t>Net loss per share, basic and diluted</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(1.37 )</w:t>
            </w:r>
          </w:p>
        </w:tc>
        <w:tc>
          <w:tcPr>
            <w:tcW w:w="520" w:type="dxa"/>
            <w:vAlign w:val="bottom"/>
            <w:gridSpan w:val="2"/>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(2.25 )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Weighted-average shares outstanding, basic and diluted</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59,251,013</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48,175,201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-1310640</wp:posOffset>
            </wp:positionV>
            <wp:extent cx="1117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111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1117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related party revenue of $2.0 million for the year ended December 31, 2024.</w:t>
      </w:r>
    </w:p>
    <w:p>
      <w:pPr>
        <w:spacing w:after="0" w:line="15" w:lineRule="exact"/>
        <w:rPr>
          <w:rFonts w:ascii="Arial" w:cs="Arial" w:eastAsia="Arial" w:hAnsi="Arial"/>
          <w:sz w:val="14"/>
          <w:szCs w:val="14"/>
          <w:color w:val="auto"/>
        </w:rPr>
      </w:pPr>
    </w:p>
    <w:p>
      <w:pPr>
        <w:ind w:left="260" w:hanging="252"/>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related party sales and marketing expenses of $0.5 million for the year ended December 31, 2024.</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related party other expense of $18.3 million in connection with the change in fair value of Tempus Warrants for the year ended December 31,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ind w:right="78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(81,284 )</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(108,296 )</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foreign currency translation adjustments:</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20" w:type="dxa"/>
            <w:vAlign w:val="bottom"/>
          </w:tcPr>
          <w:p>
            <w:pPr>
              <w:ind w:left="380"/>
              <w:spacing w:after="0"/>
              <w:rPr>
                <w:sz w:val="20"/>
                <w:szCs w:val="20"/>
                <w:color w:val="auto"/>
              </w:rPr>
            </w:pPr>
            <w:r>
              <w:rPr>
                <w:rFonts w:ascii="Arial" w:cs="Arial" w:eastAsia="Arial" w:hAnsi="Arial"/>
                <w:sz w:val="16"/>
                <w:szCs w:val="16"/>
                <w:color w:val="auto"/>
              </w:rPr>
              <w:t>Change during period</w:t>
            </w:r>
          </w:p>
        </w:tc>
        <w:tc>
          <w:tcPr>
            <w:tcW w:w="9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19</w:t>
            </w:r>
          </w:p>
        </w:tc>
      </w:tr>
      <w:tr>
        <w:trPr>
          <w:trHeight w:val="189"/>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Reclassification of adjustments to net loss due to dissolution of Personalis (Shanghai) Ltd</w:t>
            </w:r>
          </w:p>
        </w:tc>
        <w:tc>
          <w:tcPr>
            <w:tcW w:w="9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199</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7720" w:type="dxa"/>
            <w:vAlign w:val="bottom"/>
          </w:tcPr>
          <w:p>
            <w:pPr>
              <w:ind w:left="560"/>
              <w:spacing w:after="0" w:line="183" w:lineRule="exact"/>
              <w:rPr>
                <w:sz w:val="20"/>
                <w:szCs w:val="20"/>
                <w:color w:val="auto"/>
              </w:rPr>
            </w:pPr>
            <w:r>
              <w:rPr>
                <w:rFonts w:ascii="Arial" w:cs="Arial" w:eastAsia="Arial" w:hAnsi="Arial"/>
                <w:sz w:val="16"/>
                <w:szCs w:val="16"/>
                <w:color w:val="auto"/>
              </w:rPr>
              <w:t>Net changes in foreign currency translation adjustments</w:t>
            </w:r>
          </w:p>
        </w:tc>
        <w:tc>
          <w:tcPr>
            <w:tcW w:w="960" w:type="dxa"/>
            <w:vAlign w:val="bottom"/>
          </w:tcPr>
          <w:p>
            <w:pPr>
              <w:spacing w:after="0"/>
              <w:rPr>
                <w:sz w:val="15"/>
                <w:szCs w:val="15"/>
                <w:color w:val="auto"/>
              </w:rPr>
            </w:pPr>
          </w:p>
        </w:tc>
        <w:tc>
          <w:tcPr>
            <w:tcW w:w="7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164</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19</w:t>
            </w: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Change in unrealized gain on available-for-sale debt securities</w:t>
            </w:r>
          </w:p>
        </w:tc>
        <w:tc>
          <w:tcPr>
            <w:tcW w:w="9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671</w:t>
            </w:r>
          </w:p>
        </w:tc>
      </w:tr>
      <w:tr>
        <w:trPr>
          <w:trHeight w:val="183"/>
        </w:trPr>
        <w:tc>
          <w:tcPr>
            <w:tcW w:w="7720" w:type="dxa"/>
            <w:vAlign w:val="bottom"/>
          </w:tcPr>
          <w:p>
            <w:pPr>
              <w:ind w:left="20"/>
              <w:spacing w:after="0" w:line="169" w:lineRule="exact"/>
              <w:rPr>
                <w:sz w:val="20"/>
                <w:szCs w:val="20"/>
                <w:color w:val="auto"/>
              </w:rPr>
            </w:pPr>
            <w:r>
              <w:rPr>
                <w:rFonts w:ascii="Arial" w:cs="Arial" w:eastAsia="Arial" w:hAnsi="Arial"/>
                <w:sz w:val="16"/>
                <w:szCs w:val="16"/>
                <w:color w:val="auto"/>
              </w:rPr>
              <w:t>Comprehensive loss</w:t>
            </w:r>
          </w:p>
        </w:tc>
        <w:tc>
          <w:tcPr>
            <w:tcW w:w="960" w:type="dxa"/>
            <w:vAlign w:val="bottom"/>
          </w:tcPr>
          <w:p>
            <w:pPr>
              <w:jc w:val="right"/>
              <w:ind w:right="784"/>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(81,085 )</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(107,606 )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-402590</wp:posOffset>
            </wp:positionV>
            <wp:extent cx="1117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201"/>
              <w:spacing w:after="0"/>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8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2160" w:type="dxa"/>
            <w:vAlign w:val="bottom"/>
            <w:gridSpan w:val="4"/>
            <w:vMerge w:val="restart"/>
          </w:tcPr>
          <w:p>
            <w:pPr>
              <w:jc w:val="right"/>
              <w:ind w:right="5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63"/>
        </w:trPr>
        <w:tc>
          <w:tcPr>
            <w:tcW w:w="458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24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201"/>
              <w:spacing w:after="0" w:line="158" w:lineRule="exact"/>
              <w:rPr>
                <w:sz w:val="20"/>
                <w:szCs w:val="20"/>
                <w:color w:val="auto"/>
              </w:rPr>
            </w:pPr>
            <w:r>
              <w:rPr>
                <w:rFonts w:ascii="Arial" w:cs="Arial" w:eastAsia="Arial" w:hAnsi="Arial"/>
                <w:sz w:val="14"/>
                <w:szCs w:val="14"/>
                <w:b w:val="1"/>
                <w:bCs w:val="1"/>
                <w:color w:val="auto"/>
              </w:rPr>
              <w: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220"/>
              <w:spacing w:after="0" w:line="158" w:lineRule="exact"/>
              <w:rPr>
                <w:sz w:val="20"/>
                <w:szCs w:val="20"/>
                <w:color w:val="auto"/>
              </w:rPr>
            </w:pPr>
            <w:r>
              <w:rPr>
                <w:rFonts w:ascii="Arial" w:cs="Arial" w:eastAsia="Arial" w:hAnsi="Arial"/>
                <w:sz w:val="14"/>
                <w:szCs w:val="14"/>
                <w:b w:val="1"/>
                <w:bCs w:val="1"/>
                <w:color w:val="auto"/>
              </w:rPr>
              <w:t>s'</w:t>
            </w: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221"/>
              <w:spacing w:after="0" w:line="147"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58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CFF0FC"/>
            </w:tcBorders>
            <w:shd w:val="clear" w:color="auto" w:fill="CFF0FC"/>
          </w:tcPr>
          <w:p>
            <w:pPr>
              <w:jc w:val="right"/>
              <w:ind w:right="40"/>
              <w:spacing w:after="0" w:line="148" w:lineRule="exact"/>
              <w:rPr>
                <w:sz w:val="20"/>
                <w:szCs w:val="20"/>
                <w:color w:val="auto"/>
              </w:rPr>
            </w:pPr>
            <w:r>
              <w:rPr>
                <w:rFonts w:ascii="Arial" w:cs="Arial" w:eastAsia="Arial" w:hAnsi="Arial"/>
                <w:sz w:val="16"/>
                <w:szCs w:val="16"/>
                <w:color w:val="auto"/>
              </w:rPr>
              <w:t>46,707,08</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Balance—December 31, 2022</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579,456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(912 )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(360,410 )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218,139</w:t>
            </w:r>
          </w:p>
        </w:tc>
        <w:tc>
          <w:tcPr>
            <w:tcW w:w="0" w:type="dxa"/>
            <w:vAlign w:val="bottom"/>
          </w:tcPr>
          <w:p>
            <w:pPr>
              <w:spacing w:after="0"/>
              <w:rPr>
                <w:sz w:val="1"/>
                <w:szCs w:val="1"/>
                <w:color w:val="auto"/>
              </w:rPr>
            </w:pPr>
          </w:p>
        </w:tc>
      </w:tr>
      <w:tr>
        <w:trPr>
          <w:trHeight w:val="175"/>
        </w:trPr>
        <w:tc>
          <w:tcPr>
            <w:tcW w:w="4580" w:type="dxa"/>
            <w:vAlign w:val="bottom"/>
          </w:tcPr>
          <w:p>
            <w:pPr>
              <w:ind w:left="380"/>
              <w:spacing w:after="0" w:line="175" w:lineRule="exact"/>
              <w:rPr>
                <w:sz w:val="20"/>
                <w:szCs w:val="20"/>
                <w:color w:val="auto"/>
              </w:rPr>
            </w:pPr>
            <w:r>
              <w:rPr>
                <w:rFonts w:ascii="Arial" w:cs="Arial" w:eastAsia="Arial" w:hAnsi="Arial"/>
                <w:sz w:val="16"/>
                <w:szCs w:val="16"/>
                <w:color w:val="auto"/>
              </w:rPr>
              <w:t>Proceeds from sales of common stock under ATM</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80"/>
              <w:spacing w:after="0"/>
              <w:rPr>
                <w:sz w:val="20"/>
                <w:szCs w:val="20"/>
                <w:color w:val="auto"/>
              </w:rPr>
            </w:pPr>
            <w:r>
              <w:rPr>
                <w:rFonts w:ascii="Arial" w:cs="Arial" w:eastAsia="Arial" w:hAnsi="Arial"/>
                <w:sz w:val="16"/>
                <w:szCs w:val="16"/>
                <w:color w:val="auto"/>
              </w:rPr>
              <w:t>facility, net of commissions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1,935,214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3,513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999,194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839,194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14,051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14,051</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(108,296 )</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(108,296 )</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0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50,480,69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6"/>
                <w:szCs w:val="16"/>
                <w:color w:val="auto"/>
              </w:rPr>
              <w:t>Balance—December 31, 2023</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598,364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(468,706 )</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129,441</w:t>
            </w:r>
          </w:p>
        </w:tc>
        <w:tc>
          <w:tcPr>
            <w:tcW w:w="0" w:type="dxa"/>
            <w:vAlign w:val="bottom"/>
          </w:tcPr>
          <w:p>
            <w:pPr>
              <w:spacing w:after="0"/>
              <w:rPr>
                <w:sz w:val="1"/>
                <w:szCs w:val="1"/>
                <w:color w:val="auto"/>
              </w:rPr>
            </w:pPr>
          </w:p>
        </w:tc>
      </w:tr>
      <w:tr>
        <w:trPr>
          <w:trHeight w:val="168"/>
        </w:trPr>
        <w:tc>
          <w:tcPr>
            <w:tcW w:w="4580" w:type="dxa"/>
            <w:vAlign w:val="bottom"/>
            <w:shd w:val="clear" w:color="auto" w:fill="CFF0FC"/>
          </w:tcPr>
          <w:p>
            <w:pPr>
              <w:ind w:left="380"/>
              <w:spacing w:after="0" w:line="168" w:lineRule="exact"/>
              <w:rPr>
                <w:sz w:val="20"/>
                <w:szCs w:val="20"/>
                <w:color w:val="auto"/>
              </w:rPr>
            </w:pPr>
            <w:r>
              <w:rPr>
                <w:rFonts w:ascii="Arial" w:cs="Arial" w:eastAsia="Arial" w:hAnsi="Arial"/>
                <w:sz w:val="16"/>
                <w:szCs w:val="16"/>
                <w:color w:val="auto"/>
              </w:rPr>
              <w:t>Proceeds from sale of common stock under Merck</w:t>
            </w:r>
          </w:p>
        </w:tc>
        <w:tc>
          <w:tcPr>
            <w:tcW w:w="1040" w:type="dxa"/>
            <w:vAlign w:val="bottom"/>
            <w:shd w:val="clear" w:color="auto" w:fill="CFF0FC"/>
          </w:tcPr>
          <w:p>
            <w:pPr>
              <w:jc w:val="right"/>
              <w:ind w:right="40"/>
              <w:spacing w:after="0" w:line="168" w:lineRule="exact"/>
              <w:rPr>
                <w:sz w:val="20"/>
                <w:szCs w:val="20"/>
                <w:color w:val="auto"/>
              </w:rPr>
            </w:pPr>
            <w:r>
              <w:rPr>
                <w:rFonts w:ascii="Arial" w:cs="Arial" w:eastAsia="Arial" w:hAnsi="Arial"/>
                <w:sz w:val="16"/>
                <w:szCs w:val="16"/>
                <w:color w:val="auto"/>
              </w:rPr>
              <w:t>14,044,94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Investment Agreement, net of issuance costs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49,720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49,722</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Exercise of Tempus Warrants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9,218,800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46,738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46,739</w:t>
            </w: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380"/>
              <w:spacing w:after="0" w:line="175" w:lineRule="exact"/>
              <w:rPr>
                <w:sz w:val="20"/>
                <w:szCs w:val="20"/>
                <w:color w:val="auto"/>
              </w:rPr>
            </w:pPr>
            <w:r>
              <w:rPr>
                <w:rFonts w:ascii="Arial" w:cs="Arial" w:eastAsia="Arial" w:hAnsi="Arial"/>
                <w:sz w:val="16"/>
                <w:szCs w:val="16"/>
                <w:color w:val="auto"/>
              </w:rPr>
              <w:t>Proceeds from sale of common stock under Tempus</w:t>
            </w: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Investment Agreement, net of issuance costs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3,500,000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16,605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16,605</w:t>
            </w:r>
          </w:p>
        </w:tc>
        <w:tc>
          <w:tcPr>
            <w:tcW w:w="0" w:type="dxa"/>
            <w:vAlign w:val="bottom"/>
          </w:tcPr>
          <w:p>
            <w:pPr>
              <w:spacing w:after="0"/>
              <w:rPr>
                <w:sz w:val="1"/>
                <w:szCs w:val="1"/>
                <w:color w:val="auto"/>
              </w:rPr>
            </w:pPr>
          </w:p>
        </w:tc>
      </w:tr>
      <w:tr>
        <w:trPr>
          <w:trHeight w:val="175"/>
        </w:trPr>
        <w:tc>
          <w:tcPr>
            <w:tcW w:w="4580" w:type="dxa"/>
            <w:vAlign w:val="bottom"/>
          </w:tcPr>
          <w:p>
            <w:pPr>
              <w:ind w:left="380"/>
              <w:spacing w:after="0" w:line="175" w:lineRule="exact"/>
              <w:rPr>
                <w:sz w:val="20"/>
                <w:szCs w:val="20"/>
                <w:color w:val="auto"/>
              </w:rPr>
            </w:pPr>
            <w:r>
              <w:rPr>
                <w:rFonts w:ascii="Arial" w:cs="Arial" w:eastAsia="Arial" w:hAnsi="Arial"/>
                <w:sz w:val="16"/>
                <w:szCs w:val="16"/>
                <w:color w:val="auto"/>
              </w:rPr>
              <w:t>Proceeds from sales of common stock under ATM</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80"/>
              <w:spacing w:after="0"/>
              <w:rPr>
                <w:sz w:val="20"/>
                <w:szCs w:val="20"/>
                <w:color w:val="auto"/>
              </w:rPr>
            </w:pPr>
            <w:r>
              <w:rPr>
                <w:rFonts w:ascii="Arial" w:cs="Arial" w:eastAsia="Arial" w:hAnsi="Arial"/>
                <w:sz w:val="16"/>
                <w:szCs w:val="16"/>
                <w:color w:val="auto"/>
              </w:rPr>
              <w:t>facility, net of commissions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6,660,731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30,077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30,078</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80,998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Proceeds from ESPP</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583,695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stock units vested</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601,285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9"/>
        </w:trPr>
        <w:tc>
          <w:tcPr>
            <w:tcW w:w="4580" w:type="dxa"/>
            <w:vAlign w:val="bottom"/>
          </w:tcPr>
          <w:p>
            <w:pPr>
              <w:ind w:left="380"/>
              <w:spacing w:after="0"/>
              <w:rPr>
                <w:sz w:val="20"/>
                <w:szCs w:val="20"/>
                <w:color w:val="auto"/>
              </w:rPr>
            </w:pPr>
            <w:r>
              <w:rPr>
                <w:rFonts w:ascii="Arial" w:cs="Arial" w:eastAsia="Arial" w:hAnsi="Arial"/>
                <w:sz w:val="16"/>
                <w:szCs w:val="16"/>
                <w:color w:val="auto"/>
              </w:rPr>
              <w:t>Unrealized gain on available-for-sale debt securities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(81,284 )</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(81,284 )</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1040" w:type="dxa"/>
            <w:vAlign w:val="bottom"/>
          </w:tcPr>
          <w:p>
            <w:pPr>
              <w:jc w:val="right"/>
              <w:ind w:right="40"/>
              <w:spacing w:after="0" w:line="168" w:lineRule="exact"/>
              <w:rPr>
                <w:sz w:val="20"/>
                <w:szCs w:val="20"/>
                <w:color w:val="auto"/>
              </w:rPr>
            </w:pPr>
            <w:r>
              <w:rPr>
                <w:rFonts w:ascii="Arial" w:cs="Arial" w:eastAsia="Arial" w:hAnsi="Arial"/>
                <w:sz w:val="16"/>
                <w:szCs w:val="16"/>
                <w:color w:val="auto"/>
              </w:rPr>
              <w:t>85,171,14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6"/>
                <w:szCs w:val="16"/>
                <w:color w:val="auto"/>
              </w:rPr>
              <w:t>Balance—December 31, 2024</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752,961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(549,990 )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202,957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-2211070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-2211070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-2211070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-2211070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-2211070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-273685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-273685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-273685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-273685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-273685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20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(81,284 )</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(108,296 )</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10,686</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14,051</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10,941</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11,296</w:t>
            </w:r>
          </w:p>
        </w:tc>
      </w:tr>
      <w:tr>
        <w:trPr>
          <w:trHeight w:val="189"/>
        </w:trPr>
        <w:tc>
          <w:tcPr>
            <w:tcW w:w="20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Noncash operating lease cost</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1,399</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1,859</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Noncash charges related to liability classified Tempus Warrants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18,274</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4,027</w:t>
            </w:r>
          </w:p>
        </w:tc>
      </w:tr>
      <w:tr>
        <w:trPr>
          <w:trHeight w:val="189"/>
        </w:trPr>
        <w:tc>
          <w:tcPr>
            <w:tcW w:w="20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Amortization of discount on short-term investments</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(2,667 )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(2,000 )</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Noncash restructuring and other charges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3,605</w:t>
            </w:r>
          </w:p>
        </w:tc>
      </w:tr>
      <w:tr>
        <w:trPr>
          <w:trHeight w:val="189"/>
        </w:trPr>
        <w:tc>
          <w:tcPr>
            <w:tcW w:w="20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Noncash lease impairment expense</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5,565</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w:t>
            </w:r>
          </w:p>
        </w:tc>
      </w:tr>
      <w:tr>
        <w:trPr>
          <w:trHeight w:val="189"/>
        </w:trPr>
        <w:tc>
          <w:tcPr>
            <w:tcW w:w="200" w:type="dxa"/>
            <w:vAlign w:val="bottom"/>
          </w:tcPr>
          <w:p>
            <w:pPr>
              <w:spacing w:after="0"/>
              <w:rPr>
                <w:sz w:val="16"/>
                <w:szCs w:val="16"/>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ind w:left="180"/>
              <w:spacing w:after="0" w:line="189"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color w:val="auto"/>
                <w:vertAlign w:val="superscript"/>
              </w:rPr>
              <w:t>(1)</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9,590</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(1,088 )</w:t>
            </w:r>
          </w:p>
        </w:tc>
      </w:tr>
      <w:tr>
        <w:trPr>
          <w:trHeight w:val="189"/>
        </w:trPr>
        <w:tc>
          <w:tcPr>
            <w:tcW w:w="200" w:type="dxa"/>
            <w:vAlign w:val="bottom"/>
          </w:tcPr>
          <w:p>
            <w:pPr>
              <w:spacing w:after="0"/>
              <w:rPr>
                <w:sz w:val="16"/>
                <w:szCs w:val="16"/>
                <w:color w:val="auto"/>
              </w:rPr>
            </w:pPr>
          </w:p>
        </w:tc>
        <w:tc>
          <w:tcPr>
            <w:tcW w:w="7520" w:type="dxa"/>
            <w:vAlign w:val="bottom"/>
          </w:tcPr>
          <w:p>
            <w:pPr>
              <w:ind w:left="180"/>
              <w:spacing w:after="0"/>
              <w:rPr>
                <w:sz w:val="20"/>
                <w:szCs w:val="20"/>
                <w:color w:val="auto"/>
              </w:rPr>
            </w:pPr>
            <w:r>
              <w:rPr>
                <w:rFonts w:ascii="Arial" w:cs="Arial" w:eastAsia="Arial" w:hAnsi="Arial"/>
                <w:sz w:val="16"/>
                <w:szCs w:val="16"/>
                <w:color w:val="auto"/>
              </w:rPr>
              <w:t>Inventory and other deferred costs</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4,425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(1,934 )</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1,139</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3,748</w:t>
            </w:r>
          </w:p>
        </w:tc>
      </w:tr>
      <w:tr>
        <w:trPr>
          <w:trHeight w:val="189"/>
        </w:trPr>
        <w:tc>
          <w:tcPr>
            <w:tcW w:w="200" w:type="dxa"/>
            <w:vAlign w:val="bottom"/>
          </w:tcPr>
          <w:p>
            <w:pPr>
              <w:spacing w:after="0"/>
              <w:rPr>
                <w:sz w:val="16"/>
                <w:szCs w:val="16"/>
                <w:color w:val="auto"/>
              </w:rPr>
            </w:pPr>
          </w:p>
        </w:tc>
        <w:tc>
          <w:tcPr>
            <w:tcW w:w="7520" w:type="dxa"/>
            <w:vAlign w:val="bottom"/>
          </w:tcPr>
          <w:p>
            <w:pPr>
              <w:ind w:left="180"/>
              <w:spacing w:after="0" w:line="189"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(2)</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(8,924 )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5,178</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ind w:left="180"/>
              <w:spacing w:after="0" w:line="189" w:lineRule="exact"/>
              <w:rPr>
                <w:sz w:val="20"/>
                <w:szCs w:val="20"/>
                <w:color w:val="auto"/>
              </w:rPr>
            </w:pPr>
            <w:r>
              <w:rPr>
                <w:rFonts w:ascii="Arial" w:cs="Arial" w:eastAsia="Arial" w:hAnsi="Arial"/>
                <w:sz w:val="16"/>
                <w:szCs w:val="16"/>
                <w:color w:val="auto"/>
              </w:rPr>
              <w:t xml:space="preserve">Accrued and other current liabilities </w:t>
            </w:r>
            <w:r>
              <w:rPr>
                <w:rFonts w:ascii="Arial" w:cs="Arial" w:eastAsia="Arial" w:hAnsi="Arial"/>
                <w:sz w:val="21"/>
                <w:szCs w:val="21"/>
                <w:color w:val="auto"/>
                <w:vertAlign w:val="superscript"/>
              </w:rPr>
              <w:t>(2)</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(2,401 )</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742</w:t>
            </w:r>
          </w:p>
        </w:tc>
      </w:tr>
      <w:tr>
        <w:trPr>
          <w:trHeight w:val="189"/>
        </w:trPr>
        <w:tc>
          <w:tcPr>
            <w:tcW w:w="200" w:type="dxa"/>
            <w:vAlign w:val="bottom"/>
          </w:tcPr>
          <w:p>
            <w:pPr>
              <w:spacing w:after="0"/>
              <w:rPr>
                <w:sz w:val="16"/>
                <w:szCs w:val="16"/>
                <w:color w:val="auto"/>
              </w:rPr>
            </w:pPr>
          </w:p>
        </w:tc>
        <w:tc>
          <w:tcPr>
            <w:tcW w:w="7520" w:type="dxa"/>
            <w:vAlign w:val="bottom"/>
          </w:tcPr>
          <w:p>
            <w:pPr>
              <w:ind w:left="18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(4,116 )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5,952</w:t>
            </w:r>
          </w:p>
        </w:tc>
      </w:tr>
      <w:tr>
        <w:trPr>
          <w:trHeight w:val="189"/>
        </w:trPr>
        <w:tc>
          <w:tcPr>
            <w:tcW w:w="200" w:type="dxa"/>
            <w:vAlign w:val="bottom"/>
            <w:shd w:val="clear" w:color="auto" w:fill="CFF0FC"/>
          </w:tcPr>
          <w:p>
            <w:pPr>
              <w:spacing w:after="0"/>
              <w:rPr>
                <w:sz w:val="16"/>
                <w:szCs w:val="16"/>
                <w:color w:val="auto"/>
              </w:rPr>
            </w:pPr>
          </w:p>
        </w:tc>
        <w:tc>
          <w:tcPr>
            <w:tcW w:w="75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(3,505 )</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894</w:t>
            </w:r>
          </w:p>
        </w:tc>
      </w:tr>
      <w:tr>
        <w:trPr>
          <w:trHeight w:val="189"/>
        </w:trPr>
        <w:tc>
          <w:tcPr>
            <w:tcW w:w="200" w:type="dxa"/>
            <w:vAlign w:val="bottom"/>
          </w:tcPr>
          <w:p>
            <w:pPr>
              <w:spacing w:after="0"/>
              <w:rPr>
                <w:sz w:val="16"/>
                <w:szCs w:val="16"/>
                <w:color w:val="auto"/>
              </w:rPr>
            </w:pPr>
          </w:p>
        </w:tc>
        <w:tc>
          <w:tcPr>
            <w:tcW w:w="7520" w:type="dxa"/>
            <w:vAlign w:val="bottom"/>
          </w:tcPr>
          <w:p>
            <w:pPr>
              <w:ind w:left="180"/>
              <w:spacing w:after="0" w:line="189" w:lineRule="exact"/>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1,200</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183"/>
        </w:trPr>
        <w:tc>
          <w:tcPr>
            <w:tcW w:w="200" w:type="dxa"/>
            <w:vAlign w:val="bottom"/>
            <w:tcBorders>
              <w:bottom w:val="single" w:sz="8" w:color="CFF0FC"/>
            </w:tcBorders>
            <w:shd w:val="clear" w:color="auto" w:fill="CFF0FC"/>
          </w:tcPr>
          <w:p>
            <w:pPr>
              <w:spacing w:after="0"/>
              <w:rPr>
                <w:sz w:val="15"/>
                <w:szCs w:val="15"/>
                <w:color w:val="auto"/>
              </w:rPr>
            </w:pPr>
          </w:p>
        </w:tc>
        <w:tc>
          <w:tcPr>
            <w:tcW w:w="7520" w:type="dxa"/>
            <w:vAlign w:val="bottom"/>
            <w:tcBorders>
              <w:bottom w:val="single" w:sz="8" w:color="CFF0FC"/>
            </w:tcBorders>
            <w:shd w:val="clear" w:color="auto" w:fill="CFF0FC"/>
          </w:tcPr>
          <w:p>
            <w:pPr>
              <w:ind w:left="360"/>
              <w:spacing w:after="0" w:line="183" w:lineRule="exact"/>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(45,150 )</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(56,258 )</w:t>
            </w:r>
          </w:p>
        </w:tc>
      </w:tr>
      <w:tr>
        <w:trPr>
          <w:trHeight w:val="183"/>
        </w:trPr>
        <w:tc>
          <w:tcPr>
            <w:tcW w:w="77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Purchases of available-for-sale debt securities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(121,708 )</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(103,945 )</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Proceeds from maturities of available-for-sale debt securities</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88,000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127,955</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(1,603 )</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(10,911 )</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Proceeds from sales of property and equipment</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242</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200" w:type="dxa"/>
            <w:vAlign w:val="bottom"/>
            <w:tcBorders>
              <w:bottom w:val="single" w:sz="8" w:color="CFF0FC"/>
            </w:tcBorders>
            <w:shd w:val="clear" w:color="auto" w:fill="CFF0FC"/>
          </w:tcPr>
          <w:p>
            <w:pPr>
              <w:spacing w:after="0"/>
              <w:rPr>
                <w:sz w:val="15"/>
                <w:szCs w:val="15"/>
                <w:color w:val="auto"/>
              </w:rPr>
            </w:pPr>
          </w:p>
        </w:tc>
        <w:tc>
          <w:tcPr>
            <w:tcW w:w="7520" w:type="dxa"/>
            <w:vAlign w:val="bottom"/>
            <w:tcBorders>
              <w:bottom w:val="single" w:sz="8" w:color="CFF0FC"/>
            </w:tcBorders>
            <w:shd w:val="clear" w:color="auto" w:fill="CFF0FC"/>
          </w:tcPr>
          <w:p>
            <w:pPr>
              <w:ind w:left="36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(35,069 )</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13,099</w:t>
            </w:r>
          </w:p>
        </w:tc>
      </w:tr>
      <w:tr>
        <w:trPr>
          <w:trHeight w:val="183"/>
        </w:trPr>
        <w:tc>
          <w:tcPr>
            <w:tcW w:w="77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sales of common stock under ATM facility, net of commissions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30,079</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3,513</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Proceeds from issuance of Tempus Warrants</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6,000</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exercise of Tempus Warrants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18,438</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Proceeds from sale of common stock under Tempus Investment Agreement</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17,745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sale of common stock under Merck Investment Agreement</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Payment of costs related to Tempus and Merck Investment Agreements</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(1,230 )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Proceeds from loans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3,438</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Repayments of loans</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(1,130 )</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(3,264 )</w:t>
            </w:r>
          </w:p>
        </w:tc>
      </w:tr>
      <w:tr>
        <w:trPr>
          <w:trHeight w:val="18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equity incentive plans</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770</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1,344</w:t>
            </w:r>
          </w:p>
        </w:tc>
      </w:tr>
      <w:tr>
        <w:trPr>
          <w:trHeight w:val="183"/>
        </w:trPr>
        <w:tc>
          <w:tcPr>
            <w:tcW w:w="200" w:type="dxa"/>
            <w:vAlign w:val="bottom"/>
          </w:tcPr>
          <w:p>
            <w:pPr>
              <w:spacing w:after="0"/>
              <w:rPr>
                <w:sz w:val="15"/>
                <w:szCs w:val="15"/>
                <w:color w:val="auto"/>
              </w:rPr>
            </w:pPr>
          </w:p>
        </w:tc>
        <w:tc>
          <w:tcPr>
            <w:tcW w:w="752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114,672</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11,031</w:t>
            </w:r>
          </w:p>
        </w:tc>
      </w:tr>
      <w:tr>
        <w:trPr>
          <w:trHeight w:val="183"/>
        </w:trPr>
        <w:tc>
          <w:tcPr>
            <w:tcW w:w="77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Effect of exchange rates on cash, cash equivalents and restricted cash</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(22 )</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(16 )</w:t>
            </w: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6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34,431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(32,144 )</w:t>
            </w:r>
          </w:p>
        </w:tc>
      </w:tr>
      <w:tr>
        <w:trPr>
          <w:trHeight w:val="18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58,774</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90,918</w:t>
            </w:r>
          </w:p>
        </w:tc>
      </w:tr>
      <w:tr>
        <w:trPr>
          <w:trHeight w:val="183"/>
        </w:trPr>
        <w:tc>
          <w:tcPr>
            <w:tcW w:w="772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93,205</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58,774</w:t>
            </w:r>
          </w:p>
        </w:tc>
      </w:tr>
      <w:tr>
        <w:trPr>
          <w:trHeight w:val="20"/>
        </w:trPr>
        <w:tc>
          <w:tcPr>
            <w:tcW w:w="2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91,415</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56,984</w:t>
            </w:r>
          </w:p>
        </w:tc>
      </w:tr>
      <w:tr>
        <w:trPr>
          <w:trHeight w:val="18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Restricted cash, included in other long-term assets</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1,790</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1,790</w:t>
            </w:r>
          </w:p>
        </w:tc>
      </w:tr>
      <w:tr>
        <w:trPr>
          <w:trHeight w:val="183"/>
        </w:trPr>
        <w:tc>
          <w:tcPr>
            <w:tcW w:w="200" w:type="dxa"/>
            <w:vAlign w:val="bottom"/>
          </w:tcPr>
          <w:p>
            <w:pPr>
              <w:spacing w:after="0"/>
              <w:rPr>
                <w:sz w:val="15"/>
                <w:szCs w:val="15"/>
                <w:color w:val="auto"/>
              </w:rPr>
            </w:pPr>
          </w:p>
        </w:tc>
        <w:tc>
          <w:tcPr>
            <w:tcW w:w="7520" w:type="dxa"/>
            <w:vAlign w:val="bottom"/>
          </w:tcPr>
          <w:p>
            <w:pPr>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360" w:type="dxa"/>
            <w:vAlign w:val="bottom"/>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93,205</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color w:val="auto"/>
              </w:rPr>
              <w:t>58,774</w:t>
            </w:r>
          </w:p>
        </w:tc>
      </w:tr>
      <w:tr>
        <w:trPr>
          <w:trHeight w:val="20"/>
        </w:trPr>
        <w:tc>
          <w:tcPr>
            <w:tcW w:w="2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64</w:t>
            </w:r>
          </w:p>
        </w:tc>
      </w:tr>
      <w:tr>
        <w:trPr>
          <w:trHeight w:val="189"/>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w:t>
            </w:r>
          </w:p>
        </w:tc>
      </w:tr>
      <w:tr>
        <w:trPr>
          <w:trHeight w:val="289"/>
        </w:trPr>
        <w:tc>
          <w:tcPr>
            <w:tcW w:w="200" w:type="dxa"/>
            <w:vAlign w:val="bottom"/>
          </w:tcPr>
          <w:p>
            <w:pPr>
              <w:spacing w:after="0"/>
              <w:rPr>
                <w:sz w:val="20"/>
                <w:szCs w:val="20"/>
                <w:color w:val="auto"/>
              </w:rPr>
            </w:pPr>
            <w:r>
              <w:rPr>
                <w:rFonts w:ascii="Arial" w:cs="Arial" w:eastAsia="Arial" w:hAnsi="Arial"/>
                <w:sz w:val="14"/>
                <w:szCs w:val="14"/>
                <w:color w:val="auto"/>
              </w:rPr>
              <w:t>(1)</w:t>
            </w:r>
          </w:p>
        </w:tc>
        <w:tc>
          <w:tcPr>
            <w:tcW w:w="7520" w:type="dxa"/>
            <w:vAlign w:val="bottom"/>
          </w:tcPr>
          <w:p>
            <w:pPr>
              <w:ind w:left="60"/>
              <w:spacing w:after="0"/>
              <w:rPr>
                <w:sz w:val="20"/>
                <w:szCs w:val="20"/>
                <w:color w:val="auto"/>
              </w:rPr>
            </w:pPr>
            <w:r>
              <w:rPr>
                <w:rFonts w:ascii="Arial" w:cs="Arial" w:eastAsia="Arial" w:hAnsi="Arial"/>
                <w:sz w:val="14"/>
                <w:szCs w:val="14"/>
                <w:color w:val="auto"/>
              </w:rPr>
              <w:t>Includes a change in related party receivable of $2.0 million for the year ended December 31, 2024.</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7520" w:type="dxa"/>
            <w:vAlign w:val="bottom"/>
          </w:tcPr>
          <w:p>
            <w:pPr>
              <w:ind w:left="60"/>
              <w:spacing w:after="0"/>
              <w:rPr>
                <w:sz w:val="20"/>
                <w:szCs w:val="20"/>
                <w:color w:val="auto"/>
              </w:rPr>
            </w:pPr>
            <w:r>
              <w:rPr>
                <w:rFonts w:ascii="Arial" w:cs="Arial" w:eastAsia="Arial" w:hAnsi="Arial"/>
                <w:sz w:val="14"/>
                <w:szCs w:val="14"/>
                <w:color w:val="auto"/>
              </w:rPr>
              <w:t>Includes a change in related party payable and accruals of $0.7 million for the year ended December 31, 2024.</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90"/>
        </w:trPr>
        <w:tc>
          <w:tcPr>
            <w:tcW w:w="200" w:type="dxa"/>
            <w:vAlign w:val="bottom"/>
          </w:tcPr>
          <w:p>
            <w:pPr>
              <w:spacing w:after="0"/>
              <w:rPr>
                <w:sz w:val="24"/>
                <w:szCs w:val="24"/>
                <w:color w:val="auto"/>
              </w:rPr>
            </w:pPr>
          </w:p>
        </w:tc>
        <w:tc>
          <w:tcPr>
            <w:tcW w:w="7520" w:type="dxa"/>
            <w:vAlign w:val="bottom"/>
          </w:tcPr>
          <w:p>
            <w:pPr>
              <w:ind w:left="3740"/>
              <w:spacing w:after="0"/>
              <w:rPr>
                <w:sz w:val="20"/>
                <w:szCs w:val="20"/>
                <w:color w:val="auto"/>
              </w:rPr>
            </w:pPr>
            <w:r>
              <w:rPr>
                <w:rFonts w:ascii="Arial" w:cs="Arial" w:eastAsia="Arial" w:hAnsi="Arial"/>
                <w:sz w:val="16"/>
                <w:szCs w:val="16"/>
                <w:color w:val="auto"/>
              </w:rPr>
              <w:t>See notes to consolidated financial statements.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-4250055</wp:posOffset>
            </wp:positionV>
            <wp:extent cx="111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-3512820</wp:posOffset>
            </wp:positionV>
            <wp:extent cx="111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-2303780</wp:posOffset>
            </wp:positionV>
            <wp:extent cx="1117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-1806575</wp:posOffset>
            </wp:positionV>
            <wp:extent cx="1117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-1172210</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Personalis, Inc. (the "Company" or "Personalis") develops, markets, and sells advanced cancer genomic tests and services. The services are used by pharmaceutical companies for translational research, biomarker discovery, the development of personalized cancer therapies, and for clinical trials. The tests are used by physicians to detect residual or recurrent cancer in patients, monitor cancer response to therapy, and uncover insights for therapy selection. The Company also provides whole exome and whole genome sequencing services for other diagnostic companies and population sequencing initiatives. The principal markets for the Company’s tests and services are in the United States and Europe.</w:t>
      </w:r>
    </w:p>
    <w:p>
      <w:pPr>
        <w:spacing w:after="0" w:line="153"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is expanding its business model to offer genomic tests directly to cancer patients in a clinical setting. However, revenue generated from clinical customers was not significant for any periods presented in these consolidated financial statements.</w:t>
      </w:r>
    </w:p>
    <w:p>
      <w:pPr>
        <w:spacing w:after="0" w:line="11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During the first half of 2023, the Company terminated its operations in China and the Company completed the process of dissolving the Personalis (Shanghai) Ltd entity in February 2024. Refer to Note 9, Restructuring and Other Charges, for further information. The Company operates and manages its business as one reportable operating segment, which is providing advanced cancer genomic tests and services for precision oncology applications, personalized testing, and other tests.</w:t>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(“U.S. GAAP”) and the applicable rules and regulations of the Securities and Exchange Commission (“SEC”) regarding annual reporting. The consolidated financial statements include the accounts of Personalis, Inc. and its wholly owned subsidiaries, Personalis (UK) Ltd. and Personalis (Shanghai) Ltd. All intercompany balances and transactions have been eliminated in consolidation. Upon dissolution of Personalis (Shanghai) Ltd during the first quarter of 2024, an accumulated foreign currency translation adjustment of $0.2 million was reclassified from accumulated other comprehensive loss to net loss within 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At-the-Market Equity Offerings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December 2021, the Company entered into an At-the-Market ("ATM") Sales Agreement with BTIG, LLC (“BTIG”), as amended in December 2023 (the “Sales Agreement”), under which it was permitted to offer and sell its common stock from time to time through BTIG as its sales agent. BTIG agreed to use commercially reasonable efforts to sell the Company’s common stock from time to time, based upon instructions from the Company (including any price, time or size limits or other customary parameters or conditions the Company may impose). The Company agreed to pay BTIG a commission of up to 3% of the gross sales proceeds of any common stock sold through BTIG under the Sales Agreement. The Company was not obligated to make any sales of common stock under the Sales Agreement.</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issued and sold 6,660,731 and 1,935,214 shares of its common stock at a weighted-average price of $4.61 and $1.85 per share under the Sales Agreement and received $30.1 million and $3.5 million in proceeds, net of commissions, during 2024 and 2023, respectively.</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December 2024, the Company entered into an Amended and Restated At-the-Market Sales Agreement (the “Amended Sales Agreement”) with Piper Sandler &amp; Co. (“Piper”) and BTIG. The Amended Sales Agreement amends and restates the Sales Agreement with BTIG, previously entered into in December 2021, as amended in December 2023, to add Piper as a sales agent (Piper and BTIG,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together, the “Sales Agents”), among certain other changes. The Sales Agents have agreed to use commercially reasonable efforts to sell the Company’s common stock from time to time, based upon instructions from the Company (including any price, time or size limits or other customary parameters or conditions the Company may impose). The Company will pay the applicable Sales Agent a commission of up to 3% of the gross sales proceeds of any common stock sold through such Sales Agent under the Amended Sales Agreement. The Company is not obligated to make any sales of common stock under the Amended Sales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95" w:lineRule="exact"/>
        <w:rPr>
          <w:sz w:val="20"/>
          <w:szCs w:val="20"/>
          <w:color w:val="auto"/>
        </w:rPr>
      </w:pPr>
    </w:p>
    <w:p>
      <w:pPr>
        <w:jc w:val="both"/>
        <w:ind w:firstLine="749"/>
        <w:spacing w:after="0" w:line="204"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6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purchases various reagents and sequencing materials from sole-source suppliers. Any extended interruption in the supply of these materials could result in the Company’s inability to secure sufficient materials to conduct business and meet customer demand.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908"/>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4"/>
                <w:szCs w:val="14"/>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Accounts Receivable</w:t>
            </w:r>
          </w:p>
        </w:tc>
      </w:tr>
      <w:tr>
        <w:trPr>
          <w:trHeight w:val="156"/>
        </w:trPr>
        <w:tc>
          <w:tcPr>
            <w:tcW w:w="5620" w:type="dxa"/>
            <w:vAlign w:val="bottom"/>
          </w:tcPr>
          <w:p>
            <w:pPr>
              <w:spacing w:after="0"/>
              <w:rPr>
                <w:sz w:val="13"/>
                <w:szCs w:val="13"/>
                <w:color w:val="auto"/>
              </w:rPr>
            </w:pPr>
          </w:p>
        </w:tc>
        <w:tc>
          <w:tcPr>
            <w:tcW w:w="276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right="788"/>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155"/>
        </w:trPr>
        <w:tc>
          <w:tcPr>
            <w:tcW w:w="5620" w:type="dxa"/>
            <w:vAlign w:val="bottom"/>
          </w:tcPr>
          <w:p>
            <w:pPr>
              <w:spacing w:after="0"/>
              <w:rPr>
                <w:sz w:val="13"/>
                <w:szCs w:val="13"/>
                <w:color w:val="auto"/>
              </w:rPr>
            </w:pPr>
          </w:p>
        </w:tc>
        <w:tc>
          <w:tcPr>
            <w:tcW w:w="940" w:type="dxa"/>
            <w:vAlign w:val="bottom"/>
            <w:tcBorders>
              <w:bottom w:val="single" w:sz="8" w:color="auto"/>
            </w:tcBorders>
          </w:tcPr>
          <w:p>
            <w:pPr>
              <w:jc w:val="center"/>
              <w:ind w:left="262"/>
              <w:spacing w:after="0" w:line="155" w:lineRule="exact"/>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ind w:left="368"/>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5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Natera, Inc.</w:t>
            </w:r>
          </w:p>
        </w:tc>
        <w:tc>
          <w:tcPr>
            <w:tcW w:w="940" w:type="dxa"/>
            <w:vAlign w:val="bottom"/>
            <w:shd w:val="clear" w:color="auto" w:fill="CFF0FC"/>
          </w:tcPr>
          <w:p>
            <w:pPr>
              <w:jc w:val="center"/>
              <w:ind w:left="262"/>
              <w:spacing w:after="0" w:line="183" w:lineRule="exact"/>
              <w:rPr>
                <w:sz w:val="20"/>
                <w:szCs w:val="20"/>
                <w:color w:val="auto"/>
              </w:rPr>
            </w:pPr>
            <w:r>
              <w:rPr>
                <w:rFonts w:ascii="Arial" w:cs="Arial" w:eastAsia="Arial" w:hAnsi="Arial"/>
                <w:sz w:val="16"/>
                <w:szCs w:val="16"/>
                <w:color w:val="auto"/>
                <w:w w:val="99"/>
              </w:rPr>
              <w:t>30%</w:t>
            </w:r>
          </w:p>
        </w:tc>
        <w:tc>
          <w:tcPr>
            <w:tcW w:w="1820" w:type="dxa"/>
            <w:vAlign w:val="bottom"/>
            <w:gridSpan w:val="3"/>
            <w:shd w:val="clear" w:color="auto" w:fill="CFF0FC"/>
          </w:tcPr>
          <w:p>
            <w:pPr>
              <w:jc w:val="center"/>
              <w:ind w:left="421"/>
              <w:spacing w:after="0" w:line="183" w:lineRule="exact"/>
              <w:rPr>
                <w:sz w:val="20"/>
                <w:szCs w:val="20"/>
                <w:color w:val="auto"/>
              </w:rPr>
            </w:pPr>
            <w:r>
              <w:rPr>
                <w:rFonts w:ascii="Arial" w:cs="Arial" w:eastAsia="Arial" w:hAnsi="Arial"/>
                <w:sz w:val="16"/>
                <w:szCs w:val="16"/>
                <w:color w:val="auto"/>
                <w:w w:val="99"/>
              </w:rPr>
              <w:t>43%</w:t>
            </w:r>
          </w:p>
        </w:tc>
        <w:tc>
          <w:tcPr>
            <w:tcW w:w="980" w:type="dxa"/>
            <w:vAlign w:val="bottom"/>
            <w:gridSpan w:val="2"/>
            <w:shd w:val="clear" w:color="auto" w:fill="CFF0FC"/>
          </w:tcPr>
          <w:p>
            <w:pPr>
              <w:jc w:val="center"/>
              <w:ind w:left="499"/>
              <w:spacing w:after="0" w:line="183" w:lineRule="exact"/>
              <w:rPr>
                <w:sz w:val="20"/>
                <w:szCs w:val="20"/>
                <w:color w:val="auto"/>
              </w:rPr>
            </w:pPr>
            <w:r>
              <w:rPr>
                <w:rFonts w:ascii="Arial" w:cs="Arial" w:eastAsia="Arial" w:hAnsi="Arial"/>
                <w:sz w:val="16"/>
                <w:szCs w:val="16"/>
                <w:color w:val="auto"/>
                <w:w w:val="99"/>
              </w:rPr>
              <w:t>13%</w:t>
            </w:r>
          </w:p>
        </w:tc>
        <w:tc>
          <w:tcPr>
            <w:tcW w:w="1880" w:type="dxa"/>
            <w:vAlign w:val="bottom"/>
            <w:gridSpan w:val="3"/>
            <w:shd w:val="clear" w:color="auto" w:fill="CFF0FC"/>
          </w:tcPr>
          <w:p>
            <w:pPr>
              <w:jc w:val="center"/>
              <w:ind w:left="481"/>
              <w:spacing w:after="0" w:line="183" w:lineRule="exact"/>
              <w:rPr>
                <w:sz w:val="20"/>
                <w:szCs w:val="20"/>
                <w:color w:val="auto"/>
              </w:rPr>
            </w:pPr>
            <w:r>
              <w:rPr>
                <w:rFonts w:ascii="Arial" w:cs="Arial" w:eastAsia="Arial" w:hAnsi="Arial"/>
                <w:sz w:val="16"/>
                <w:szCs w:val="16"/>
                <w:color w:val="auto"/>
                <w:w w:val="99"/>
              </w:rPr>
              <w:t>36%</w:t>
            </w:r>
          </w:p>
        </w:tc>
      </w:tr>
      <w:tr>
        <w:trPr>
          <w:trHeight w:val="189"/>
        </w:trPr>
        <w:tc>
          <w:tcPr>
            <w:tcW w:w="5620" w:type="dxa"/>
            <w:vAlign w:val="bottom"/>
          </w:tcPr>
          <w:p>
            <w:pPr>
              <w:ind w:left="20"/>
              <w:spacing w:after="0"/>
              <w:rPr>
                <w:sz w:val="20"/>
                <w:szCs w:val="20"/>
                <w:color w:val="auto"/>
              </w:rPr>
            </w:pPr>
            <w:r>
              <w:rPr>
                <w:rFonts w:ascii="Arial" w:cs="Arial" w:eastAsia="Arial" w:hAnsi="Arial"/>
                <w:sz w:val="16"/>
                <w:szCs w:val="16"/>
                <w:color w:val="auto"/>
              </w:rPr>
              <w:t>VA MVP</w:t>
            </w:r>
          </w:p>
        </w:tc>
        <w:tc>
          <w:tcPr>
            <w:tcW w:w="940" w:type="dxa"/>
            <w:vAlign w:val="bottom"/>
          </w:tcPr>
          <w:p>
            <w:pPr>
              <w:jc w:val="center"/>
              <w:ind w:left="262"/>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center"/>
              <w:ind w:left="421"/>
              <w:spacing w:after="0"/>
              <w:rPr>
                <w:sz w:val="20"/>
                <w:szCs w:val="20"/>
                <w:color w:val="auto"/>
              </w:rPr>
            </w:pPr>
            <w:r>
              <w:rPr>
                <w:rFonts w:ascii="Arial" w:cs="Arial" w:eastAsia="Arial" w:hAnsi="Arial"/>
                <w:sz w:val="16"/>
                <w:szCs w:val="16"/>
                <w:color w:val="auto"/>
                <w:w w:val="99"/>
              </w:rPr>
              <w:t>13%</w:t>
            </w:r>
          </w:p>
        </w:tc>
        <w:tc>
          <w:tcPr>
            <w:tcW w:w="980" w:type="dxa"/>
            <w:vAlign w:val="bottom"/>
            <w:gridSpan w:val="2"/>
          </w:tcPr>
          <w:p>
            <w:pPr>
              <w:jc w:val="center"/>
              <w:ind w:left="479"/>
              <w:spacing w:after="0"/>
              <w:rPr>
                <w:sz w:val="20"/>
                <w:szCs w:val="20"/>
                <w:color w:val="auto"/>
              </w:rPr>
            </w:pPr>
            <w:r>
              <w:rPr>
                <w:rFonts w:ascii="Arial" w:cs="Arial" w:eastAsia="Arial" w:hAnsi="Arial"/>
                <w:sz w:val="16"/>
                <w:szCs w:val="16"/>
                <w:color w:val="auto"/>
                <w:w w:val="95"/>
              </w:rPr>
              <w:t>*</w:t>
            </w:r>
          </w:p>
        </w:tc>
        <w:tc>
          <w:tcPr>
            <w:tcW w:w="1880" w:type="dxa"/>
            <w:vAlign w:val="bottom"/>
            <w:gridSpan w:val="3"/>
          </w:tcPr>
          <w:p>
            <w:pPr>
              <w:jc w:val="center"/>
              <w:ind w:left="501"/>
              <w:spacing w:after="0"/>
              <w:rPr>
                <w:sz w:val="20"/>
                <w:szCs w:val="20"/>
                <w:color w:val="auto"/>
              </w:rPr>
            </w:pPr>
            <w:r>
              <w:rPr>
                <w:rFonts w:ascii="Arial" w:cs="Arial" w:eastAsia="Arial" w:hAnsi="Arial"/>
                <w:sz w:val="16"/>
                <w:szCs w:val="16"/>
                <w:color w:val="auto"/>
                <w:w w:val="95"/>
              </w:rPr>
              <w:t>*</w:t>
            </w: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Moderna, Inc.</w:t>
            </w:r>
          </w:p>
        </w:tc>
        <w:tc>
          <w:tcPr>
            <w:tcW w:w="940" w:type="dxa"/>
            <w:vAlign w:val="bottom"/>
            <w:shd w:val="clear" w:color="auto" w:fill="CFF0FC"/>
          </w:tcPr>
          <w:p>
            <w:pPr>
              <w:jc w:val="center"/>
              <w:ind w:left="262"/>
              <w:spacing w:after="0"/>
              <w:rPr>
                <w:sz w:val="20"/>
                <w:szCs w:val="20"/>
                <w:color w:val="auto"/>
              </w:rPr>
            </w:pPr>
            <w:r>
              <w:rPr>
                <w:rFonts w:ascii="Arial" w:cs="Arial" w:eastAsia="Arial" w:hAnsi="Arial"/>
                <w:sz w:val="16"/>
                <w:szCs w:val="16"/>
                <w:color w:val="auto"/>
                <w:w w:val="99"/>
              </w:rPr>
              <w:t>28%</w:t>
            </w:r>
          </w:p>
        </w:tc>
        <w:tc>
          <w:tcPr>
            <w:tcW w:w="1820" w:type="dxa"/>
            <w:vAlign w:val="bottom"/>
            <w:gridSpan w:val="3"/>
            <w:shd w:val="clear" w:color="auto" w:fill="CFF0FC"/>
          </w:tcPr>
          <w:p>
            <w:pPr>
              <w:jc w:val="center"/>
              <w:ind w:left="401"/>
              <w:spacing w:after="0"/>
              <w:rPr>
                <w:sz w:val="20"/>
                <w:szCs w:val="20"/>
                <w:color w:val="auto"/>
              </w:rPr>
            </w:pPr>
            <w:r>
              <w:rPr>
                <w:rFonts w:ascii="Arial" w:cs="Arial" w:eastAsia="Arial" w:hAnsi="Arial"/>
                <w:sz w:val="16"/>
                <w:szCs w:val="16"/>
                <w:color w:val="auto"/>
                <w:w w:val="95"/>
              </w:rPr>
              <w:t>*</w:t>
            </w:r>
          </w:p>
        </w:tc>
        <w:tc>
          <w:tcPr>
            <w:tcW w:w="980" w:type="dxa"/>
            <w:vAlign w:val="bottom"/>
            <w:gridSpan w:val="2"/>
            <w:shd w:val="clear" w:color="auto" w:fill="CFF0FC"/>
          </w:tcPr>
          <w:p>
            <w:pPr>
              <w:jc w:val="center"/>
              <w:ind w:left="479"/>
              <w:spacing w:after="0"/>
              <w:rPr>
                <w:sz w:val="20"/>
                <w:szCs w:val="20"/>
                <w:color w:val="auto"/>
              </w:rPr>
            </w:pPr>
            <w:r>
              <w:rPr>
                <w:rFonts w:ascii="Arial" w:cs="Arial" w:eastAsia="Arial" w:hAnsi="Arial"/>
                <w:sz w:val="16"/>
                <w:szCs w:val="16"/>
                <w:color w:val="auto"/>
                <w:w w:val="95"/>
              </w:rPr>
              <w:t>*</w:t>
            </w:r>
          </w:p>
        </w:tc>
        <w:tc>
          <w:tcPr>
            <w:tcW w:w="1880" w:type="dxa"/>
            <w:vAlign w:val="bottom"/>
            <w:gridSpan w:val="3"/>
            <w:shd w:val="clear" w:color="auto" w:fill="CFF0FC"/>
          </w:tcPr>
          <w:p>
            <w:pPr>
              <w:jc w:val="center"/>
              <w:ind w:left="501"/>
              <w:spacing w:after="0"/>
              <w:rPr>
                <w:sz w:val="20"/>
                <w:szCs w:val="20"/>
                <w:color w:val="auto"/>
              </w:rPr>
            </w:pPr>
            <w:r>
              <w:rPr>
                <w:rFonts w:ascii="Arial" w:cs="Arial" w:eastAsia="Arial" w:hAnsi="Arial"/>
                <w:sz w:val="16"/>
                <w:szCs w:val="16"/>
                <w:color w:val="auto"/>
                <w:w w:val="95"/>
              </w:rPr>
              <w:t>*</w:t>
            </w:r>
          </w:p>
        </w:tc>
      </w:tr>
      <w:tr>
        <w:trPr>
          <w:trHeight w:val="189"/>
        </w:trPr>
        <w:tc>
          <w:tcPr>
            <w:tcW w:w="5620" w:type="dxa"/>
            <w:vAlign w:val="bottom"/>
          </w:tcPr>
          <w:p>
            <w:pPr>
              <w:ind w:left="20"/>
              <w:spacing w:after="0"/>
              <w:rPr>
                <w:sz w:val="20"/>
                <w:szCs w:val="20"/>
                <w:color w:val="auto"/>
              </w:rPr>
            </w:pPr>
            <w:r>
              <w:rPr>
                <w:rFonts w:ascii="Arial" w:cs="Arial" w:eastAsia="Arial" w:hAnsi="Arial"/>
                <w:sz w:val="16"/>
                <w:szCs w:val="16"/>
                <w:color w:val="auto"/>
              </w:rPr>
              <w:t>Merck &amp; Co., Inc.</w:t>
            </w:r>
          </w:p>
        </w:tc>
        <w:tc>
          <w:tcPr>
            <w:tcW w:w="940" w:type="dxa"/>
            <w:vAlign w:val="bottom"/>
          </w:tcPr>
          <w:p>
            <w:pPr>
              <w:jc w:val="center"/>
              <w:ind w:left="262"/>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center"/>
              <w:ind w:left="401"/>
              <w:spacing w:after="0"/>
              <w:rPr>
                <w:sz w:val="20"/>
                <w:szCs w:val="20"/>
                <w:color w:val="auto"/>
              </w:rPr>
            </w:pPr>
            <w:r>
              <w:rPr>
                <w:rFonts w:ascii="Arial" w:cs="Arial" w:eastAsia="Arial" w:hAnsi="Arial"/>
                <w:sz w:val="16"/>
                <w:szCs w:val="16"/>
                <w:color w:val="auto"/>
                <w:w w:val="95"/>
              </w:rPr>
              <w:t>*</w:t>
            </w:r>
          </w:p>
        </w:tc>
        <w:tc>
          <w:tcPr>
            <w:tcW w:w="980" w:type="dxa"/>
            <w:vAlign w:val="bottom"/>
            <w:gridSpan w:val="2"/>
          </w:tcPr>
          <w:p>
            <w:pPr>
              <w:jc w:val="center"/>
              <w:ind w:left="499"/>
              <w:spacing w:after="0"/>
              <w:rPr>
                <w:sz w:val="20"/>
                <w:szCs w:val="20"/>
                <w:color w:val="auto"/>
              </w:rPr>
            </w:pPr>
            <w:r>
              <w:rPr>
                <w:rFonts w:ascii="Arial" w:cs="Arial" w:eastAsia="Arial" w:hAnsi="Arial"/>
                <w:sz w:val="16"/>
                <w:szCs w:val="16"/>
                <w:color w:val="auto"/>
                <w:w w:val="99"/>
              </w:rPr>
              <w:t>31%</w:t>
            </w:r>
          </w:p>
        </w:tc>
        <w:tc>
          <w:tcPr>
            <w:tcW w:w="1880" w:type="dxa"/>
            <w:vAlign w:val="bottom"/>
            <w:gridSpan w:val="3"/>
          </w:tcPr>
          <w:p>
            <w:pPr>
              <w:jc w:val="center"/>
              <w:ind w:left="501"/>
              <w:spacing w:after="0"/>
              <w:rPr>
                <w:sz w:val="20"/>
                <w:szCs w:val="20"/>
                <w:color w:val="auto"/>
              </w:rPr>
            </w:pPr>
            <w:r>
              <w:rPr>
                <w:rFonts w:ascii="Arial" w:cs="Arial" w:eastAsia="Arial" w:hAnsi="Arial"/>
                <w:sz w:val="16"/>
                <w:szCs w:val="16"/>
                <w:color w:val="auto"/>
                <w:w w:val="95"/>
              </w:rPr>
              <w:t>*</w:t>
            </w: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Pfizer Inc.</w:t>
            </w:r>
          </w:p>
        </w:tc>
        <w:tc>
          <w:tcPr>
            <w:tcW w:w="940" w:type="dxa"/>
            <w:vAlign w:val="bottom"/>
            <w:shd w:val="clear" w:color="auto" w:fill="CFF0FC"/>
          </w:tcPr>
          <w:p>
            <w:pPr>
              <w:jc w:val="center"/>
              <w:ind w:left="262"/>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FF0FC"/>
          </w:tcPr>
          <w:p>
            <w:pPr>
              <w:jc w:val="center"/>
              <w:ind w:left="401"/>
              <w:spacing w:after="0"/>
              <w:rPr>
                <w:sz w:val="20"/>
                <w:szCs w:val="20"/>
                <w:color w:val="auto"/>
              </w:rPr>
            </w:pPr>
            <w:r>
              <w:rPr>
                <w:rFonts w:ascii="Arial" w:cs="Arial" w:eastAsia="Arial" w:hAnsi="Arial"/>
                <w:sz w:val="16"/>
                <w:szCs w:val="16"/>
                <w:color w:val="auto"/>
                <w:w w:val="95"/>
              </w:rPr>
              <w:t>*</w:t>
            </w:r>
          </w:p>
        </w:tc>
        <w:tc>
          <w:tcPr>
            <w:tcW w:w="980" w:type="dxa"/>
            <w:vAlign w:val="bottom"/>
            <w:gridSpan w:val="2"/>
            <w:shd w:val="clear" w:color="auto" w:fill="CFF0FC"/>
          </w:tcPr>
          <w:p>
            <w:pPr>
              <w:jc w:val="center"/>
              <w:ind w:left="499"/>
              <w:spacing w:after="0"/>
              <w:rPr>
                <w:sz w:val="20"/>
                <w:szCs w:val="20"/>
                <w:color w:val="auto"/>
              </w:rPr>
            </w:pPr>
            <w:r>
              <w:rPr>
                <w:rFonts w:ascii="Arial" w:cs="Arial" w:eastAsia="Arial" w:hAnsi="Arial"/>
                <w:sz w:val="16"/>
                <w:szCs w:val="16"/>
                <w:color w:val="auto"/>
                <w:w w:val="99"/>
              </w:rPr>
              <w:t>25%</w:t>
            </w:r>
          </w:p>
        </w:tc>
        <w:tc>
          <w:tcPr>
            <w:tcW w:w="1880" w:type="dxa"/>
            <w:vAlign w:val="bottom"/>
            <w:gridSpan w:val="3"/>
            <w:shd w:val="clear" w:color="auto" w:fill="CFF0FC"/>
          </w:tcPr>
          <w:p>
            <w:pPr>
              <w:jc w:val="center"/>
              <w:ind w:left="501"/>
              <w:spacing w:after="0"/>
              <w:rPr>
                <w:sz w:val="20"/>
                <w:szCs w:val="20"/>
                <w:color w:val="auto"/>
              </w:rPr>
            </w:pPr>
            <w:r>
              <w:rPr>
                <w:rFonts w:ascii="Arial" w:cs="Arial" w:eastAsia="Arial" w:hAnsi="Arial"/>
                <w:sz w:val="16"/>
                <w:szCs w:val="16"/>
                <w:color w:val="auto"/>
                <w:w w:val="95"/>
              </w:rPr>
              <w:t>*</w:t>
            </w: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Less than 10% of revenue or accounts receivable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The Company applies the revenue recognition guidance in accordance with Financial Accounting Standards Board (“FASB”)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Topic 606”).</w:t>
      </w:r>
    </w:p>
    <w:p>
      <w:pPr>
        <w:spacing w:after="0" w:line="12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derives revenue from the sale of genomic testing services. Contracts are in the form of a combination of signed agreements, statements of work, and/or purchase orders.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37"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genomic testing services are the only distinct services that meet the definition of a performance obligation and are accounted for as one performance obligation. Revenue is recognized at a point in time when test results are transferred to the customer. The Company has elected to exclude all sales and value added taxes from the measurement of the transaction price.</w:t>
      </w:r>
    </w:p>
    <w:p>
      <w:pPr>
        <w:spacing w:after="0" w:line="13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Standard payment terms are typically 90 days or less from the invoice date, but may vary. In instances where the timing of revenue recognition differs from the timing of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services and to provide payment protection for the Company.</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benefits, payroll taxes, and stock-based compensation); laboratory supplies and consumables; costs of processing samples for research, product development, collaborations, and studies; depreciation and maintenance on equipment; and allocated facilities and IT costs.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Company measures and recognizes compensation cost for all share-based awards, including stock options, restricted stock awards ("RSAs"), restricted stock unit awards ("RSUs"), performance stock awards ("PSAs") and employee stock purchases related to the Employee Stock Purchase Plan ("ESPP"). 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Grant-date fair value of awards is amortized over the employees’ requisite service period on a straight-line basis, or the non-employees’ vesting period as the goods are received or services rendered. Forfeitures are accounted for as they occur. The Company’s 2019 ESPP is deemed to be a compensatory plan and therefore is included in stock-based compensation expense.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Expected Term. The expected term is calculated using the simplified method, which is available if there is insufficient historical data about exercise 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3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Expected Volatility. The Company used an average historical stock price volatility of its own stock price as well as a peer group of publicly traded companies to be representative of its expected future stock price volatility, as sufficient trading history for the Company's common stock does not yet exist.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Risk-Free Interest Rate. The risk-free interest rate is based on the implied yield currently available on U.S. Treasury zero-coupon issues with remaining terms equivalent to the expected term of a stock award.</w:t>
      </w:r>
    </w:p>
    <w:p>
      <w:pPr>
        <w:spacing w:after="0" w:line="1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Expected Dividend Rate. The Company has not paid and does not anticipate paying any dividends in the near future. Accordingly, estimated dividend yield is zero.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considers the functional currencies of its foreign subsidiaries to be the local currency. Assets and liabilities recorded in foreign currencies are translated at the exchange rate as of the balance sheet date, and costs and expenses are translated at average exchange rates in effect during the period. Equity transactions are translated using historical exchange rates. The effects of foreign currency translation adjustments are recorded as a separate component of accumulated other comprehensive income (loss) in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79"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Comprehensive loss includes all changes in equity (net assets) during the period from nonowner sources. Comprehensive loss consists of net loss, cumulative translation adjustments, and unrealized gains or losses on available-for-sale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The Company uses the asset and liability method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("ASC Topic 740"), in accounting for income taxes. Deferred tax assets and liabilities are recognized for the estimated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expenses or benefits are the result of changes in the deferred tax assets and liabilities. Valuation allowances are established when necessary to reduce deferred tax assets where it is more likely than not that the deferred tax assets will not be realized.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ASC Topic 740 clarifies the accounting for uncertainty in income taxes recognized in the financial statements. ASC Topic 740 provides that a tax benefit from an uncertain tax position may be recognized when it is more likely than not that the position will be sustained upon audit, including resolutions of any related appeals or litigation processes, based on the technical merits of the position. ASC Topic 740 also provides guidance on measurement, derecognition, classification, interest and penalties, accounting in interim periods, disclosure, and transition.</w:t>
      </w:r>
    </w:p>
    <w:p>
      <w:pPr>
        <w:spacing w:after="0" w:line="13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recognizes interest and penalties related to unrecognized tax benefits within the income tax expense line in the consolidated statements of operations. Accrued interest and penalties are included within the related liability line in the consolidated balance sheets.</w:t>
      </w:r>
    </w:p>
    <w:p>
      <w:pPr>
        <w:spacing w:after="0" w:line="12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Undistributed earnings of foreign subsidiaries are assumed to be indefinitely reinvested and, accordingly, no U.S. income taxes have been provided thereon.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Cash equivalents consist of highly liquid investments with original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Treasury bills, which are marketable debt securities recorded at fair value and accounted for in the same manner as other marketable debt securities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Restricted cash includes cash pledged as collateral for a standby letter of credit related to a property lease. The letter of credit is required to be maintained throughout the term of the lease. If the date of availability or disbursement is less than one year, restricted cash is reported within prepaid expenses and other current assets on the consolidated balance sheets. If the date of availability or disbursement is longer than one year and the balances are maintained under an agreement that legally restricts the use of such funds, restricted cash is reported within other assets on the consolidated balance sheets. As of December 31, 2024, no amount has been drawn under the letter of credit. As of December 31, 2024 and 2023, the Company had restricted cash balances of $1.8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are also classified as short-term based on their highly liquid nature and because such marketable securities represent the investment of cash that is available for current operations. Short-term investments primarily consist of U.S. Treasury notes, U.S. Treasury bills, commercial paper, corporate debt securities, and U.S. government agency bonds.</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discount or premium arising at purchase is accreted or amortized to interest income or expense. Unrealized gains and losses are included within accumulated other comprehensive income (loss) in the consolidated statements of stockholders’ equity. Realized gains and losses are reported within other income (expense), net in the consolidated statements of operations. Accrued interest is excluded from both the fair value and amortized cost basis of debt securities and included in prepaid expenses and other current assets in the consolidated balance sheets. When securities are sold, any associated unrealized gain or loss initially recorded as a separate component of stockholders’ equity is reclassified out of stockholders’ equity on a specific-identification basis and recorded in earnings for the period. If an available-for-sale debt security's fair value is less than its amortized cost basis, the Company evaluates whether the decline is the result of a credit loss, in which case an impairment is recorded through an allowance for credit losses.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9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15"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15"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similar assets and liabilities in active markets.</w:t>
      </w:r>
    </w:p>
    <w:p>
      <w:pPr>
        <w:spacing w:after="0" w:line="20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3"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Observable inputs other than quoted prices that are used in the valuation of the assets or liabilities (e.g., interest rate and yield curve quotes at commonly quoted intervals).</w:t>
      </w:r>
    </w:p>
    <w:p>
      <w:pPr>
        <w:spacing w:after="0" w:line="115"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207"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 Certain of the Company’s financial instruments, including cash and cash equivalents, accounts payable, accrued expenses and other current liabilities are carried at cost, which approximates their fair value because of their short-term nature.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Trade accounts receivable are recorded at the invoiced amount and are noninterest bearing. The Company maintains an allowance for credit losses, consisting of known specific troubled accounts as well as an amount based on overall estimated potential uncollectible accounts receivable based on historical experience and review of their current credit quality. Expected credit losses are recorded as part of selling, general and administrative expenses in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Inventory consists of raw materials and supplies used to fulfill customer contracts and the Company's research and development activities, and is valued at the lower of cost or net realizable value. Cost is determined using actual costs, on a first-in, first-out basis. Other deferred costs relate to materials consumed and work performed on customer orders that have yet to be completed and recognized as revenue and cost of revenue. Other deferred costs are also comprised of direct labor and overhead costs incurred.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Property and equipment are recorded at cost, less accumulated depreciation and amortization, and are depreciated on a straight-line basis over the estimated useful lives of the related assets, which is generally three to five years for computer equipment, two years for software, three years for furniture and equipment, and five years for machinery and equipment. Leasehold improvements are amortized over the shorter of the lease term or the estimated useful life of the related asset. Upon retirement or sale, the cost and related accumulated depreciation and amortization are removed from the consolidated balance sheet, and the resulting gain or loss is reflected in the consolidated statements of operations. Maintenance and repairs that are not considered improvements and do not extend the useful lives of the assets are charged to expense as incurred.</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 xml:space="preserve">Construction-in-process assets consist primarily of laboratory equipment and computer equipment that have not yet been placed in service. These assets are stated at cost and are not depreciated. Once the assets are placed into service, assets are reclassified to the appropriate asset class based on their nature and depreciated in accordance with the useful lives above. </w:t>
      </w:r>
      <w:r>
        <w:rPr>
          <w:rFonts w:ascii="Arial" w:cs="Arial" w:eastAsia="Arial" w:hAnsi="Arial"/>
          <w:sz w:val="16"/>
          <w:szCs w:val="16"/>
          <w:color w:val="212529"/>
        </w:rPr>
        <w:t>The Company periodically assesses the useful lives of the assets to determine</w:t>
      </w:r>
      <w:r>
        <w:rPr>
          <w:rFonts w:ascii="Arial" w:cs="Arial" w:eastAsia="Arial" w:hAnsi="Arial"/>
          <w:sz w:val="16"/>
          <w:szCs w:val="16"/>
          <w:color w:val="auto"/>
        </w:rPr>
        <w:t xml:space="preserve"> </w:t>
      </w:r>
      <w:r>
        <w:rPr>
          <w:rFonts w:ascii="Arial" w:cs="Arial" w:eastAsia="Arial" w:hAnsi="Arial"/>
          <w:sz w:val="16"/>
          <w:szCs w:val="16"/>
          <w:color w:val="212529"/>
        </w:rPr>
        <w:t>whether events or circumstances may indicate that a revision to the useful life is warranted.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212529"/>
        </w:rPr>
        <w:t>The Company evaluates long-lived assets, including operating lease right-of-use assets, annually or whenever events or changes in circumstances indicate that the carrying amount of an asset may not be recoverable. If such events or circumstances arise, the Company will compare the carrying amount of the asset group comprising the long-lived assets to the estimated future undiscounted cash flows expected to be generated by the asset group. If the estimated aggregate undiscounted cash flows are less than the carrying amount of the asset group, an impairment charge is recorded as the amount by which the carrying amount of the asset group exceeds the fair value of the assets, as based on the expected discounted future cash flows attributable to those assets. Long-lived assets to be disposed of are reported at the lower of carrying amount or fair value less costs to sell. During the year ended December 31, 2023, the Company recorded a lease impairment charge of $5.6 million related to one of its right-of-use assets. Refer to Note 7, Leases, for more details. There were no impairments of long-lived assets during the years ended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ectPr>
          <w:pgSz w:w="11900" w:h="16838" w:orient="portrait"/>
          <w:cols w:equalWidth="0" w:num="1">
            <w:col w:w="11240"/>
          </w:cols>
          <w:pgMar w:left="320" w:top="778"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determines if an arrangement includes a lease at inception and categorizes leases with contractual terms longer than 12 months as either operating or finance leases. Finance leases are generally those leases that allow the Company to substantially utilize or pay for the entire asset over its estimated life. All other leases are categorized as operating leases. As of December 31, 2024, the Company had no finance leases.</w:t>
      </w:r>
    </w:p>
    <w:p>
      <w:pPr>
        <w:spacing w:after="0" w:line="144"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1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Lease liabilities are recognized at the present value of the fixed lease payments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At the lease commencement date, lease assets are recognized based on the initial present value of the fixed lease payments plus any direct costs from executing the leases and any lease prepayments.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4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Fixed lease payments are recognized as an expense on a straight-line basis over the lease term. Variable lease costs are amounts owed by the Company to a lessor that are not fixed, such as reimbursement for common area maintenance, operating expenses, utilities, or other costs that are subject to fluctuation from period to period. The Company has also elected to include expenses related to leases with a term of one month or less in the short-term lease cost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Liability</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Changes in fair value of liability classified warrants are recognized within other income (expense), net in the consolidated statements of operations. Warrant liabilities are classified as short-term or long-term based on their remaining contractual periods. Cash proceeds in connection with the issuance of warrants for the Company's common stock are presented as financing activities in the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Segments</w:t>
      </w:r>
    </w:p>
    <w:p>
      <w:pPr>
        <w:spacing w:after="0" w:line="19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212529"/>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("CEO"). The Company has determined that it operates in one operating and reportable segment, as the CODM reviews financial information presented on a consolidated basis for purposes of making operating decisions, allocating resources, and evaluating financial performance. See Note 11, Segment and Geographic Information,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Adopted</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 xml:space="preserve">In November 2023, the FASB issued ASU No.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("ASU 2023-07")</w:t>
      </w:r>
      <w:r>
        <w:rPr>
          <w:rFonts w:ascii="Arial" w:cs="Arial" w:eastAsia="Arial" w:hAnsi="Arial"/>
          <w:sz w:val="16"/>
          <w:szCs w:val="16"/>
          <w:color w:val="auto"/>
        </w:rPr>
        <w:t>, which requires an enhanced disclosure of significant segment expenses on an annual and interim basis. The Company adopted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retrospectively in fiscal year 2024.</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In December 2023, the FASB issued ASU No. 2023-09, </w:t>
      </w:r>
      <w:r>
        <w:rPr>
          <w:rFonts w:ascii="Arial" w:cs="Arial" w:eastAsia="Arial" w:hAnsi="Arial"/>
          <w:sz w:val="16"/>
          <w:szCs w:val="16"/>
          <w:i w:val="1"/>
          <w:iCs w:val="1"/>
          <w:color w:val="auto"/>
        </w:rPr>
        <w:t>Income Taxes (Topic 740): Improvements to Income Tax Disclosures ("ASU 2023-09")</w:t>
      </w:r>
      <w:r>
        <w:rPr>
          <w:rFonts w:ascii="Arial" w:cs="Arial" w:eastAsia="Arial" w:hAnsi="Arial"/>
          <w:sz w:val="16"/>
          <w:szCs w:val="16"/>
          <w:color w:val="auto"/>
        </w:rPr>
        <w:t>,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is currently evaluating the potential impact of adopting this new guidance on our consolidated financial statements and related disclosures.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 xml:space="preserve">In November 2024, the FASB issued ASU No. 2024-03, </w:t>
      </w:r>
      <w:r>
        <w:rPr>
          <w:rFonts w:ascii="Arial" w:cs="Arial" w:eastAsia="Arial" w:hAnsi="Arial"/>
          <w:sz w:val="16"/>
          <w:szCs w:val="16"/>
          <w:i w:val="1"/>
          <w:iCs w:val="1"/>
          <w:color w:val="auto"/>
        </w:rPr>
        <w:t>Income Statement–Reporting Comprehensive Income–Expense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 ("ASU 2024-03")</w:t>
      </w:r>
      <w:r>
        <w:rPr>
          <w:rFonts w:ascii="Arial" w:cs="Arial" w:eastAsia="Arial" w:hAnsi="Arial"/>
          <w:sz w:val="16"/>
          <w:szCs w:val="16"/>
          <w:color w:val="auto"/>
        </w:rPr>
        <w:t>, which requires</w:t>
      </w:r>
      <w:r>
        <w:rPr>
          <w:rFonts w:ascii="Arial" w:cs="Arial" w:eastAsia="Arial" w:hAnsi="Arial"/>
          <w:sz w:val="16"/>
          <w:szCs w:val="16"/>
          <w:i w:val="1"/>
          <w:iCs w:val="1"/>
          <w:color w:val="auto"/>
        </w:rPr>
        <w:t xml:space="preserve"> </w:t>
      </w:r>
      <w:r>
        <w:rPr>
          <w:rFonts w:ascii="Arial" w:cs="Arial" w:eastAsia="Arial" w:hAnsi="Arial"/>
          <w:sz w:val="16"/>
          <w:szCs w:val="16"/>
          <w:color w:val="080808"/>
        </w:rPr>
        <w:t>the disclosure of additional information</w:t>
      </w:r>
      <w:r>
        <w:rPr>
          <w:rFonts w:ascii="Arial" w:cs="Arial" w:eastAsia="Arial" w:hAnsi="Arial"/>
          <w:sz w:val="16"/>
          <w:szCs w:val="16"/>
          <w:i w:val="1"/>
          <w:iCs w:val="1"/>
          <w:color w:val="auto"/>
        </w:rPr>
        <w:t xml:space="preserve"> </w:t>
      </w:r>
      <w:r>
        <w:rPr>
          <w:rFonts w:ascii="Arial" w:cs="Arial" w:eastAsia="Arial" w:hAnsi="Arial"/>
          <w:sz w:val="16"/>
          <w:szCs w:val="16"/>
          <w:color w:val="080808"/>
        </w:rPr>
        <w:t xml:space="preserve">related to certain costs and expenses, including amounts of inventory purchases, employee compensation, and depreciation and amortization included in each income statement line item </w:t>
      </w:r>
      <w:r>
        <w:rPr>
          <w:rFonts w:ascii="Arial" w:cs="Arial" w:eastAsia="Arial" w:hAnsi="Arial"/>
          <w:sz w:val="16"/>
          <w:szCs w:val="16"/>
          <w:color w:val="000000"/>
        </w:rPr>
        <w:t>on an interim and annual basis. ASU 2024-03 also requires disclosure of the total amount of selling expenses and the</w:t>
      </w:r>
      <w:r>
        <w:rPr>
          <w:rFonts w:ascii="Arial" w:cs="Arial" w:eastAsia="Arial" w:hAnsi="Arial"/>
          <w:sz w:val="16"/>
          <w:szCs w:val="16"/>
          <w:color w:val="080808"/>
        </w:rPr>
        <w:t xml:space="preserve"> </w:t>
      </w:r>
      <w:r>
        <w:rPr>
          <w:rFonts w:ascii="Arial" w:cs="Arial" w:eastAsia="Arial" w:hAnsi="Arial"/>
          <w:sz w:val="16"/>
          <w:szCs w:val="16"/>
          <w:color w:val="000000"/>
        </w:rPr>
        <w:t>Company's definition of selling expenses. ASU 2024-03 is effective for annual reporting periods beginning after December 15, 2026, and interim reporting periods beginning after December 15, 2027, with early adoption permitted. Although the new standard requires comparative disclosures for all periods presented, entities will be permitted to begin applying the guidance prospectively. Therefore, comparative disclosures are not required for reporting periods beginning before the effective date. Entities can elect to apply the new standard retrospectively to any or all prior periods presented in the financial statements. The Company is currently evaluating the impact that adoption of ASU 2024-03 will have on its financial statement disclosures.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disaggregates revenue by the following five customer types:</w:t>
      </w:r>
    </w:p>
    <w:p>
      <w:pPr>
        <w:spacing w:after="0" w:line="181" w:lineRule="exact"/>
        <w:rPr>
          <w:sz w:val="20"/>
          <w:szCs w:val="20"/>
          <w:color w:val="auto"/>
        </w:rPr>
      </w:pPr>
    </w:p>
    <w:p>
      <w:pPr>
        <w:jc w:val="both"/>
        <w:ind w:left="1140" w:hanging="383"/>
        <w:spacing w:after="0" w:line="266" w:lineRule="auto"/>
        <w:tabs>
          <w:tab w:leader="none" w:pos="1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Pharma tests and services </w:t>
      </w:r>
      <w:r>
        <w:rPr>
          <w:rFonts w:ascii="Arial" w:cs="Arial" w:eastAsia="Arial" w:hAnsi="Arial"/>
          <w:sz w:val="16"/>
          <w:szCs w:val="16"/>
          <w:color w:val="auto"/>
        </w:rPr>
        <w:t>includes sales of testing services and data analytics for clinical trials and research to pharmaceutical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in support of their drug development programs. Contracts typically contemplate a single project and involve a range of tests and analytics to fulfill the requirements of each particular project.</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Enterprise sales </w:t>
      </w:r>
      <w:r>
        <w:rPr>
          <w:rFonts w:ascii="Arial" w:cs="Arial" w:eastAsia="Arial" w:hAnsi="Arial"/>
          <w:sz w:val="16"/>
          <w:szCs w:val="16"/>
          <w:color w:val="auto"/>
        </w:rPr>
        <w:t>includes sales of tumor profiling and diagnostic tests directly to another business as an input to their products.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typically contracted to deliver specified tests and analytics in high volume over time. Revenue from the Company's partnership with Natera to provide advanced tumor analysis for use in Natera's MRD test makes up substantially all of the revenue in this category.</w:t>
      </w:r>
    </w:p>
    <w:p>
      <w:pPr>
        <w:spacing w:after="0" w:line="143"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Population sequencing </w:t>
      </w:r>
      <w:r>
        <w:rPr>
          <w:rFonts w:ascii="Arial" w:cs="Arial" w:eastAsia="Arial" w:hAnsi="Arial"/>
          <w:sz w:val="16"/>
          <w:szCs w:val="16"/>
          <w:color w:val="auto"/>
        </w:rPr>
        <w:t>includes sales of genomic sequencing services and data analytics to support large-scale genetic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The Company is typically contracted to perform whole genome sequencing and provide data that can be used for analysis across a large volume of samples. All of the revenue within this category is from the Company's partnership with the VA MVP.</w:t>
      </w:r>
    </w:p>
    <w:p>
      <w:pPr>
        <w:spacing w:after="0" w:line="129" w:lineRule="exact"/>
        <w:rPr>
          <w:rFonts w:ascii="Times New Roman" w:cs="Times New Roman" w:eastAsia="Times New Roman" w:hAnsi="Times New Roman"/>
          <w:sz w:val="16"/>
          <w:szCs w:val="16"/>
          <w:color w:val="auto"/>
        </w:rPr>
      </w:pPr>
    </w:p>
    <w:p>
      <w:pPr>
        <w:jc w:val="both"/>
        <w:ind w:left="1140" w:hanging="383"/>
        <w:spacing w:after="0" w:line="266" w:lineRule="auto"/>
        <w:tabs>
          <w:tab w:leader="none" w:pos="1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Clinical diagnostic </w:t>
      </w:r>
      <w:r>
        <w:rPr>
          <w:rFonts w:ascii="Arial" w:cs="Arial" w:eastAsia="Arial" w:hAnsi="Arial"/>
          <w:sz w:val="16"/>
          <w:szCs w:val="16"/>
          <w:color w:val="auto"/>
        </w:rPr>
        <w:t>includes sales of ultra-sensitive, tumor-informed diagnostics tests, ordered by healthcare providers for cancer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can detect cancer recurrence earlier and aids in treatment decision-making. Revenue is derived from Medicare and private insurance reimbursements.</w:t>
      </w:r>
    </w:p>
    <w:p>
      <w:pPr>
        <w:spacing w:after="0" w:line="129" w:lineRule="exact"/>
        <w:rPr>
          <w:rFonts w:ascii="Times New Roman" w:cs="Times New Roman" w:eastAsia="Times New Roman" w:hAnsi="Times New Roman"/>
          <w:sz w:val="16"/>
          <w:szCs w:val="16"/>
          <w:color w:val="auto"/>
        </w:rPr>
      </w:pPr>
    </w:p>
    <w:p>
      <w:pPr>
        <w:ind w:left="1140" w:hanging="383"/>
        <w:spacing w:after="0" w:line="285" w:lineRule="auto"/>
        <w:tabs>
          <w:tab w:leader="none" w:pos="1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includes sales of genomic tests and analytics to universities and non-profits. Other also includes sales of diagnostics tests ordered by</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providers for cancer patients, which was insignificant for periods presented.</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Company's revenue disaggregated by customer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3"/>
                <w:szCs w:val="13"/>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Pharma tests and services </w:t>
            </w:r>
            <w:r>
              <w:rPr>
                <w:rFonts w:ascii="Arial" w:cs="Arial" w:eastAsia="Arial" w:hAnsi="Arial"/>
                <w:sz w:val="21"/>
                <w:szCs w:val="21"/>
                <w:color w:val="auto"/>
                <w:vertAlign w:val="superscript"/>
              </w:rPr>
              <w:t>(1)</w:t>
            </w:r>
          </w:p>
        </w:tc>
        <w:tc>
          <w:tcPr>
            <w:tcW w:w="980" w:type="dxa"/>
            <w:vAlign w:val="bottom"/>
            <w:shd w:val="clear" w:color="auto" w:fill="CFF0FC"/>
          </w:tcPr>
          <w:p>
            <w:pPr>
              <w:jc w:val="right"/>
              <w:ind w:right="804"/>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50,939</w:t>
            </w:r>
          </w:p>
        </w:tc>
        <w:tc>
          <w:tcPr>
            <w:tcW w:w="1160" w:type="dxa"/>
            <w:vAlign w:val="bottom"/>
            <w:gridSpan w:val="2"/>
            <w:shd w:val="clear" w:color="auto" w:fill="CFF0FC"/>
          </w:tcPr>
          <w:p>
            <w:pPr>
              <w:jc w:val="right"/>
              <w:ind w:right="828"/>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31,904</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Enterprise sales</w:t>
            </w:r>
          </w:p>
        </w:tc>
        <w:tc>
          <w:tcPr>
            <w:tcW w:w="98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25,364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31,729</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Population sequencing</w:t>
            </w: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7,430</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9,412</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Clinical diagnostic</w:t>
            </w:r>
          </w:p>
        </w:tc>
        <w:tc>
          <w:tcPr>
            <w:tcW w:w="98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759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38</w:t>
            </w: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w:t>
            </w:r>
          </w:p>
        </w:tc>
        <w:tc>
          <w:tcPr>
            <w:tcW w:w="1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398</w:t>
            </w:r>
          </w:p>
        </w:tc>
      </w:tr>
      <w:tr>
        <w:trPr>
          <w:trHeight w:val="183"/>
        </w:trPr>
        <w:tc>
          <w:tcPr>
            <w:tcW w:w="7720" w:type="dxa"/>
            <w:vAlign w:val="bottom"/>
          </w:tcPr>
          <w:p>
            <w:pPr>
              <w:ind w:left="20"/>
              <w:spacing w:after="0" w:line="169" w:lineRule="exact"/>
              <w:rPr>
                <w:sz w:val="20"/>
                <w:szCs w:val="20"/>
                <w:color w:val="auto"/>
              </w:rPr>
            </w:pPr>
            <w:r>
              <w:rPr>
                <w:rFonts w:ascii="Arial" w:cs="Arial" w:eastAsia="Arial" w:hAnsi="Arial"/>
                <w:sz w:val="16"/>
                <w:szCs w:val="16"/>
                <w:color w:val="auto"/>
              </w:rPr>
              <w:t>Total revenue</w:t>
            </w:r>
          </w:p>
        </w:tc>
        <w:tc>
          <w:tcPr>
            <w:tcW w:w="980" w:type="dxa"/>
            <w:vAlign w:val="bottom"/>
          </w:tcPr>
          <w:p>
            <w:pPr>
              <w:jc w:val="right"/>
              <w:ind w:right="804"/>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84,614</w:t>
            </w:r>
          </w:p>
        </w:tc>
        <w:tc>
          <w:tcPr>
            <w:tcW w:w="1160" w:type="dxa"/>
            <w:vAlign w:val="bottom"/>
            <w:gridSpan w:val="2"/>
          </w:tcPr>
          <w:p>
            <w:pPr>
              <w:jc w:val="right"/>
              <w:ind w:right="828"/>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line="169" w:lineRule="exact"/>
              <w:rPr>
                <w:sz w:val="20"/>
                <w:szCs w:val="20"/>
                <w:color w:val="auto"/>
              </w:rPr>
            </w:pPr>
            <w:r>
              <w:rPr>
                <w:rFonts w:ascii="Arial" w:cs="Arial" w:eastAsia="Arial" w:hAnsi="Arial"/>
                <w:sz w:val="16"/>
                <w:szCs w:val="16"/>
                <w:color w:val="auto"/>
              </w:rPr>
              <w:t>73,481</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Includes related party revenue of $2.0 million for the year ended December 31, 2024.</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opening and closing balances of receivables and contract liabilities from contracts with customers are shown below (in thousands). Contract assets were immaterial for all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Opening balances:</w:t>
            </w:r>
          </w:p>
        </w:tc>
        <w:tc>
          <w:tcPr>
            <w:tcW w:w="9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17,730</w:t>
            </w:r>
          </w:p>
        </w:tc>
        <w:tc>
          <w:tcPr>
            <w:tcW w:w="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16,642</w:t>
            </w:r>
          </w:p>
        </w:tc>
      </w:tr>
      <w:tr>
        <w:trPr>
          <w:trHeight w:val="189"/>
        </w:trPr>
        <w:tc>
          <w:tcPr>
            <w:tcW w:w="77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Short-term contract liabilities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3,288</w:t>
            </w:r>
          </w:p>
        </w:tc>
        <w:tc>
          <w:tcPr>
            <w:tcW w:w="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1,264</w:t>
            </w: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9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3,928</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183"/>
        </w:trPr>
        <w:tc>
          <w:tcPr>
            <w:tcW w:w="7720" w:type="dxa"/>
            <w:vAlign w:val="bottom"/>
          </w:tcPr>
          <w:p>
            <w:pPr>
              <w:ind w:left="380"/>
              <w:spacing w:after="0" w:line="183" w:lineRule="exact"/>
              <w:rPr>
                <w:sz w:val="20"/>
                <w:szCs w:val="20"/>
                <w:color w:val="auto"/>
              </w:rPr>
            </w:pPr>
            <w:r>
              <w:rPr>
                <w:rFonts w:ascii="Arial" w:cs="Arial" w:eastAsia="Arial" w:hAnsi="Arial"/>
                <w:sz w:val="16"/>
                <w:szCs w:val="16"/>
                <w:color w:val="auto"/>
              </w:rPr>
              <w:t>Total contract liabilities</w:t>
            </w:r>
          </w:p>
        </w:tc>
        <w:tc>
          <w:tcPr>
            <w:tcW w:w="980" w:type="dxa"/>
            <w:vAlign w:val="bottom"/>
          </w:tcPr>
          <w:p>
            <w:pPr>
              <w:spacing w:after="0"/>
              <w:rPr>
                <w:sz w:val="15"/>
                <w:szCs w:val="15"/>
                <w:color w:val="auto"/>
              </w:rPr>
            </w:pPr>
          </w:p>
        </w:tc>
        <w:tc>
          <w:tcPr>
            <w:tcW w:w="7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7,216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1,264</w:t>
            </w:r>
          </w:p>
        </w:tc>
      </w:tr>
      <w:tr>
        <w:trPr>
          <w:trHeight w:val="189"/>
        </w:trPr>
        <w:tc>
          <w:tcPr>
            <w:tcW w:w="77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Closing balances:</w:t>
            </w: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8,140</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17,730</w:t>
            </w:r>
          </w:p>
        </w:tc>
      </w:tr>
      <w:tr>
        <w:trPr>
          <w:trHeight w:val="189"/>
        </w:trPr>
        <w:tc>
          <w:tcPr>
            <w:tcW w:w="7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contract liabilities</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3,100</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3,288</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Long-term contract liabilities (included in other long-term liabilities)</w:t>
            </w: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3,928</w:t>
            </w:r>
          </w:p>
        </w:tc>
      </w:tr>
      <w:tr>
        <w:trPr>
          <w:trHeight w:val="182"/>
        </w:trPr>
        <w:tc>
          <w:tcPr>
            <w:tcW w:w="772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contract liabilities</w:t>
            </w:r>
          </w:p>
        </w:tc>
        <w:tc>
          <w:tcPr>
            <w:tcW w:w="98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3,100</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-976630</wp:posOffset>
            </wp:positionV>
            <wp:extent cx="1117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Amounts collected in advance of services being provided are deferred as contract liabilities in the consolidated balance sheets. The associated revenue is recognized, and the contract liability is reduced, as the services are subsequently performed. Remaining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Performance Obligations ("RPO") are comprised mainly of contract liabilities, and to a lesser extent, unbilled service revenue from non-cancellable contracts for which the Company has not invoiced and has an obligation to perform, and for which revenue has not yet been recognized in the financial statements. As of December 31, 2024, amounts related to unfulfilled services under contracts with an original expected duration of more than one year was $1.3 million. The Company expects to recognize the entire amount of $1.3 million in the next 12 months. Revenue recognized that was included in the contract liability balance at the beginning of each reporting period was $4.7 million and $0.4 million for the years ended December 31, 2024 and 2023,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Raw materials</w:t>
            </w:r>
          </w:p>
        </w:tc>
        <w:tc>
          <w:tcPr>
            <w:tcW w:w="960" w:type="dxa"/>
            <w:vAlign w:val="bottom"/>
            <w:shd w:val="clear" w:color="auto" w:fill="CFF0FC"/>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3,976</w:t>
            </w:r>
          </w:p>
        </w:tc>
        <w:tc>
          <w:tcPr>
            <w:tcW w:w="640" w:type="dxa"/>
            <w:vAlign w:val="bottom"/>
            <w:gridSpan w:val="2"/>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5,661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Other deferred costs</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1,963</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4,813</w:t>
            </w:r>
          </w:p>
        </w:tc>
      </w:tr>
      <w:tr>
        <w:trPr>
          <w:trHeight w:val="223"/>
        </w:trPr>
        <w:tc>
          <w:tcPr>
            <w:tcW w:w="7720" w:type="dxa"/>
            <w:vAlign w:val="bottom"/>
            <w:shd w:val="clear" w:color="auto" w:fill="CFF0FC"/>
          </w:tcPr>
          <w:p>
            <w:pPr>
              <w:ind w:left="200"/>
              <w:spacing w:after="0" w:line="169" w:lineRule="exact"/>
              <w:rPr>
                <w:sz w:val="20"/>
                <w:szCs w:val="20"/>
                <w:color w:val="auto"/>
              </w:rPr>
            </w:pPr>
            <w:r>
              <w:rPr>
                <w:rFonts w:ascii="Arial" w:cs="Arial" w:eastAsia="Arial" w:hAnsi="Arial"/>
                <w:sz w:val="16"/>
                <w:szCs w:val="16"/>
                <w:color w:val="auto"/>
              </w:rPr>
              <w:t>Total inventory and other deferred costs</w:t>
            </w:r>
          </w:p>
        </w:tc>
        <w:tc>
          <w:tcPr>
            <w:tcW w:w="960" w:type="dxa"/>
            <w:vAlign w:val="bottom"/>
            <w:shd w:val="clear" w:color="auto" w:fill="CFF0FC"/>
          </w:tcPr>
          <w:p>
            <w:pPr>
              <w:jc w:val="right"/>
              <w:ind w:right="782"/>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5,939</w:t>
            </w:r>
          </w:p>
        </w:tc>
        <w:tc>
          <w:tcPr>
            <w:tcW w:w="640" w:type="dxa"/>
            <w:vAlign w:val="bottom"/>
            <w:gridSpan w:val="2"/>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10,474</w:t>
            </w:r>
          </w:p>
        </w:tc>
      </w:tr>
      <w:tr>
        <w:trPr>
          <w:trHeight w:val="357"/>
        </w:trPr>
        <w:tc>
          <w:tcPr>
            <w:tcW w:w="7720" w:type="dxa"/>
            <w:vAlign w:val="bottom"/>
            <w:tcBorders>
              <w:top w:val="single" w:sz="8" w:color="CFF0FC"/>
            </w:tcBorders>
          </w:tcPr>
          <w:p>
            <w:pPr>
              <w:ind w:left="760"/>
              <w:spacing w:after="0"/>
              <w:rPr>
                <w:sz w:val="20"/>
                <w:szCs w:val="20"/>
                <w:color w:val="auto"/>
              </w:rPr>
            </w:pPr>
            <w:r>
              <w:rPr>
                <w:rFonts w:ascii="Arial" w:cs="Arial" w:eastAsia="Arial" w:hAnsi="Arial"/>
                <w:sz w:val="16"/>
                <w:szCs w:val="16"/>
                <w:color w:val="auto"/>
              </w:rPr>
              <w:t>Property and equipment, net consists of the following (in thousands):</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340"/>
        </w:trPr>
        <w:tc>
          <w:tcPr>
            <w:tcW w:w="7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24"/>
                <w:szCs w:val="24"/>
                <w:color w:val="auto"/>
              </w:rPr>
            </w:pP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Machinery and equipment</w:t>
            </w:r>
          </w:p>
        </w:tc>
        <w:tc>
          <w:tcPr>
            <w:tcW w:w="960" w:type="dxa"/>
            <w:vAlign w:val="bottom"/>
            <w:shd w:val="clear" w:color="auto" w:fill="CFF0FC"/>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29,586</w:t>
            </w:r>
          </w:p>
        </w:tc>
        <w:tc>
          <w:tcPr>
            <w:tcW w:w="640" w:type="dxa"/>
            <w:vAlign w:val="bottom"/>
            <w:gridSpan w:val="2"/>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27,809</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Computer equipment</w:t>
            </w:r>
          </w:p>
        </w:tc>
        <w:tc>
          <w:tcPr>
            <w:tcW w:w="96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17,088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17,923</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Computer software</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2,985</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2,961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96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2,198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2,045</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Construction in progress</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899</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3,485</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41,556</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40,811</w:t>
            </w:r>
          </w:p>
        </w:tc>
      </w:tr>
      <w:tr>
        <w:trPr>
          <w:trHeight w:val="183"/>
        </w:trPr>
        <w:tc>
          <w:tcPr>
            <w:tcW w:w="772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94,312</w:t>
            </w: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95,034</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(46,038 )</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(37,668 )</w:t>
            </w:r>
          </w:p>
        </w:tc>
      </w:tr>
      <w:tr>
        <w:trPr>
          <w:trHeight w:val="223"/>
        </w:trPr>
        <w:tc>
          <w:tcPr>
            <w:tcW w:w="772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Property and equipment, net</w:t>
            </w:r>
          </w:p>
        </w:tc>
        <w:tc>
          <w:tcPr>
            <w:tcW w:w="960" w:type="dxa"/>
            <w:vAlign w:val="bottom"/>
            <w:tcBorders>
              <w:bottom w:val="single" w:sz="8" w:color="auto"/>
            </w:tcBorders>
            <w:shd w:val="clear" w:color="auto" w:fill="CFF0FC"/>
          </w:tcPr>
          <w:p>
            <w:pPr>
              <w:jc w:val="right"/>
              <w:ind w:right="782"/>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48,274</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57,366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-1722755</wp:posOffset>
            </wp:positionV>
            <wp:extent cx="1117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-1704975</wp:posOffset>
            </wp:positionV>
            <wp:extent cx="1117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Depreciation and amortization expense for the years ended December 31, 2024 and 2023 was $10.9 million and $11.3 million, respectively.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Accrued compensation</w:t>
            </w:r>
          </w:p>
        </w:tc>
        <w:tc>
          <w:tcPr>
            <w:tcW w:w="980" w:type="dxa"/>
            <w:vAlign w:val="bottom"/>
            <w:shd w:val="clear" w:color="auto" w:fill="CFF0FC"/>
          </w:tcPr>
          <w:p>
            <w:pPr>
              <w:jc w:val="right"/>
              <w:ind w:right="802"/>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8,544</w:t>
            </w:r>
          </w:p>
        </w:tc>
        <w:tc>
          <w:tcPr>
            <w:tcW w:w="640" w:type="dxa"/>
            <w:vAlign w:val="bottom"/>
            <w:gridSpan w:val="2"/>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12,816</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98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7,696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7,761</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Loans—current portion (Note 6)</w:t>
            </w: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1,669</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1,646</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Market Development Fees received from Tempus (Note 8)</w:t>
            </w:r>
          </w:p>
        </w:tc>
        <w:tc>
          <w:tcPr>
            <w:tcW w:w="98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1,400</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ESPP contributions</w:t>
            </w: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301</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1,407</w:t>
            </w:r>
          </w:p>
        </w:tc>
      </w:tr>
      <w:tr>
        <w:trPr>
          <w:trHeight w:val="223"/>
        </w:trPr>
        <w:tc>
          <w:tcPr>
            <w:tcW w:w="77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accrued and other current liabilities</w:t>
            </w:r>
          </w:p>
        </w:tc>
        <w:tc>
          <w:tcPr>
            <w:tcW w:w="980" w:type="dxa"/>
            <w:vAlign w:val="bottom"/>
            <w:tcBorders>
              <w:bottom w:val="single" w:sz="8" w:color="auto"/>
            </w:tcBorders>
            <w:shd w:val="clear" w:color="auto" w:fill="CFF0FC"/>
          </w:tcPr>
          <w:p>
            <w:pPr>
              <w:jc w:val="right"/>
              <w:ind w:right="802"/>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21,629</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23,941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tables show financial assets and liabilities measured at fair value on a recurring basis and the level of inputs used in such measurements as of December 31, 2024 and 2023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20"/>
              <w:spacing w:after="0" w:line="147"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Fair Value</w:t>
            </w: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183"/>
        </w:trPr>
        <w:tc>
          <w:tcPr>
            <w:tcW w:w="51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44,524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39,291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39,285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8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cash and cash equivalents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91,420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91,415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
        </w:trPr>
        <w:tc>
          <w:tcPr>
            <w:tcW w:w="5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518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short-term investments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93,567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93,594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r>
      <w:tr>
        <w:trPr>
          <w:trHeight w:val="183"/>
        </w:trPr>
        <w:tc>
          <w:tcPr>
            <w:tcW w:w="5180" w:type="dxa"/>
            <w:vAlign w:val="bottom"/>
          </w:tcPr>
          <w:p>
            <w:pPr>
              <w:ind w:left="560"/>
              <w:spacing w:after="0" w:line="169" w:lineRule="exact"/>
              <w:rPr>
                <w:sz w:val="20"/>
                <w:szCs w:val="20"/>
                <w:color w:val="auto"/>
              </w:rPr>
            </w:pPr>
            <w:r>
              <w:rPr>
                <w:rFonts w:ascii="Arial" w:cs="Arial" w:eastAsia="Arial" w:hAnsi="Arial"/>
                <w:sz w:val="16"/>
                <w:szCs w:val="16"/>
                <w:color w:val="auto"/>
              </w:rPr>
              <w:t>Total assets measured at fair value</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184,987</w:t>
            </w:r>
          </w:p>
        </w:tc>
        <w:tc>
          <w:tcPr>
            <w:tcW w:w="200" w:type="dxa"/>
            <w:vAlign w:val="bottom"/>
            <w:gridSpan w:val="2"/>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220" w:type="dxa"/>
            <w:vAlign w:val="bottom"/>
            <w:gridSpan w:val="2"/>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(13 )</w:t>
            </w:r>
          </w:p>
        </w:tc>
        <w:tc>
          <w:tcPr>
            <w:tcW w:w="10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185,009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2"/>
        </w:trPr>
        <w:tc>
          <w:tcPr>
            <w:tcW w:w="5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46"/>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20"/>
              <w:spacing w:after="0" w:line="147" w:lineRule="exact"/>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Fair Value</w:t>
            </w: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r>
      <w:tr>
        <w:trPr>
          <w:trHeight w:val="183"/>
        </w:trPr>
        <w:tc>
          <w:tcPr>
            <w:tcW w:w="51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r>
      <w:tr>
        <w:trPr>
          <w:trHeight w:val="189"/>
        </w:trPr>
        <w:tc>
          <w:tcPr>
            <w:tcW w:w="5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34,398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government securities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80" w:type="dxa"/>
            <w:vAlign w:val="bottom"/>
            <w:tcBorders>
              <w:top w:val="single" w:sz="8" w:color="CFF0FC"/>
            </w:tcBorders>
          </w:tcPr>
          <w:p>
            <w:pPr>
              <w:ind w:left="380"/>
              <w:spacing w:after="0" w:line="183" w:lineRule="exact"/>
              <w:rPr>
                <w:sz w:val="20"/>
                <w:szCs w:val="20"/>
                <w:color w:val="auto"/>
              </w:rPr>
            </w:pPr>
            <w:r>
              <w:rPr>
                <w:rFonts w:ascii="Arial" w:cs="Arial" w:eastAsia="Arial" w:hAnsi="Arial"/>
                <w:sz w:val="16"/>
                <w:szCs w:val="16"/>
                <w:color w:val="auto"/>
              </w:rPr>
              <w:t>Total cash and cash equivalents</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57,001</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(18 )</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56,984</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tcPr>
          <w:p>
            <w:pPr>
              <w:spacing w:after="0"/>
              <w:rPr>
                <w:sz w:val="15"/>
                <w:szCs w:val="15"/>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89"/>
        </w:trPr>
        <w:tc>
          <w:tcPr>
            <w:tcW w:w="5180" w:type="dxa"/>
            <w:vAlign w:val="bottom"/>
          </w:tcPr>
          <w:p>
            <w:pPr>
              <w:ind w:left="20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54,720</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183"/>
        </w:trPr>
        <w:tc>
          <w:tcPr>
            <w:tcW w:w="518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short-term investments</w:t>
            </w: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57,191</w:t>
            </w: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(3 )</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57,195</w:t>
            </w: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r>
      <w:tr>
        <w:trPr>
          <w:trHeight w:val="183"/>
        </w:trPr>
        <w:tc>
          <w:tcPr>
            <w:tcW w:w="5180" w:type="dxa"/>
            <w:vAlign w:val="bottom"/>
          </w:tcPr>
          <w:p>
            <w:pPr>
              <w:ind w:left="560"/>
              <w:spacing w:after="0" w:line="169" w:lineRule="exact"/>
              <w:rPr>
                <w:sz w:val="20"/>
                <w:szCs w:val="20"/>
                <w:color w:val="auto"/>
              </w:rPr>
            </w:pPr>
            <w:r>
              <w:rPr>
                <w:rFonts w:ascii="Arial" w:cs="Arial" w:eastAsia="Arial" w:hAnsi="Arial"/>
                <w:sz w:val="16"/>
                <w:szCs w:val="16"/>
                <w:color w:val="auto"/>
              </w:rPr>
              <w:t>Total assets measured at fair value</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114,192</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8</w:t>
            </w:r>
          </w:p>
        </w:tc>
        <w:tc>
          <w:tcPr>
            <w:tcW w:w="32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(21 )</w:t>
            </w:r>
          </w:p>
        </w:tc>
        <w:tc>
          <w:tcPr>
            <w:tcW w:w="10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114,179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-2331085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-2331085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-2331085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-2331085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-890905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-890905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-890905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-890905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-153670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-153670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-153670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-153670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amortized costs and fair value of marketable debt securities (excluding cash and money market funds), by contractual maturity, at December 31, 2024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4"/>
                <w:szCs w:val="14"/>
                <w:b w:val="1"/>
                <w:bCs w:val="1"/>
                <w:color w:val="auto"/>
              </w:rPr>
              <w:t>December 31, 2024</w:t>
            </w:r>
          </w:p>
        </w:tc>
      </w:tr>
      <w:tr>
        <w:trPr>
          <w:trHeight w:val="155"/>
        </w:trPr>
        <w:tc>
          <w:tcPr>
            <w:tcW w:w="7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03"/>
              <w:spacing w:after="0" w:line="155" w:lineRule="exact"/>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Fair Value</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Less than 1 year</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127,369</w:t>
            </w:r>
          </w:p>
        </w:tc>
        <w:tc>
          <w:tcPr>
            <w:tcW w:w="44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127,392</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1 to 5 years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11,942</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11,941</w:t>
            </w:r>
          </w:p>
        </w:tc>
      </w:tr>
      <w:tr>
        <w:trPr>
          <w:trHeight w:val="223"/>
        </w:trPr>
        <w:tc>
          <w:tcPr>
            <w:tcW w:w="77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6"/>
                <w:szCs w:val="16"/>
                <w:color w:val="auto"/>
              </w:rPr>
              <w:t>139,311</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139,333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No security has been in a continuous unrealized loss position for more than 12 months and the Company does not consider any of its marketable debt securities to be impaired.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Black-Scholes option-pricing model was used to estimate fair value of the warrants issued to Tempus at the date of issuance, November 28, 2023, and at each subsequent balance sheet date prior to their exercises in full in August 2024. Assumptions used are listed below, which are Level 3 fair value inputs. Expected term is equal to the remaining contractual periods of each of the two warrants. Expected volatility was based on the Company's actual historical volatility over the expected terms of the warrants. The risk-free interest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rate was based on the U.S. Treasury yield curve over the expected term of the warrants. Refer to Note 8, Related Party Transactions, for further information about the warrants issued to Tempus.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21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9140" w:type="dxa"/>
            <w:vAlign w:val="bottom"/>
            <w:vMerge w:val="restart"/>
          </w:tcPr>
          <w:p>
            <w:pPr>
              <w:ind w:left="20"/>
              <w:spacing w:after="0"/>
              <w:rPr>
                <w:sz w:val="20"/>
                <w:szCs w:val="20"/>
                <w:color w:val="auto"/>
              </w:rPr>
            </w:pPr>
            <w:r>
              <w:rPr>
                <w:rFonts w:ascii="Arial" w:cs="Arial" w:eastAsia="Arial" w:hAnsi="Arial"/>
                <w:sz w:val="16"/>
                <w:szCs w:val="16"/>
                <w:color w:val="auto"/>
              </w:rPr>
              <w:t>Expected term (in years)</w:t>
            </w:r>
          </w:p>
        </w:tc>
        <w:tc>
          <w:tcPr>
            <w:tcW w:w="210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2100" w:type="dxa"/>
            <w:vAlign w:val="bottom"/>
            <w:gridSpan w:val="2"/>
          </w:tcPr>
          <w:p>
            <w:pPr>
              <w:jc w:val="center"/>
              <w:ind w:right="39"/>
              <w:spacing w:after="0" w:line="183" w:lineRule="exact"/>
              <w:rPr>
                <w:sz w:val="20"/>
                <w:szCs w:val="20"/>
                <w:color w:val="auto"/>
              </w:rPr>
            </w:pPr>
            <w:r>
              <w:rPr>
                <w:rFonts w:ascii="Arial" w:cs="Arial" w:eastAsia="Arial" w:hAnsi="Arial"/>
                <w:sz w:val="16"/>
                <w:szCs w:val="16"/>
                <w:color w:val="auto"/>
              </w:rPr>
              <w:t>1.00 - 2.00</w:t>
            </w:r>
          </w:p>
        </w:tc>
        <w:tc>
          <w:tcPr>
            <w:tcW w:w="0" w:type="dxa"/>
            <w:vAlign w:val="bottom"/>
          </w:tcPr>
          <w:p>
            <w:pPr>
              <w:spacing w:after="0"/>
              <w:rPr>
                <w:sz w:val="1"/>
                <w:szCs w:val="1"/>
                <w:color w:val="auto"/>
              </w:rPr>
            </w:pPr>
          </w:p>
        </w:tc>
      </w:tr>
      <w:tr>
        <w:trPr>
          <w:trHeight w:val="189"/>
        </w:trPr>
        <w:tc>
          <w:tcPr>
            <w:tcW w:w="9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Volatility</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w:t>
            </w:r>
          </w:p>
        </w:tc>
        <w:tc>
          <w:tcPr>
            <w:tcW w:w="1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- 108.5%</w:t>
            </w:r>
          </w:p>
        </w:tc>
        <w:tc>
          <w:tcPr>
            <w:tcW w:w="0" w:type="dxa"/>
            <w:vAlign w:val="bottom"/>
          </w:tcPr>
          <w:p>
            <w:pPr>
              <w:spacing w:after="0"/>
              <w:rPr>
                <w:sz w:val="1"/>
                <w:szCs w:val="1"/>
                <w:color w:val="auto"/>
              </w:rPr>
            </w:pPr>
          </w:p>
        </w:tc>
      </w:tr>
      <w:tr>
        <w:trPr>
          <w:trHeight w:val="189"/>
        </w:trPr>
        <w:tc>
          <w:tcPr>
            <w:tcW w:w="91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6"/>
                <w:szCs w:val="16"/>
                <w:color w:val="auto"/>
              </w:rPr>
              <w:t>4.23</w:t>
            </w:r>
          </w:p>
        </w:tc>
        <w:tc>
          <w:tcPr>
            <w:tcW w:w="1240" w:type="dxa"/>
            <w:vAlign w:val="bottom"/>
          </w:tcPr>
          <w:p>
            <w:pPr>
              <w:ind w:left="20"/>
              <w:spacing w:after="0"/>
              <w:rPr>
                <w:sz w:val="20"/>
                <w:szCs w:val="20"/>
                <w:color w:val="auto"/>
              </w:rPr>
            </w:pPr>
            <w:r>
              <w:rPr>
                <w:rFonts w:ascii="Arial" w:cs="Arial" w:eastAsia="Arial" w:hAnsi="Arial"/>
                <w:sz w:val="16"/>
                <w:szCs w:val="16"/>
                <w:color w:val="auto"/>
              </w:rPr>
              <w:t>- 4.79%</w:t>
            </w:r>
          </w:p>
        </w:tc>
        <w:tc>
          <w:tcPr>
            <w:tcW w:w="0" w:type="dxa"/>
            <w:vAlign w:val="bottom"/>
          </w:tcPr>
          <w:p>
            <w:pPr>
              <w:spacing w:after="0"/>
              <w:rPr>
                <w:sz w:val="1"/>
                <w:szCs w:val="1"/>
                <w:color w:val="auto"/>
              </w:rPr>
            </w:pPr>
          </w:p>
        </w:tc>
      </w:tr>
      <w:tr>
        <w:trPr>
          <w:trHeight w:val="189"/>
        </w:trPr>
        <w:tc>
          <w:tcPr>
            <w:tcW w:w="9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 yield</w:t>
            </w:r>
          </w:p>
        </w:tc>
        <w:tc>
          <w:tcPr>
            <w:tcW w:w="860" w:type="dxa"/>
            <w:vAlign w:val="bottom"/>
            <w:shd w:val="clear" w:color="auto" w:fill="CFF0FC"/>
          </w:tcPr>
          <w:p>
            <w:pPr>
              <w:spacing w:after="0"/>
              <w:rPr>
                <w:sz w:val="16"/>
                <w:szCs w:val="16"/>
                <w:color w:val="auto"/>
              </w:rPr>
            </w:pPr>
          </w:p>
        </w:tc>
        <w:tc>
          <w:tcPr>
            <w:tcW w:w="1240" w:type="dxa"/>
            <w:vAlign w:val="bottom"/>
            <w:shd w:val="clear" w:color="auto" w:fill="CFF0FC"/>
          </w:tcPr>
          <w:p>
            <w:pPr>
              <w:jc w:val="center"/>
              <w:ind w:right="899"/>
              <w:spacing w:after="0"/>
              <w:rPr>
                <w:sz w:val="20"/>
                <w:szCs w:val="20"/>
                <w:color w:val="auto"/>
              </w:rPr>
            </w:pPr>
            <w:r>
              <w:rPr>
                <w:rFonts w:ascii="Arial" w:cs="Arial" w:eastAsia="Arial" w:hAnsi="Arial"/>
                <w:sz w:val="16"/>
                <w:szCs w:val="16"/>
                <w:color w:val="auto"/>
                <w:w w:val="94"/>
              </w:rPr>
              <w:t>–%</w:t>
            </w:r>
          </w:p>
        </w:tc>
        <w:tc>
          <w:tcPr>
            <w:tcW w:w="0" w:type="dxa"/>
            <w:vAlign w:val="bottom"/>
          </w:tcPr>
          <w:p>
            <w:pPr>
              <w:spacing w:after="0"/>
              <w:rPr>
                <w:sz w:val="1"/>
                <w:szCs w:val="1"/>
                <w:color w:val="auto"/>
              </w:rPr>
            </w:pPr>
          </w:p>
        </w:tc>
      </w:tr>
      <w:tr>
        <w:trPr>
          <w:trHeight w:val="215"/>
        </w:trPr>
        <w:tc>
          <w:tcPr>
            <w:tcW w:w="9140" w:type="dxa"/>
            <w:vAlign w:val="bottom"/>
          </w:tcPr>
          <w:p>
            <w:pPr>
              <w:ind w:left="20"/>
              <w:spacing w:after="0"/>
              <w:rPr>
                <w:sz w:val="20"/>
                <w:szCs w:val="20"/>
                <w:color w:val="auto"/>
              </w:rPr>
            </w:pPr>
            <w:r>
              <w:rPr>
                <w:rFonts w:ascii="Arial" w:cs="Arial" w:eastAsia="Arial" w:hAnsi="Arial"/>
                <w:sz w:val="16"/>
                <w:szCs w:val="16"/>
                <w:color w:val="auto"/>
              </w:rPr>
              <w:t>Total fair value of Tempus Warrants (in thousands)</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a summary of the changes in fair value of the Company's Level 3 financial instruments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Warrant Liabilities</w:t>
            </w:r>
          </w:p>
        </w:tc>
        <w:tc>
          <w:tcPr>
            <w:tcW w:w="28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vMerge w:val="continue"/>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Beginning balance</w:t>
            </w:r>
          </w:p>
        </w:tc>
        <w:tc>
          <w:tcPr>
            <w:tcW w:w="960" w:type="dxa"/>
            <w:vAlign w:val="bottom"/>
            <w:shd w:val="clear" w:color="auto" w:fill="CFF0FC"/>
          </w:tcPr>
          <w:p>
            <w:pPr>
              <w:jc w:val="right"/>
              <w:ind w:right="78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10,027</w:t>
            </w:r>
          </w:p>
        </w:tc>
        <w:tc>
          <w:tcPr>
            <w:tcW w:w="1160" w:type="dxa"/>
            <w:vAlign w:val="bottom"/>
            <w:gridSpan w:val="2"/>
            <w:shd w:val="clear" w:color="auto" w:fill="CFF0FC"/>
          </w:tcPr>
          <w:p>
            <w:pPr>
              <w:jc w:val="right"/>
              <w:ind w:right="825"/>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Initial fair value of warrant liabilities upon issuance</w:t>
            </w:r>
          </w:p>
        </w:tc>
        <w:tc>
          <w:tcPr>
            <w:tcW w:w="96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6,942</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Change in fair value—recognized as loss within Other income (expense), net in the consolidated</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statements of operations</w:t>
            </w: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18,274</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3,085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Derecognition of warrant liabilities due to exercise in full</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(28,301 )</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0"/>
              <w:spacing w:after="0" w:line="169" w:lineRule="exact"/>
              <w:rPr>
                <w:sz w:val="20"/>
                <w:szCs w:val="20"/>
                <w:color w:val="auto"/>
              </w:rPr>
            </w:pPr>
            <w:r>
              <w:rPr>
                <w:rFonts w:ascii="Arial" w:cs="Arial" w:eastAsia="Arial" w:hAnsi="Arial"/>
                <w:sz w:val="16"/>
                <w:szCs w:val="16"/>
                <w:color w:val="auto"/>
              </w:rPr>
              <w:t>Ending balance</w:t>
            </w:r>
          </w:p>
        </w:tc>
        <w:tc>
          <w:tcPr>
            <w:tcW w:w="960" w:type="dxa"/>
            <w:vAlign w:val="bottom"/>
            <w:shd w:val="clear" w:color="auto" w:fill="CFF0FC"/>
          </w:tcPr>
          <w:p>
            <w:pPr>
              <w:jc w:val="right"/>
              <w:ind w:right="783"/>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825"/>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10,027</w:t>
            </w:r>
          </w:p>
        </w:tc>
        <w:tc>
          <w:tcPr>
            <w:tcW w:w="0" w:type="dxa"/>
            <w:vAlign w:val="bottom"/>
          </w:tcPr>
          <w:p>
            <w:pPr>
              <w:spacing w:after="0"/>
              <w:rPr>
                <w:sz w:val="1"/>
                <w:szCs w:val="1"/>
                <w:color w:val="auto"/>
              </w:rPr>
            </w:pPr>
          </w:p>
        </w:tc>
      </w:tr>
      <w:tr>
        <w:trPr>
          <w:trHeight w:val="405"/>
        </w:trPr>
        <w:tc>
          <w:tcPr>
            <w:tcW w:w="772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Note 6. Loans</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720" w:type="dxa"/>
            <w:vAlign w:val="bottom"/>
          </w:tcPr>
          <w:p>
            <w:pPr>
              <w:ind w:left="760"/>
              <w:spacing w:after="0"/>
              <w:rPr>
                <w:sz w:val="20"/>
                <w:szCs w:val="20"/>
                <w:color w:val="auto"/>
              </w:rPr>
            </w:pPr>
            <w:r>
              <w:rPr>
                <w:rFonts w:ascii="Arial" w:cs="Arial" w:eastAsia="Arial" w:hAnsi="Arial"/>
                <w:sz w:val="16"/>
                <w:szCs w:val="16"/>
                <w:color w:val="auto"/>
              </w:rPr>
              <w:t>Amounts outstanding under loans are as follows (in thousands):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Principal</w:t>
            </w:r>
          </w:p>
        </w:tc>
        <w:tc>
          <w:tcPr>
            <w:tcW w:w="960" w:type="dxa"/>
            <w:vAlign w:val="bottom"/>
            <w:shd w:val="clear" w:color="auto" w:fill="CFF0FC"/>
          </w:tcPr>
          <w:p>
            <w:pPr>
              <w:jc w:val="right"/>
              <w:ind w:right="78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1,772</w:t>
            </w:r>
          </w:p>
        </w:tc>
        <w:tc>
          <w:tcPr>
            <w:tcW w:w="1160" w:type="dxa"/>
            <w:vAlign w:val="bottom"/>
            <w:gridSpan w:val="2"/>
            <w:shd w:val="clear" w:color="auto" w:fill="CFF0FC"/>
          </w:tcPr>
          <w:p>
            <w:pPr>
              <w:jc w:val="right"/>
              <w:ind w:right="825"/>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Less: unamortized discount</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carrying amount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1,772</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(1,669 )</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(1,646 )</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Long-term portion (included in other long-term liabilities)</w:t>
            </w:r>
          </w:p>
        </w:tc>
        <w:tc>
          <w:tcPr>
            <w:tcW w:w="960" w:type="dxa"/>
            <w:vAlign w:val="bottom"/>
            <w:tcBorders>
              <w:bottom w:val="single" w:sz="8" w:color="auto"/>
            </w:tcBorders>
            <w:shd w:val="clear" w:color="auto" w:fill="CFF0FC"/>
          </w:tcPr>
          <w:p>
            <w:pPr>
              <w:jc w:val="right"/>
              <w:ind w:right="783"/>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103</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5"/>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-1499870</wp:posOffset>
            </wp:positionV>
            <wp:extent cx="1117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-1482090</wp:posOffset>
            </wp:positionV>
            <wp:extent cx="1117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Loans</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April 2021, the Company entered into a secured payment agreement with a financing entity to finance the purchase of $2.4 million of internal use software licenses and related software maintenance from a vendor. The financing entity and vendor are not related. The Company repaid the financed amount in three equal payments of $0.8 million in May 2021, May 2022, and May 2023. The payment agreement was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an interest expense in the consolidated statements of operations over the life of the payment agreement.</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entered into two more secured payment agreements in April 2021 and July 2022, with the same financing entity, to finance the purchase of $3.1 million of computer hardware and related hardware maintenance and $1.3 million of internal use software licenses and related ongoing support, respectively. The Company repaid the financed amount in three equal payments of $1.0 million in July 2021, June 2022, and June 2023 for the first agreement, and two equal payments of $0.4 million in September 2022 and September 2023 for the second agreement. The third payment of $0.4 million for the second agreement, which was supposed to be paid in September 2024, was settled in January 2025. As of December 31, 2024, this amount was included in the accrued and other current liabilities in the consolidated balance sheets. The nature of these agreements and resulting accounting treatment are the same as the payment agreement described in the preceding paragraph, except the imputed interest rate was 9% for the July 2022 agreement.</w:t>
      </w:r>
    </w:p>
    <w:p>
      <w:pPr>
        <w:spacing w:after="0" w:line="14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total initial present value of the payment agreements was $6.4 million and presented as proceeds from loans in the financing activities section of the consolidated statements of cash flows. Such proceeds were used to purchase equipment, software, and related maintenance and are reflected as cash outflows in the investing and operating activities sections. Repayments of $2.2 million, comprised of $0.8 million related to April 2021 internal use software license agreement, $1.0 million related to April 2021 computer hardware agreement, and $0.4 million related to July 2022 internal use software license agreement, were presented as financing cash outflows during the year ended December 31, 2023 in the consolidated statements of cash flows. Imputed noncash interest expense was immaterial and $0.1 million for the year ended December 31, 2024 and 2023,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 Equipment Loan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November 2023, the Company purchased lab equipment from one of its main vendors for $3.4 million. Extended payment terms were provided to the Company through a financial solutions partner of the vendor. Terms included a 30% down payment and 24 equal monthly payments for the remaining balance, with such monthly payments commencing in January 2024 and the last payment due in January 2026,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w:t>
      </w:r>
    </w:p>
    <w:p>
      <w:pPr>
        <w:spacing w:after="0" w:line="15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The total financed amount of $3.4 million was presented as proceeds from loans in the financing activities section of the consolidated statements of cash flows during the year ended December 31, 2023. Such amounts were used to purchase lab equipment and are reflected as purchases of property and equipment in the investing activities section of the consolidated statements of cash flows during the year ended December 31, 2023. Repayments, including both the down payment and future monthly payments, were $1.0 million and $1.1 million during the years ended December 31, 2023 and 2024, respectively, are presented as financing cash outflows in the consolidated statements of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In 2021, the Company entered into a noncancelable operating lease for approximately 100,000 square feet in Fremont, California used for laboratory operations and its corporate headquarters. The lease term is 13.5 years and commenced in October 2022. The Company gained early access to the premises for the purpose of constructing and installing tenant improvements, for which the landlord contributed $15.1 million. Such contributions were accounted for as lease incentives and are recognized as reductions to lease expense over the lease term. The lease expires at the end of March 2036 and includes two options to extend the term for a period of five-years per option at market rates. The Company determined the extension options are not reasonably certain to be exercised. The lease includes escalating rent payments.</w:t>
      </w:r>
    </w:p>
    <w:p>
      <w:pPr>
        <w:spacing w:after="0" w:line="15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has a noncancelable operating lease expiring in November 2027 for 31,280 square feet in Menlo Park, California previously used for laboratory operations and its former corporate headquarters. The lease includes escalating rent payments. In 2021, the Company expanded the leased premises by an additional 14,710 square feet of space (the “Expansion Lease”). The Expansion Lease expired at the end of December 2022 and was not extended. The Company moved all laboratory operations to the Fremont facility during the third quarter of 2023 and recorded a $5.6 million impairment loss in its consolidated statements of operations during the year ended December 31, 2023 for operating lease right-of-use assets as a result of the change in use of the Menlo Park office as mentioned below. The Company is actively marketing the vacated Menlo Park space for sublease.</w:t>
      </w:r>
    </w:p>
    <w:p>
      <w:pPr>
        <w:spacing w:after="0" w:line="14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has noncancelable operating leases for data center space expiring between 2025 and 2026. The leases include renewal options that the Company determined are not reasonably certain to be exercised. During 2023, the data center operator agreed to terminate a portion of the lease at no cost. The Company remeasured the remaining lease liability and derecognized $0.6 million of operating lease liabilities and right-of-use assets.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had an operating lease for laboratory space in Shanghai, China that was terminated early upon both parties' approval during 2023. The early termination did not result in any material penalties or charges in the Company's consolidated statements of operations. Separately, the Company also has various other short-term leases.</w:t>
      </w:r>
    </w:p>
    <w:p>
      <w:pPr>
        <w:spacing w:after="0" w:line="144"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As of December 31, 2024 and 2023, operating leases had a weighted-average remaining lease term of 9.9 years and 10.4 years, respectively and a weighted-average discount rate of 10.6% and 10.5%, respectively. Discount rates are based on estimates of the Company's incremental borrowing rate, as the discount rates implicit in the leases cannot be readily determined. Future lease payments under operating leases as of December 31, 2024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2025</w:t>
            </w:r>
          </w:p>
        </w:tc>
        <w:tc>
          <w:tcPr>
            <w:tcW w:w="40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8,057</w:t>
            </w:r>
          </w:p>
        </w:tc>
      </w:tr>
      <w:tr>
        <w:trPr>
          <w:trHeight w:val="189"/>
        </w:trPr>
        <w:tc>
          <w:tcPr>
            <w:tcW w:w="9220" w:type="dxa"/>
            <w:vAlign w:val="bottom"/>
          </w:tcPr>
          <w:p>
            <w:pPr>
              <w:ind w:left="20"/>
              <w:spacing w:after="0"/>
              <w:rPr>
                <w:sz w:val="20"/>
                <w:szCs w:val="20"/>
                <w:color w:val="auto"/>
              </w:rPr>
            </w:pPr>
            <w:r>
              <w:rPr>
                <w:rFonts w:ascii="Arial" w:cs="Arial" w:eastAsia="Arial" w:hAnsi="Arial"/>
                <w:sz w:val="16"/>
                <w:szCs w:val="16"/>
                <w:color w:val="auto"/>
              </w:rPr>
              <w:t>2026</w:t>
            </w:r>
          </w:p>
        </w:tc>
        <w:tc>
          <w:tcPr>
            <w:tcW w:w="400" w:type="dxa"/>
            <w:vAlign w:val="bottom"/>
          </w:tcPr>
          <w:p>
            <w:pPr>
              <w:spacing w:after="0"/>
              <w:rPr>
                <w:sz w:val="16"/>
                <w:szCs w:val="16"/>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7,230</w:t>
            </w:r>
          </w:p>
        </w:tc>
      </w:tr>
      <w:tr>
        <w:trPr>
          <w:trHeight w:val="18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4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7,189</w:t>
            </w:r>
          </w:p>
        </w:tc>
      </w:tr>
      <w:tr>
        <w:trPr>
          <w:trHeight w:val="189"/>
        </w:trPr>
        <w:tc>
          <w:tcPr>
            <w:tcW w:w="9220" w:type="dxa"/>
            <w:vAlign w:val="bottom"/>
          </w:tcPr>
          <w:p>
            <w:pPr>
              <w:ind w:left="20"/>
              <w:spacing w:after="0"/>
              <w:rPr>
                <w:sz w:val="20"/>
                <w:szCs w:val="20"/>
                <w:color w:val="auto"/>
              </w:rPr>
            </w:pPr>
            <w:r>
              <w:rPr>
                <w:rFonts w:ascii="Arial" w:cs="Arial" w:eastAsia="Arial" w:hAnsi="Arial"/>
                <w:sz w:val="16"/>
                <w:szCs w:val="16"/>
                <w:color w:val="auto"/>
              </w:rPr>
              <w:t>2028</w:t>
            </w:r>
          </w:p>
        </w:tc>
        <w:tc>
          <w:tcPr>
            <w:tcW w:w="400" w:type="dxa"/>
            <w:vAlign w:val="bottom"/>
          </w:tcPr>
          <w:p>
            <w:pPr>
              <w:spacing w:after="0"/>
              <w:rPr>
                <w:sz w:val="16"/>
                <w:szCs w:val="16"/>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5,215</w:t>
            </w:r>
          </w:p>
        </w:tc>
      </w:tr>
      <w:tr>
        <w:trPr>
          <w:trHeight w:val="189"/>
        </w:trPr>
        <w:tc>
          <w:tcPr>
            <w:tcW w:w="9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4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5,371</w:t>
            </w:r>
          </w:p>
        </w:tc>
      </w:tr>
      <w:tr>
        <w:trPr>
          <w:trHeight w:val="189"/>
        </w:trPr>
        <w:tc>
          <w:tcPr>
            <w:tcW w:w="9220" w:type="dxa"/>
            <w:vAlign w:val="bottom"/>
          </w:tcPr>
          <w:p>
            <w:pPr>
              <w:ind w:left="20"/>
              <w:spacing w:after="0"/>
              <w:rPr>
                <w:sz w:val="20"/>
                <w:szCs w:val="20"/>
                <w:color w:val="auto"/>
              </w:rPr>
            </w:pPr>
            <w:r>
              <w:rPr>
                <w:rFonts w:ascii="Arial" w:cs="Arial" w:eastAsia="Arial" w:hAnsi="Arial"/>
                <w:sz w:val="16"/>
                <w:szCs w:val="16"/>
                <w:color w:val="auto"/>
              </w:rPr>
              <w:t>2030 and thereafter</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37,426</w:t>
            </w: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future minimum lease payments</w:t>
            </w:r>
          </w:p>
        </w:tc>
        <w:tc>
          <w:tcPr>
            <w:tcW w:w="40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70,488</w:t>
            </w:r>
          </w:p>
        </w:tc>
      </w:tr>
      <w:tr>
        <w:trPr>
          <w:trHeight w:val="189"/>
        </w:trPr>
        <w:tc>
          <w:tcPr>
            <w:tcW w:w="9220" w:type="dxa"/>
            <w:vAlign w:val="bottom"/>
          </w:tcPr>
          <w:p>
            <w:pPr>
              <w:ind w:left="200"/>
              <w:spacing w:after="0"/>
              <w:rPr>
                <w:sz w:val="20"/>
                <w:szCs w:val="20"/>
                <w:color w:val="auto"/>
              </w:rPr>
            </w:pPr>
            <w:r>
              <w:rPr>
                <w:rFonts w:ascii="Arial" w:cs="Arial" w:eastAsia="Arial" w:hAnsi="Arial"/>
                <w:sz w:val="16"/>
                <w:szCs w:val="16"/>
                <w:color w:val="auto"/>
              </w:rPr>
              <w:t>Less: imputed interest</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(27,910 )</w:t>
            </w:r>
          </w:p>
        </w:tc>
      </w:tr>
      <w:tr>
        <w:trPr>
          <w:trHeight w:val="183"/>
        </w:trPr>
        <w:tc>
          <w:tcPr>
            <w:tcW w:w="92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Present value of future minimum lease payments</w:t>
            </w:r>
          </w:p>
        </w:tc>
        <w:tc>
          <w:tcPr>
            <w:tcW w:w="40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42,578</w:t>
            </w:r>
          </w:p>
        </w:tc>
      </w:tr>
      <w:tr>
        <w:trPr>
          <w:trHeight w:val="189"/>
        </w:trPr>
        <w:tc>
          <w:tcPr>
            <w:tcW w:w="9220" w:type="dxa"/>
            <w:vAlign w:val="bottom"/>
          </w:tcPr>
          <w:p>
            <w:pPr>
              <w:ind w:left="200"/>
              <w:spacing w:after="0"/>
              <w:rPr>
                <w:sz w:val="20"/>
                <w:szCs w:val="20"/>
                <w:color w:val="auto"/>
              </w:rPr>
            </w:pPr>
            <w:r>
              <w:rPr>
                <w:rFonts w:ascii="Arial" w:cs="Arial" w:eastAsia="Arial" w:hAnsi="Arial"/>
                <w:sz w:val="16"/>
                <w:szCs w:val="16"/>
                <w:color w:val="auto"/>
              </w:rPr>
              <w:t>Less: current portion of operating lease liability (included in accrued and other current liabilities)</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(7,696 )</w:t>
            </w:r>
          </w:p>
        </w:tc>
      </w:tr>
      <w:tr>
        <w:trPr>
          <w:trHeight w:val="222"/>
        </w:trPr>
        <w:tc>
          <w:tcPr>
            <w:tcW w:w="92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Long-term operating lease liabilities</w:t>
            </w:r>
          </w:p>
        </w:tc>
        <w:tc>
          <w:tcPr>
            <w:tcW w:w="40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34,882</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consolidated statements of cash flows, for the years ended December 31, 2024 and 2023 was $8.1 million, and $6.0 million, respectively. Right-of-use assets obtained in exchange for new operating lease liabilities during the years ended December 31, 2024 and 2023 were zero and $1.3 million, respectively.</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Components of lease cost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1040" w:type="dxa"/>
            <w:vAlign w:val="bottom"/>
          </w:tcPr>
          <w:p>
            <w:pPr>
              <w:jc w:val="right"/>
              <w:ind w:right="24"/>
              <w:spacing w:after="0" w:line="155" w:lineRule="exact"/>
              <w:rPr>
                <w:sz w:val="20"/>
                <w:szCs w:val="20"/>
                <w:color w:val="auto"/>
              </w:rPr>
            </w:pPr>
            <w:r>
              <w:rPr>
                <w:rFonts w:ascii="Arial" w:cs="Arial" w:eastAsia="Arial" w:hAnsi="Arial"/>
                <w:sz w:val="14"/>
                <w:szCs w:val="14"/>
                <w:b w:val="1"/>
                <w:bCs w:val="1"/>
                <w:color w:val="auto"/>
              </w:rPr>
              <w:t>2024</w:t>
            </w:r>
          </w:p>
        </w:tc>
        <w:tc>
          <w:tcPr>
            <w:tcW w:w="640" w:type="dxa"/>
            <w:vAlign w:val="bottom"/>
          </w:tcPr>
          <w:p>
            <w:pPr>
              <w:spacing w:after="0"/>
              <w:rPr>
                <w:sz w:val="13"/>
                <w:szCs w:val="13"/>
                <w:color w:val="auto"/>
              </w:rPr>
            </w:pPr>
          </w:p>
        </w:tc>
        <w:tc>
          <w:tcPr>
            <w:tcW w:w="1200" w:type="dxa"/>
            <w:vAlign w:val="bottom"/>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3"/>
                <w:szCs w:val="13"/>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Lease cost</w:t>
            </w:r>
          </w:p>
        </w:tc>
        <w:tc>
          <w:tcPr>
            <w:tcW w:w="104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Operating lease cost</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6,028</w:t>
            </w:r>
          </w:p>
        </w:tc>
        <w:tc>
          <w:tcPr>
            <w:tcW w:w="120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6,793</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Short-term lease cost</w:t>
            </w: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198</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Variable lease cost</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2,027</w:t>
            </w:r>
          </w:p>
        </w:tc>
        <w:tc>
          <w:tcPr>
            <w:tcW w:w="1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1,828</w:t>
            </w:r>
          </w:p>
        </w:tc>
      </w:tr>
      <w:tr>
        <w:trPr>
          <w:trHeight w:val="223"/>
        </w:trPr>
        <w:tc>
          <w:tcPr>
            <w:tcW w:w="772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lease cost</w:t>
            </w:r>
          </w:p>
        </w:tc>
        <w:tc>
          <w:tcPr>
            <w:tcW w:w="1040" w:type="dxa"/>
            <w:vAlign w:val="bottom"/>
            <w:tcBorders>
              <w:bottom w:val="single" w:sz="8" w:color="auto"/>
            </w:tcBorders>
            <w:shd w:val="clear" w:color="auto" w:fill="CFF0FC"/>
          </w:tcPr>
          <w:p>
            <w:pPr>
              <w:jc w:val="right"/>
              <w:ind w:right="864"/>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8,254</w:t>
            </w: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8,819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Lease Impairment</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As mentioned above, the Company completed the move of its laboratory operations from its Menlo Park facility to its Fremont facility and began actively marketing the Menlo Park space for sublease during 2023. Accordingly, the Company evaluated the ongoing value of the operating lease right-of-use asset associated with the Menlo Park facility. Based on this evaluation, the Company determined that the right-of-use asset with a carrying amount of $6.7 million was no longer recoverable and was impaired and wrote it down to its estimated fair value of $1.1 million, which resulted in a noncash impairment loss of $5.6 million in its consolidated statements of operations during the year ended December 31, 2023. Estimated fair value was based on expected future sublease cash flows (with the assistance of a third-party real estate broker), net of brokerage commissions and estimated tenant incentives, discounted at a market rate of return on similar assets. The estimation of fair value also included expected downtime prior to the commencement of a future sublease.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Related Party Transactions</w:t>
      </w:r>
    </w:p>
    <w:p>
      <w:pPr>
        <w:spacing w:after="0" w:line="194"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6"/>
          <w:szCs w:val="16"/>
          <w:color w:val="auto"/>
        </w:rPr>
        <w:t>The Company determined that Tempus and Merck Sharp &amp; Dohme LLC ("Merck") are related parties because they own more than 10% of the Company's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Tempus</w:t>
      </w:r>
    </w:p>
    <w:p>
      <w:pPr>
        <w:spacing w:after="0" w:line="194"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Tempus acquired its ownership stake in August 2024 by exercising the Tempus Warrants and purchasing additional shares under the Investment Agreement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 of Tempus Agreement</w:t>
      </w:r>
    </w:p>
    <w:p>
      <w:pPr>
        <w:spacing w:after="0" w:line="17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November 2023, the Company entered into a Commercialization and Reference Laboratory Agreement (the “Tempus Agreement”) with Tempus pursuant to which Tempus markets the Company's NeXT Personal Dx test in the United States. The Company performs tests ordered by patients through Tempus and the Company bills the patients or payors. The Company compensates Tempus for orders obtained and results delivered on a per-test basis. The term of the Tempus Agreement is five years, which may be extended for successive one-year terms. Either party may terminate the Tempus Agreement for convenience upon 30 months' prior written notice.</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Under the Tempus Agreement, the Company conducted development activities to analytically validate NeXT Personal Dx in three indications: breast cancer, lung cancer and immuno-oncology monitoring. In consideration of the Company performing such development activities, Tempus agreed to pay the Company fees of $12.0 million (the "Market Development Fees"), consisting of an activation fee of $3.0 million, a first milestone fee of $3.0 million (upon achievement of one clinical validation), and a second milestone fee payable in six quarterly installments totaling $6.0 million (upon achievement of the two remaining clinical validations). If the Company does not achieve the second milestone by June 2024, Tempus may withhold installment payments, and Tempus will have the right to terminate the Tempus Agreement or convert it to a non-exclusive arrangement. Upon termination or conversion, the Company will refund to Tempus fees received other than the activation fee, subject to certain reductions. The Company has achieved all three clinical validations, thus both milestones have been met.</w:t>
      </w:r>
    </w:p>
    <w:p>
      <w:pPr>
        <w:spacing w:after="0" w:line="14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Separately, the parties are performing co-promotion activities and the Company is compensating Tempus for promotional and commercialization services through the end of 2026 in an amount up to $9.6 million.</w:t>
      </w:r>
    </w:p>
    <w:p>
      <w:pPr>
        <w:spacing w:after="0" w:line="11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Tempus Agreement also granted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 to 20 percent. Such revenue share shall be payable during the term of the agreement and for 10 years thereafter.</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Pursuant to the Tempus Agreement, the Company will not allow another third party to market the test in such indications and Tempus will not market another tumor-informed molecular residual disease test for use in such indications (whether its own or that of a third party), in each case subject to certain exceptions. These exclusivity obligations terminate on December 31, 2027, to the extent they</w:t>
      </w:r>
    </w:p>
    <w:p>
      <w:pPr>
        <w:sectPr>
          <w:pgSz w:w="11900" w:h="16838" w:orient="portrait"/>
          <w:cols w:equalWidth="0" w:num="1">
            <w:col w:w="11240"/>
          </w:cols>
          <w:pgMar w:left="320" w:top="778" w:right="3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3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do not expire earlier. In addition, each party has the right to convert the Tempus Agreement to a non-exclusive arrangement upon the occurrence of certain specified events.</w:t>
      </w:r>
    </w:p>
    <w:p>
      <w:pPr>
        <w:spacing w:after="0" w:line="129" w:lineRule="exact"/>
        <w:rPr>
          <w:sz w:val="20"/>
          <w:szCs w:val="20"/>
          <w:color w:val="auto"/>
        </w:rPr>
      </w:pPr>
    </w:p>
    <w:p>
      <w:pPr>
        <w:ind w:right="440" w:firstLine="749"/>
        <w:spacing w:after="0" w:line="286" w:lineRule="auto"/>
        <w:rPr>
          <w:sz w:val="20"/>
          <w:szCs w:val="20"/>
          <w:color w:val="auto"/>
        </w:rPr>
      </w:pPr>
      <w:r>
        <w:rPr>
          <w:rFonts w:ascii="Arial" w:cs="Arial" w:eastAsia="Arial" w:hAnsi="Arial"/>
          <w:sz w:val="16"/>
          <w:szCs w:val="16"/>
          <w:color w:val="auto"/>
        </w:rPr>
        <w:t>Additionally, as partial consideration of Tempus' obligations to the Company under the Tempus Agreement, the Company issued warrants to Tempus. See "Tempus Warrants" section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Tempus Warrants</w:t>
      </w:r>
    </w:p>
    <w:p>
      <w:pPr>
        <w:spacing w:after="0" w:line="17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consideration of Tempus’ obligations to Personalis under the Tempus Agreement, on November 28, 2023, the Company issued to Tempus (1) a warrant to purchase up to 4,609,400 shares of Personalis common stock at an exercise price per share of $1.50, with an expiration date of December 31, 2024 (the “First Warrant”), and (2) a warrant to purchase up to 4,609,400 shares of Personalis common stock at an exercise price per share of $2.50, with an expiration date of December 31, 2025 (the “Second Warrant” and, together with the First Warrant, the “Tempus Warrants”). The Tempus Warrants were exercisable for cash at any time prior to the applicable expiration date, may be net exercised in certain circumstances, and automatically net exercisable in connection with a change of control of Personalis if the value ascribed to the consideration to be paid for one share of common stock exceeds the applicable exercise price. If Tempus acquires any shares of common stock directly from the Company other than by exercising the Warrants (any such shares, “Non-Warrant Shares”), then the total number of shares issuable upon exercise of the Tempus Warrants will be reduced by the Non-Warrant Shares on a share-for-share basis, proportionally between the First Warrant and the Second Warrant based on how many shares are then underlying the Warrants. Subject to limited exceptions, neither the warrants nor any interest therein may be transferred or assigned without the prior written consent of Personalis.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Since the Tempus Warrants included a provision under which the total number of shares issuable upon settlement were subject to adjustment, the Tempus Warrants were classified as liability instruments while outstanding and subject to remeasurement at each balance sheet date, with changes in fair value recognized as other income (expense), net in the consolidated statements of operations. Fair value of the two warrants were estimated at the date of issuance, November 28, 2023, using the Black-Scholes option-pricing model. Since the initial fair value of $6.9 million exceeded the total proceeds from Tempus of $6.0 million, a loss of $0.9 million was immediately recognized within other income (expense), net. None of the remaining Market Development Fees of $6.0 million were allocated to the warrants as such proceeds are contingent upon the Company achieving additional clinical validation milestones. Fair values of the warrants were estimated using the Black-Scholes option-pricing model. See Note 5, Fair Value Measurements for discussion of inputs used in the measurements of the Tempus Warrants and the resulting noncash losses recognized in the consolidated statements of operations. After the issuance of warrants in November 2023, fair value of the Tempus Warrants increased by $3.1 million as of December 31, 2023. The increase in fair value, plus the immediate loss of $0.9 million recognized upon issuance, resulted in a $4.0 million expense recognized in other income (expense), net in the consolidated statements of operations during the year ended December 31, 2023. Prior to the exercise of Tempus Warrants in August 2024, the Company recognized a charge of $18.3 million due to the increase in fair value of Tempus Warrants, which was recorded in other income (expense), net in the consolidated statements of operations during the year ended December 31, 2024.</w:t>
      </w:r>
    </w:p>
    <w:p>
      <w:pPr>
        <w:spacing w:after="0" w:line="15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August 2024, concurrently with the execution of the Tempus Investment Agreement (described below), Tempus exercised in full the Tempus Warrants to purchase 9,218,800 shares of Personalis common stock for $18.4 million in cash, at an average exercise price of $2.00 per share, which is presented as financing cash flows in the consolidated statements of cash flows for the year ended December 31, 2024. The fair value of Tempus Warrants at the time of exercise was $28.3 million based on intrinsic value of Company's common stock at a per share price of $3.07, which is the difference between the last reported closing price of the common stock and its average exercise price at the time of exercise.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Tempus</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August 2024, the Company entered into an investment agreement (the "Tempus Investment Agreement") with Tempus under which the Company issued and sold 3,500,000 shares of common stock at a price per share of $5.07, representing the last reported closing price of the common stock. The Company received $17.7 million of cash from the sale of the shares and incurred $1.1 million of issuance costs directly related to the sale, which are presented as financing cash flows in the consolidated statements of cash flows for the year ended December 31, 2024.</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Tempus Agreement on the Financial Statements</w:t>
      </w:r>
    </w:p>
    <w:p>
      <w:pPr>
        <w:spacing w:after="0" w:line="179" w:lineRule="exact"/>
        <w:rPr>
          <w:sz w:val="20"/>
          <w:szCs w:val="20"/>
          <w:color w:val="auto"/>
        </w:rPr>
      </w:pPr>
    </w:p>
    <w:p>
      <w:pPr>
        <w:ind w:right="240" w:firstLine="749"/>
        <w:spacing w:after="0" w:line="259" w:lineRule="auto"/>
        <w:rPr>
          <w:sz w:val="20"/>
          <w:szCs w:val="20"/>
          <w:color w:val="auto"/>
        </w:rPr>
      </w:pPr>
      <w:r>
        <w:rPr>
          <w:rFonts w:ascii="Arial" w:cs="Arial" w:eastAsia="Arial" w:hAnsi="Arial"/>
          <w:sz w:val="16"/>
          <w:szCs w:val="16"/>
          <w:color w:val="auto"/>
        </w:rPr>
        <w:t>The Company had achieved the first clinical validation milestone at the time of entering the Tempus Agreement and was therefore entitled to Market Development Fees of $6.0 million, consisting of the first milestone fee of $3.0 million and the activation fee of $ 3.0 million. These proceeds of $6.0 million were received in 2023 and treated as consideration for the Tempus Warrants. These proceeds were presented as financing cash inflows in the consolidated statements of cash flows during the year ended December 31, 2023.</w:t>
      </w:r>
    </w:p>
    <w:p>
      <w:pPr>
        <w:spacing w:after="0" w:line="151" w:lineRule="exact"/>
        <w:rPr>
          <w:sz w:val="20"/>
          <w:szCs w:val="20"/>
          <w:color w:val="auto"/>
        </w:rPr>
      </w:pPr>
    </w:p>
    <w:p>
      <w:pPr>
        <w:ind w:right="300" w:firstLine="749"/>
        <w:spacing w:after="0" w:line="266" w:lineRule="auto"/>
        <w:rPr>
          <w:sz w:val="20"/>
          <w:szCs w:val="20"/>
          <w:color w:val="auto"/>
        </w:rPr>
      </w:pPr>
      <w:r>
        <w:rPr>
          <w:rFonts w:ascii="Arial" w:cs="Arial" w:eastAsia="Arial" w:hAnsi="Arial"/>
          <w:sz w:val="16"/>
          <w:szCs w:val="16"/>
          <w:color w:val="auto"/>
        </w:rPr>
        <w:t>The remainder of Market Development Fees—$6.0 million, payable in six quarterly installments—are recorded as a liability when received and offset against promotional fees as they are paid by the Company to Tempus. As of December 31, 2024, $3.0 million of such $6.0 million Market Development Fees have been received.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ind w:right="480" w:firstLine="749"/>
        <w:spacing w:after="0" w:line="286" w:lineRule="auto"/>
        <w:rPr>
          <w:sz w:val="20"/>
          <w:szCs w:val="20"/>
          <w:color w:val="auto"/>
        </w:rPr>
      </w:pPr>
      <w:r>
        <w:rPr>
          <w:rFonts w:ascii="Arial" w:cs="Arial" w:eastAsia="Arial" w:hAnsi="Arial"/>
          <w:sz w:val="16"/>
          <w:szCs w:val="16"/>
          <w:color w:val="auto"/>
        </w:rPr>
        <w:t>Amounts of transactions with Tempus during each income statement period presented, along with amounts due from or to Tempus as of the balance sheet date,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rPr>
              <w:t>Income Statement</w:t>
            </w:r>
          </w:p>
        </w:tc>
      </w:tr>
      <w:tr>
        <w:trPr>
          <w:trHeight w:val="146"/>
        </w:trPr>
        <w:tc>
          <w:tcPr>
            <w:tcW w:w="8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center"/>
              <w:ind w:right="383"/>
              <w:spacing w:after="0" w:line="147" w:lineRule="exact"/>
              <w:rPr>
                <w:sz w:val="20"/>
                <w:szCs w:val="20"/>
                <w:color w:val="auto"/>
              </w:rPr>
            </w:pPr>
            <w:r>
              <w:rPr>
                <w:rFonts w:ascii="Arial" w:cs="Arial" w:eastAsia="Arial" w:hAnsi="Arial"/>
                <w:sz w:val="14"/>
                <w:szCs w:val="14"/>
                <w:b w:val="1"/>
                <w:bCs w:val="1"/>
                <w:color w:val="auto"/>
              </w:rPr>
              <w:t>Year Ended</w:t>
            </w:r>
          </w:p>
        </w:tc>
      </w:tr>
      <w:tr>
        <w:trPr>
          <w:trHeight w:val="171"/>
        </w:trPr>
        <w:tc>
          <w:tcPr>
            <w:tcW w:w="8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8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Orders and results delivery fees and net promotional fees—Selling, general and administrative expenses</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218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498</w:t>
            </w: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Noncash loss from remeasurement of Tempus Warrants—Other income (expense), net</w:t>
            </w: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(18,274 )</w:t>
            </w:r>
          </w:p>
        </w:tc>
      </w:tr>
      <w:tr>
        <w:trPr>
          <w:trHeight w:val="366"/>
        </w:trPr>
        <w:tc>
          <w:tcPr>
            <w:tcW w:w="8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ind w:right="403"/>
              <w:spacing w:after="0"/>
              <w:rPr>
                <w:sz w:val="20"/>
                <w:szCs w:val="20"/>
                <w:color w:val="auto"/>
              </w:rPr>
            </w:pPr>
            <w:r>
              <w:rPr>
                <w:rFonts w:ascii="Arial" w:cs="Arial" w:eastAsia="Arial" w:hAnsi="Arial"/>
                <w:sz w:val="14"/>
                <w:szCs w:val="14"/>
                <w:b w:val="1"/>
                <w:bCs w:val="1"/>
                <w:color w:val="auto"/>
              </w:rPr>
              <w:t>Balance Sheet</w:t>
            </w:r>
          </w:p>
        </w:tc>
      </w:tr>
      <w:tr>
        <w:trPr>
          <w:trHeight w:val="196"/>
        </w:trPr>
        <w:tc>
          <w:tcPr>
            <w:tcW w:w="8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b w:val="1"/>
                <w:bCs w:val="1"/>
                <w:color w:val="auto"/>
              </w:rPr>
              <w:t>December 31, 2024</w:t>
            </w:r>
          </w:p>
        </w:tc>
      </w:tr>
      <w:tr>
        <w:trPr>
          <w:trHeight w:val="209"/>
        </w:trPr>
        <w:tc>
          <w:tcPr>
            <w:tcW w:w="8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and other current liabilities:</w:t>
            </w:r>
          </w:p>
        </w:tc>
        <w:tc>
          <w:tcPr>
            <w:tcW w:w="34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189"/>
        </w:trPr>
        <w:tc>
          <w:tcPr>
            <w:tcW w:w="8720" w:type="dxa"/>
            <w:vAlign w:val="bottom"/>
          </w:tcPr>
          <w:p>
            <w:pPr>
              <w:ind w:left="200"/>
              <w:spacing w:after="0"/>
              <w:rPr>
                <w:sz w:val="20"/>
                <w:szCs w:val="20"/>
                <w:color w:val="auto"/>
              </w:rPr>
            </w:pPr>
            <w:r>
              <w:rPr>
                <w:rFonts w:ascii="Arial" w:cs="Arial" w:eastAsia="Arial" w:hAnsi="Arial"/>
                <w:sz w:val="16"/>
                <w:szCs w:val="16"/>
                <w:color w:val="auto"/>
              </w:rPr>
              <w:t>Unamortized Market Development Fees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63"/>
              <w:spacing w:after="0"/>
              <w:rPr>
                <w:sz w:val="20"/>
                <w:szCs w:val="20"/>
                <w:color w:val="auto"/>
              </w:rPr>
            </w:pPr>
            <w:r>
              <w:rPr>
                <w:rFonts w:ascii="Arial" w:cs="Arial" w:eastAsia="Arial" w:hAnsi="Arial"/>
                <w:sz w:val="16"/>
                <w:szCs w:val="16"/>
                <w:color w:val="auto"/>
              </w:rPr>
              <w:t>1,400</w:t>
            </w:r>
          </w:p>
        </w:tc>
      </w:tr>
      <w:tr>
        <w:trPr>
          <w:trHeight w:val="189"/>
        </w:trPr>
        <w:tc>
          <w:tcPr>
            <w:tcW w:w="8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Accrued payable to Tempus</w:t>
            </w:r>
          </w:p>
        </w:tc>
        <w:tc>
          <w:tcPr>
            <w:tcW w:w="340" w:type="dxa"/>
            <w:vAlign w:val="bottom"/>
            <w:tcBorders>
              <w:bottom w:val="single" w:sz="8" w:color="auto"/>
            </w:tcBorders>
            <w:shd w:val="clear" w:color="auto" w:fill="CFF0FC"/>
          </w:tcPr>
          <w:p>
            <w:pPr>
              <w:spacing w:after="0"/>
              <w:rPr>
                <w:sz w:val="16"/>
                <w:szCs w:val="16"/>
                <w:color w:val="auto"/>
              </w:rPr>
            </w:pPr>
          </w:p>
        </w:tc>
        <w:tc>
          <w:tcPr>
            <w:tcW w:w="218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345</w:t>
            </w:r>
          </w:p>
        </w:tc>
      </w:tr>
      <w:tr>
        <w:trPr>
          <w:trHeight w:val="183"/>
        </w:trPr>
        <w:tc>
          <w:tcPr>
            <w:tcW w:w="8720" w:type="dxa"/>
            <w:vAlign w:val="bottom"/>
          </w:tcPr>
          <w:p>
            <w:pPr>
              <w:ind w:left="380"/>
              <w:spacing w:after="0" w:line="169" w:lineRule="exact"/>
              <w:rPr>
                <w:sz w:val="20"/>
                <w:szCs w:val="20"/>
                <w:color w:val="auto"/>
              </w:rPr>
            </w:pPr>
            <w:r>
              <w:rPr>
                <w:rFonts w:ascii="Arial" w:cs="Arial" w:eastAsia="Arial" w:hAnsi="Arial"/>
                <w:sz w:val="16"/>
                <w:szCs w:val="16"/>
                <w:color w:val="auto"/>
              </w:rPr>
              <w:t>Total accrued and other current liabilities</w:t>
            </w:r>
          </w:p>
        </w:tc>
        <w:tc>
          <w:tcPr>
            <w:tcW w:w="34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6"/>
                <w:szCs w:val="16"/>
                <w:color w:val="auto"/>
              </w:rPr>
              <w:t>1,745</w:t>
            </w:r>
          </w:p>
        </w:tc>
      </w:tr>
      <w:tr>
        <w:trPr>
          <w:trHeight w:val="20"/>
        </w:trPr>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96"/>
        </w:trPr>
        <w:tc>
          <w:tcPr>
            <w:tcW w:w="8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180" w:type="dxa"/>
            <w:vAlign w:val="bottom"/>
            <w:shd w:val="clear" w:color="auto" w:fill="CFF0FC"/>
          </w:tcPr>
          <w:p>
            <w:pPr>
              <w:spacing w:after="0"/>
              <w:rPr>
                <w:sz w:val="17"/>
                <w:szCs w:val="17"/>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9"/>
        </w:trPr>
        <w:tc>
          <w:tcPr>
            <w:tcW w:w="8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Unamortized Market Development Fees</w:t>
            </w: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1,200</w:t>
            </w:r>
          </w:p>
        </w:tc>
      </w:tr>
      <w:tr>
        <w:trPr>
          <w:trHeight w:val="183"/>
        </w:trPr>
        <w:tc>
          <w:tcPr>
            <w:tcW w:w="8720" w:type="dxa"/>
            <w:vAlign w:val="bottom"/>
          </w:tcPr>
          <w:p>
            <w:pPr>
              <w:ind w:left="380"/>
              <w:spacing w:after="0" w:line="169" w:lineRule="exact"/>
              <w:rPr>
                <w:sz w:val="20"/>
                <w:szCs w:val="20"/>
                <w:color w:val="auto"/>
              </w:rPr>
            </w:pPr>
            <w:r>
              <w:rPr>
                <w:rFonts w:ascii="Arial" w:cs="Arial" w:eastAsia="Arial" w:hAnsi="Arial"/>
                <w:sz w:val="16"/>
                <w:szCs w:val="16"/>
                <w:color w:val="auto"/>
              </w:rPr>
              <w:t>Total other long-term liabilities</w:t>
            </w:r>
          </w:p>
        </w:tc>
        <w:tc>
          <w:tcPr>
            <w:tcW w:w="34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6"/>
                <w:szCs w:val="16"/>
                <w:color w:val="auto"/>
              </w:rPr>
              <w:t>1,200</w:t>
            </w:r>
          </w:p>
        </w:tc>
      </w:tr>
      <w:tr>
        <w:trPr>
          <w:trHeight w:val="20"/>
        </w:trPr>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Merck Sharp &amp; Dohme LLC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Agreement with Merck</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December 19, 2024, the Company entered into an investment agreement (the "Merck Investment Agreement") with Merck under which the Company issued and sold 14,044,943 shares of common stock at a price per share of $3.56, representing the last reported closing price of the common stock. The Company received $50.0 million of cash from the sale of the shares and incurred $0.3 million of issuance costs directly related to the sale, which are presented as financing cash flows in the consolidated statements of cash flows for the year ended December 31, 2024. Pursuant to the terms of the Merck Investment Agreement, the Company agreed to reserve $10.0 million of the proceeds to open an ISO-certified laboratory in a region outside of the United States, with such region mutually agreed upon by the Company and Merck. This cash was not legally restricted under the Merck Investment Agreement and therefore included in cash and cash equivalents as of December 31, 2024.</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Before Merck became a related party in December 2024, the Company entered into a Master Service Agreement (the “Master Agreement”), in June 2017, as amended from time to time, with Merck for the performance of DNA and RNA sequencing analysis and data interpretation services, as well as synthesis and/or analysis of chemical compounds, genetic material and related samples for preclinical research purposes. In February 2024, the Company entered into an amendment whereby Merck engaged the Company to provide clinical laboratory services in connection with Merck's clinical studies.</w:t>
      </w:r>
    </w:p>
    <w:p>
      <w:pPr>
        <w:spacing w:after="0" w:line="137" w:lineRule="exact"/>
        <w:rPr>
          <w:sz w:val="20"/>
          <w:szCs w:val="20"/>
          <w:color w:val="auto"/>
        </w:rPr>
      </w:pPr>
    </w:p>
    <w:p>
      <w:pPr>
        <w:jc w:val="both"/>
        <w:ind w:right="20" w:firstLine="749"/>
        <w:spacing w:after="0" w:line="266" w:lineRule="auto"/>
        <w:rPr>
          <w:sz w:val="20"/>
          <w:szCs w:val="20"/>
          <w:color w:val="auto"/>
        </w:rPr>
      </w:pPr>
      <w:r>
        <w:rPr>
          <w:rFonts w:ascii="Arial" w:cs="Arial" w:eastAsia="Arial" w:hAnsi="Arial"/>
          <w:sz w:val="16"/>
          <w:szCs w:val="16"/>
          <w:color w:val="auto"/>
        </w:rPr>
        <w:t>After Merck became a related party in December 2024, the Company invoiced $2.0 million for genomic testing services, pursuant to the terms of the Master Agreement and recorded as revenue in its consolidated statement of operations. As of December 31, 2024, $2.5 million was outstanding as a receivable from Merck and included in accounts receivable in the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Restructuring and Other Charges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Costs related to the Company's reductions in workforce and closure of its China operations are included within Restructuring and Other Charges in the consolidated statements of operations. A reconciliation of the beginning and ending related liability balances, included within Accrued and Other Current Liabilities in the consolidated balance sheets,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63"/>
              <w:spacing w:after="0"/>
              <w:rPr>
                <w:sz w:val="20"/>
                <w:szCs w:val="20"/>
                <w:color w:val="auto"/>
              </w:rPr>
            </w:pPr>
            <w:r>
              <w:rPr>
                <w:rFonts w:ascii="Arial" w:cs="Arial" w:eastAsia="Arial" w:hAnsi="Arial"/>
                <w:sz w:val="14"/>
                <w:szCs w:val="14"/>
                <w:b w:val="1"/>
                <w:bCs w:val="1"/>
                <w:color w:val="auto"/>
              </w:rPr>
              <w:t>One-time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60"/>
              <w:spacing w:after="0"/>
              <w:rPr>
                <w:sz w:val="20"/>
                <w:szCs w:val="20"/>
                <w:color w:val="auto"/>
              </w:rPr>
            </w:pPr>
            <w:r>
              <w:rPr>
                <w:rFonts w:ascii="Arial" w:cs="Arial" w:eastAsia="Arial" w:hAnsi="Arial"/>
                <w:sz w:val="14"/>
                <w:szCs w:val="14"/>
                <w:b w:val="1"/>
                <w:bCs w:val="1"/>
                <w:color w:val="auto"/>
              </w:rPr>
              <w:t>Other costs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63"/>
              <w:spacing w:after="0"/>
              <w:rPr>
                <w:sz w:val="20"/>
                <w:szCs w:val="20"/>
                <w:color w:val="auto"/>
              </w:rPr>
            </w:pPr>
            <w:r>
              <w:rPr>
                <w:rFonts w:ascii="Arial" w:cs="Arial" w:eastAsia="Arial" w:hAnsi="Arial"/>
                <w:sz w:val="14"/>
                <w:szCs w:val="14"/>
                <w:b w:val="1"/>
                <w:bCs w:val="1"/>
                <w:color w:val="auto"/>
              </w:rPr>
              <w:t>employee</w:t>
            </w:r>
          </w:p>
        </w:tc>
        <w:tc>
          <w:tcPr>
            <w:tcW w:w="14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(primarily China</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263"/>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asset disposals</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restructuring</w:t>
            </w:r>
          </w:p>
        </w:tc>
      </w:t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4"/>
                <w:szCs w:val="14"/>
                <w:color w:val="auto"/>
              </w:rPr>
            </w:pPr>
          </w:p>
        </w:tc>
        <w:tc>
          <w:tcPr>
            <w:tcW w:w="14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and impairments)</w:t>
            </w:r>
          </w:p>
        </w:tc>
        <w:tc>
          <w:tcPr>
            <w:tcW w:w="140" w:type="dxa"/>
            <w:vAlign w:val="bottom"/>
          </w:tcPr>
          <w:p>
            <w:pPr>
              <w:spacing w:after="0"/>
              <w:rPr>
                <w:sz w:val="14"/>
                <w:szCs w:val="1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other charges</w:t>
            </w: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liability balance—December 31, 2022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180" w:type="dxa"/>
            <w:vAlign w:val="bottom"/>
          </w:tcPr>
          <w:p>
            <w:pPr>
              <w:spacing w:after="0"/>
              <w:rPr>
                <w:sz w:val="18"/>
                <w:szCs w:val="18"/>
                <w:color w:val="auto"/>
              </w:rPr>
            </w:pPr>
          </w:p>
        </w:tc>
        <w:tc>
          <w:tcPr>
            <w:tcW w:w="1260" w:type="dxa"/>
            <w:vAlign w:val="bottom"/>
          </w:tcPr>
          <w:p>
            <w:pPr>
              <w:jc w:val="right"/>
              <w:ind w:right="63"/>
              <w:spacing w:after="0"/>
              <w:rPr>
                <w:sz w:val="20"/>
                <w:szCs w:val="20"/>
                <w:color w:val="auto"/>
              </w:rPr>
            </w:pPr>
            <w:r>
              <w:rPr>
                <w:rFonts w:ascii="Arial" w:cs="Arial" w:eastAsia="Arial" w:hAnsi="Arial"/>
                <w:sz w:val="16"/>
                <w:szCs w:val="16"/>
                <w:color w:val="auto"/>
              </w:rPr>
              <w:t>7,467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610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8,077</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Costs paid or otherwise settled</w:t>
            </w: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(4,338 )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(610 )</w:t>
            </w: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(4,948 )</w:t>
            </w:r>
          </w:p>
        </w:tc>
      </w:tr>
      <w:tr>
        <w:trPr>
          <w:trHeight w:val="209"/>
        </w:trPr>
        <w:tc>
          <w:tcPr>
            <w:tcW w:w="6640" w:type="dxa"/>
            <w:vAlign w:val="bottom"/>
          </w:tcPr>
          <w:p>
            <w:pPr>
              <w:ind w:left="20"/>
              <w:spacing w:after="0"/>
              <w:rPr>
                <w:sz w:val="20"/>
                <w:szCs w:val="20"/>
                <w:color w:val="auto"/>
              </w:rPr>
            </w:pPr>
            <w:r>
              <w:rPr>
                <w:rFonts w:ascii="Arial" w:cs="Arial" w:eastAsia="Arial" w:hAnsi="Arial"/>
                <w:sz w:val="16"/>
                <w:szCs w:val="16"/>
                <w:color w:val="auto"/>
              </w:rPr>
              <w:t>Restructuring liability balance—December 31, 2023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3,129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3,129</w:t>
            </w:r>
          </w:p>
        </w:tc>
      </w:tr>
      <w:tr>
        <w:trPr>
          <w:trHeight w:val="255"/>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Costs paid or otherwise settled</w:t>
            </w: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(3,129 )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(3,129 )</w:t>
            </w:r>
          </w:p>
        </w:tc>
      </w:tr>
      <w:tr>
        <w:trPr>
          <w:trHeight w:val="197"/>
        </w:trPr>
        <w:tc>
          <w:tcPr>
            <w:tcW w:w="66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Restructuring liability balance—December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-479425</wp:posOffset>
            </wp:positionV>
            <wp:extent cx="93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-479425</wp:posOffset>
            </wp:positionV>
            <wp:extent cx="94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939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946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w:t>
      </w:r>
    </w:p>
    <w:p>
      <w:pPr>
        <w:spacing w:after="0" w:line="19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2023, the Company initiated a reduction in workforce to reduce operating costs and improve operating efficiency. The workforce reduction affected nearly 100 employees and was substantially completed during the first quarter of 2023. The Company recognized $3.1 million in one-time employee termination benefits in connection with the reduction in workforce in its consolidated statements of operations during the year ended December 31, 2023, comprising separation pay and healthcare benefits payable in cash, all of which were paid by the end of the second quarter of 2023.</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December 2023, the Company initiated a second reduction in workforce to further reduce operating costs and improve operating efficiency. The workforce reduction affected approximately 60 employees and will be completed during the first quarter of 2024. The Company recognized $4.0 million in one-time employee termination benefits in connection with the reduction in workforce in its consolidated statements of operations during the year ended December 31, 2023, comprising separation pay and healthcare benefits payable in cash. The Company paid $3.1 million of such expenses were paid during the first quarter of 2024.</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Closure of China Operations</w:t>
      </w:r>
    </w:p>
    <w:p>
      <w:pPr>
        <w:spacing w:after="0" w:line="19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6"/>
          <w:szCs w:val="16"/>
          <w:color w:val="auto"/>
        </w:rPr>
        <w:t>During the first half of 2023, the Company terminated its operations in China with the objective of streamlining international operations and reducing operating costs. The disposal did not qualify for reporting as a discontinued operation because it did not represent a strategic shift that would have a major effect on our operations and financial results. The Company completed the process of dissolving the Personalis (Shanghai) Ltd entity in February 2024.</w:t>
      </w:r>
    </w:p>
    <w:p>
      <w:pPr>
        <w:spacing w:after="0" w:line="329"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Expenses of $0.9 million were recognized in connection with closure activities in the Company's consolidated statements of operations during the year ended December 31, 2023, of which $0.3 million was related to one-time employee termination benefits for the Company's 12 former employees located in China and were payable in cash. Substantially all of the terminations were completed during the first quarter of 2023, along with the related cash outlays. The remaining $0.6 million in expenses were comprised primarily of noncash charges, including losses on disposal of fixed assets and impairments of other assets.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Stock-Based Compensation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maintains the following equity incentive plans: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("SARs"), RSAs, and RSUs. Options under the 2011 Plan could be granted for periods of up to 10 years. The ISOs could be granted at a price per share not less than the fair value at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179"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IPO, and serves as the successor to the 2011 Plan. Pursuant to the 2019 Plan, 7,440,524 shares of common stock were initially reserved for grant, including any shares that were reserved and available for issuance under the 2011 Plan at the time the 2019 Plan became effective, and any shares that become available upon forfeiture or repurchase by the Company under the 2011 Plan, will be reserved for future issuance. No further grants were made under the 2011 Plan after the adoption of 2019 Plan.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The 2019 Plan provides for the grant of ISOs, NSOs, SARs, RSAs, RSUs, PSAs, performance cash awards, and other forms of equity compensation.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 In addition, the number of shares of the Company's common stock available for grant and issuance shall be increased on January 1 of each calendar year during the term of the Plan by the lesser of (i) five percent (5%) of the number of shares of the common stock issued and outstanding on each December 31 immediately prior to the date of increase, or (ii) such number of shares determined by the Board.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179" w:lineRule="exact"/>
        <w:rPr>
          <w:sz w:val="20"/>
          <w:szCs w:val="20"/>
          <w:color w:val="auto"/>
        </w:rPr>
      </w:pPr>
    </w:p>
    <w:p>
      <w:pPr>
        <w:jc w:val="both"/>
        <w:ind w:firstLine="849"/>
        <w:spacing w:after="0" w:line="252"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rules. The Inducement Plan provides for the grant of equity-based awards, including NSOs, SARs, RSAs, RSUs, PSAs,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These Awards must be approved by either a majority of the Company’s independent directors or the Company’s compensation committee, provided such committee comprises solely independent directors (the “Independent Compensation Committee”) in order to comply with the exemption from the stockholder approval requirement for inducement grants provided under the Nasdaq Marketplace Rules. Pursuant to the Inducement Plan, the aggregate number of shares of Common Stock that may be issued will not exceed 1,000,000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2" w:lineRule="exact"/>
        <w:rPr>
          <w:sz w:val="20"/>
          <w:szCs w:val="20"/>
          <w:color w:val="auto"/>
        </w:rPr>
      </w:pPr>
    </w:p>
    <w:p>
      <w:pPr>
        <w:jc w:val="both"/>
        <w:ind w:firstLine="849"/>
        <w:spacing w:after="0" w:line="251" w:lineRule="auto"/>
        <w:rPr>
          <w:sz w:val="20"/>
          <w:szCs w:val="20"/>
          <w:color w:val="auto"/>
        </w:rPr>
      </w:pPr>
      <w:r>
        <w:rPr>
          <w:rFonts w:ascii="Arial" w:cs="Arial" w:eastAsia="Arial" w:hAnsi="Arial"/>
          <w:sz w:val="16"/>
          <w:szCs w:val="16"/>
          <w:color w:val="auto"/>
        </w:rPr>
        <w:t>The Company’s board of directors adopted and the Company’s stockholders approved the 2019 Employee Stock Purchase Plan (the “ESPP”) in May 2019 and June 2019, respectively. Pursuant to the ESPP, 250,000 shares of common stock were initially reserved for future issuance. In addition, on each January 1 for the first ten calendar years after the first offering date, the aggregate number of common stock reserved for issuance under the ESPP shall be increased automatically by the number of shares equal to the lesser of (i) one percent (1%) of the total number of outstanding shares of common stock on the immediately preceding December 31, or (ii) 500,000 shares of common stock.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33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Shares of common stock available for issuance under the Company’s equity incentive plans at December 31, 2024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2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December 31, 2024</w:t>
            </w:r>
          </w:p>
        </w:tc>
      </w:tr>
      <w:tr>
        <w:trPr>
          <w:trHeight w:val="183"/>
        </w:trPr>
        <w:tc>
          <w:tcPr>
            <w:tcW w:w="9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Outstanding stock awards</w:t>
            </w:r>
          </w:p>
        </w:tc>
        <w:tc>
          <w:tcPr>
            <w:tcW w:w="20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9,312,702</w:t>
            </w:r>
          </w:p>
        </w:tc>
      </w:tr>
      <w:tr>
        <w:trPr>
          <w:trHeight w:val="189"/>
        </w:trPr>
        <w:tc>
          <w:tcPr>
            <w:tcW w:w="9240" w:type="dxa"/>
            <w:vAlign w:val="bottom"/>
          </w:tcPr>
          <w:p>
            <w:pPr>
              <w:ind w:left="20"/>
              <w:spacing w:after="0"/>
              <w:rPr>
                <w:sz w:val="20"/>
                <w:szCs w:val="20"/>
                <w:color w:val="auto"/>
              </w:rPr>
            </w:pPr>
            <w:r>
              <w:rPr>
                <w:rFonts w:ascii="Arial" w:cs="Arial" w:eastAsia="Arial" w:hAnsi="Arial"/>
                <w:sz w:val="16"/>
                <w:szCs w:val="16"/>
                <w:color w:val="auto"/>
              </w:rPr>
              <w:t>Reserved for future award grants</w:t>
            </w:r>
          </w:p>
        </w:tc>
        <w:tc>
          <w:tcPr>
            <w:tcW w:w="2000" w:type="dxa"/>
            <w:vAlign w:val="bottom"/>
          </w:tcPr>
          <w:p>
            <w:pPr>
              <w:jc w:val="right"/>
              <w:ind w:right="61"/>
              <w:spacing w:after="0"/>
              <w:rPr>
                <w:sz w:val="20"/>
                <w:szCs w:val="20"/>
                <w:color w:val="auto"/>
              </w:rPr>
            </w:pPr>
            <w:r>
              <w:rPr>
                <w:rFonts w:ascii="Arial" w:cs="Arial" w:eastAsia="Arial" w:hAnsi="Arial"/>
                <w:sz w:val="16"/>
                <w:szCs w:val="16"/>
                <w:color w:val="auto"/>
              </w:rPr>
              <w:t>4,827,765</w:t>
            </w:r>
          </w:p>
        </w:tc>
      </w:tr>
      <w:tr>
        <w:trPr>
          <w:trHeight w:val="189"/>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Reserved for future ESPP</w:t>
            </w:r>
          </w:p>
        </w:tc>
        <w:tc>
          <w:tcPr>
            <w:tcW w:w="20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61</w:t>
            </w:r>
          </w:p>
        </w:tc>
      </w:tr>
      <w:tr>
        <w:trPr>
          <w:trHeight w:val="183"/>
        </w:trPr>
        <w:tc>
          <w:tcPr>
            <w:tcW w:w="9240" w:type="dxa"/>
            <w:vAlign w:val="bottom"/>
          </w:tcPr>
          <w:p>
            <w:pPr>
              <w:ind w:left="200"/>
              <w:spacing w:after="0" w:line="169" w:lineRule="exact"/>
              <w:rPr>
                <w:sz w:val="20"/>
                <w:szCs w:val="20"/>
                <w:color w:val="auto"/>
              </w:rPr>
            </w:pPr>
            <w:r>
              <w:rPr>
                <w:rFonts w:ascii="Arial" w:cs="Arial" w:eastAsia="Arial" w:hAnsi="Arial"/>
                <w:sz w:val="16"/>
                <w:szCs w:val="16"/>
                <w:color w:val="auto"/>
              </w:rPr>
              <w:t>Total common stock reserved for stock awards</w:t>
            </w:r>
          </w:p>
        </w:tc>
        <w:tc>
          <w:tcPr>
            <w:tcW w:w="200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color w:val="auto"/>
              </w:rPr>
              <w:t>14,140,528</w:t>
            </w:r>
          </w:p>
        </w:tc>
      </w:tr>
      <w:tr>
        <w:trPr>
          <w:trHeight w:val="20"/>
        </w:trPr>
        <w:tc>
          <w:tcPr>
            <w:tcW w:w="92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for the years ended December 31, 2024 and 2023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00" w:type="dxa"/>
            <w:vAlign w:val="bottom"/>
          </w:tcPr>
          <w:p>
            <w:pPr>
              <w:jc w:val="center"/>
              <w:ind w:right="48"/>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280" w:type="dxa"/>
            <w:vAlign w:val="bottom"/>
          </w:tcPr>
          <w:p>
            <w:pPr>
              <w:jc w:val="right"/>
              <w:ind w:right="26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00" w:type="dxa"/>
            <w:vAlign w:val="bottom"/>
          </w:tcPr>
          <w:p>
            <w:pPr>
              <w:jc w:val="center"/>
              <w:ind w:right="68"/>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23"/>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Term (in years)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2022</w:t>
            </w:r>
          </w:p>
        </w:tc>
        <w:tc>
          <w:tcPr>
            <w:tcW w:w="12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5,451,132</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9.90</w:t>
            </w:r>
          </w:p>
        </w:tc>
        <w:tc>
          <w:tcPr>
            <w:tcW w:w="140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5.31</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7</w:t>
            </w:r>
          </w:p>
        </w:tc>
      </w:tr>
      <w:tr>
        <w:trPr>
          <w:trHeight w:val="189"/>
        </w:trPr>
        <w:tc>
          <w:tcPr>
            <w:tcW w:w="578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2,638,500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78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(2,284,038 )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2023</w:t>
            </w:r>
          </w:p>
        </w:tc>
        <w:tc>
          <w:tcPr>
            <w:tcW w:w="12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5,805,586</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7.40</w:t>
            </w:r>
          </w:p>
        </w:tc>
        <w:tc>
          <w:tcPr>
            <w:tcW w:w="1400" w:type="dxa"/>
            <w:vAlign w:val="bottom"/>
            <w:gridSpan w:val="2"/>
            <w:shd w:val="clear" w:color="auto" w:fill="CFF0FC"/>
          </w:tcPr>
          <w:p>
            <w:pPr>
              <w:jc w:val="right"/>
              <w:ind w:right="68"/>
              <w:spacing w:after="0" w:line="183" w:lineRule="exact"/>
              <w:rPr>
                <w:sz w:val="20"/>
                <w:szCs w:val="20"/>
                <w:color w:val="auto"/>
              </w:rPr>
            </w:pPr>
            <w:r>
              <w:rPr>
                <w:rFonts w:ascii="Arial" w:cs="Arial" w:eastAsia="Arial" w:hAnsi="Arial"/>
                <w:sz w:val="16"/>
                <w:szCs w:val="16"/>
                <w:color w:val="auto"/>
              </w:rPr>
              <w:t>6.90</w:t>
            </w:r>
          </w:p>
        </w:tc>
        <w:tc>
          <w:tcPr>
            <w:tcW w:w="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64</w:t>
            </w:r>
          </w:p>
        </w:tc>
      </w:tr>
      <w:tr>
        <w:trPr>
          <w:trHeight w:val="189"/>
        </w:trPr>
        <w:tc>
          <w:tcPr>
            <w:tcW w:w="5780" w:type="dxa"/>
            <w:vAlign w:val="bottom"/>
          </w:tcPr>
          <w:p>
            <w:pPr>
              <w:ind w:left="200"/>
              <w:spacing w:after="0"/>
              <w:rPr>
                <w:sz w:val="20"/>
                <w:szCs w:val="20"/>
                <w:color w:val="auto"/>
              </w:rPr>
            </w:pPr>
            <w:r>
              <w:rPr>
                <w:rFonts w:ascii="Arial" w:cs="Arial" w:eastAsia="Arial" w:hAnsi="Arial"/>
                <w:sz w:val="16"/>
                <w:szCs w:val="16"/>
                <w:color w:val="auto"/>
              </w:rPr>
              <w:t>Options granted</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3,612,000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Options 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(80,998 )</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780" w:type="dxa"/>
            <w:vAlign w:val="bottom"/>
          </w:tcPr>
          <w:p>
            <w:pPr>
              <w:ind w:left="200"/>
              <w:spacing w:after="0"/>
              <w:rPr>
                <w:sz w:val="20"/>
                <w:szCs w:val="20"/>
                <w:color w:val="auto"/>
              </w:rPr>
            </w:pPr>
            <w:r>
              <w:rPr>
                <w:rFonts w:ascii="Arial" w:cs="Arial" w:eastAsia="Arial" w:hAnsi="Arial"/>
                <w:sz w:val="16"/>
                <w:szCs w:val="16"/>
                <w:color w:val="auto"/>
              </w:rPr>
              <w:t>Options forfeited or expired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(728,870 )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3"/>
        </w:trPr>
        <w:tc>
          <w:tcPr>
            <w:tcW w:w="57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Balance—December 31, 2024</w:t>
            </w:r>
          </w:p>
        </w:tc>
        <w:tc>
          <w:tcPr>
            <w:tcW w:w="1280" w:type="dxa"/>
            <w:vAlign w:val="bottom"/>
            <w:tcBorders>
              <w:bottom w:val="single" w:sz="8" w:color="auto"/>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8,607,718</w:t>
            </w:r>
          </w:p>
        </w:tc>
        <w:tc>
          <w:tcPr>
            <w:tcW w:w="30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5.07</w:t>
            </w:r>
          </w:p>
        </w:tc>
        <w:tc>
          <w:tcPr>
            <w:tcW w:w="1400" w:type="dxa"/>
            <w:vAlign w:val="bottom"/>
            <w:tcBorders>
              <w:bottom w:val="single" w:sz="8" w:color="CFF0FC"/>
            </w:tcBorders>
            <w:gridSpan w:val="2"/>
            <w:shd w:val="clear" w:color="auto" w:fill="CFF0FC"/>
          </w:tcPr>
          <w:p>
            <w:pPr>
              <w:jc w:val="right"/>
              <w:ind w:right="68"/>
              <w:spacing w:after="0" w:line="169" w:lineRule="exact"/>
              <w:rPr>
                <w:sz w:val="20"/>
                <w:szCs w:val="20"/>
                <w:color w:val="auto"/>
              </w:rPr>
            </w:pPr>
            <w:r>
              <w:rPr>
                <w:rFonts w:ascii="Arial" w:cs="Arial" w:eastAsia="Arial" w:hAnsi="Arial"/>
                <w:sz w:val="16"/>
                <w:szCs w:val="16"/>
                <w:color w:val="auto"/>
              </w:rPr>
              <w:t>7.64</w:t>
            </w:r>
          </w:p>
        </w:tc>
        <w:tc>
          <w:tcPr>
            <w:tcW w:w="300" w:type="dxa"/>
            <w:vAlign w:val="bottom"/>
            <w:tcBorders>
              <w:bottom w:val="single" w:sz="8" w:color="CFF0FC"/>
            </w:tcBorders>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63"/>
              <w:spacing w:after="0" w:line="169" w:lineRule="exact"/>
              <w:rPr>
                <w:sz w:val="20"/>
                <w:szCs w:val="20"/>
                <w:color w:val="auto"/>
              </w:rPr>
            </w:pPr>
            <w:r>
              <w:rPr>
                <w:rFonts w:ascii="Arial" w:cs="Arial" w:eastAsia="Arial" w:hAnsi="Arial"/>
                <w:sz w:val="16"/>
                <w:szCs w:val="16"/>
                <w:color w:val="auto"/>
              </w:rPr>
              <w:t>21,949</w:t>
            </w:r>
          </w:p>
        </w:tc>
      </w:tr>
      <w:tr>
        <w:trPr>
          <w:trHeight w:val="169"/>
        </w:trPr>
        <w:tc>
          <w:tcPr>
            <w:tcW w:w="5780" w:type="dxa"/>
            <w:vAlign w:val="bottom"/>
          </w:tcPr>
          <w:p>
            <w:pPr>
              <w:ind w:left="20"/>
              <w:spacing w:after="0" w:line="169" w:lineRule="exact"/>
              <w:rPr>
                <w:sz w:val="20"/>
                <w:szCs w:val="20"/>
                <w:color w:val="auto"/>
              </w:rPr>
            </w:pPr>
            <w:r>
              <w:rPr>
                <w:rFonts w:ascii="Arial" w:cs="Arial" w:eastAsia="Arial" w:hAnsi="Arial"/>
                <w:sz w:val="16"/>
                <w:szCs w:val="16"/>
                <w:color w:val="auto"/>
              </w:rPr>
              <w:t>Options vested and exercisable as of December 31, 2024</w:t>
            </w:r>
          </w:p>
        </w:tc>
        <w:tc>
          <w:tcPr>
            <w:tcW w:w="12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4,491,161</w:t>
            </w:r>
          </w:p>
        </w:tc>
        <w:tc>
          <w:tcPr>
            <w:tcW w:w="3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line="169" w:lineRule="exact"/>
              <w:rPr>
                <w:sz w:val="20"/>
                <w:szCs w:val="20"/>
                <w:color w:val="auto"/>
              </w:rPr>
            </w:pPr>
            <w:r>
              <w:rPr>
                <w:rFonts w:ascii="Arial" w:cs="Arial" w:eastAsia="Arial" w:hAnsi="Arial"/>
                <w:sz w:val="16"/>
                <w:szCs w:val="16"/>
                <w:color w:val="auto"/>
              </w:rPr>
              <w:t>7.29</w:t>
            </w:r>
          </w:p>
        </w:tc>
        <w:tc>
          <w:tcPr>
            <w:tcW w:w="1400" w:type="dxa"/>
            <w:vAlign w:val="bottom"/>
            <w:gridSpan w:val="2"/>
          </w:tcPr>
          <w:p>
            <w:pPr>
              <w:jc w:val="right"/>
              <w:ind w:right="68"/>
              <w:spacing w:after="0" w:line="169" w:lineRule="exact"/>
              <w:rPr>
                <w:sz w:val="20"/>
                <w:szCs w:val="20"/>
                <w:color w:val="auto"/>
              </w:rPr>
            </w:pPr>
            <w:r>
              <w:rPr>
                <w:rFonts w:ascii="Arial" w:cs="Arial" w:eastAsia="Arial" w:hAnsi="Arial"/>
                <w:sz w:val="16"/>
                <w:szCs w:val="16"/>
                <w:color w:val="auto"/>
              </w:rPr>
              <w:t>6.45</w:t>
            </w:r>
          </w:p>
        </w:tc>
        <w:tc>
          <w:tcPr>
            <w:tcW w:w="3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63"/>
              <w:spacing w:after="0" w:line="169" w:lineRule="exact"/>
              <w:rPr>
                <w:sz w:val="20"/>
                <w:szCs w:val="20"/>
                <w:color w:val="auto"/>
              </w:rPr>
            </w:pPr>
            <w:r>
              <w:rPr>
                <w:rFonts w:ascii="Arial" w:cs="Arial" w:eastAsia="Arial" w:hAnsi="Arial"/>
                <w:sz w:val="16"/>
                <w:szCs w:val="16"/>
                <w:color w:val="auto"/>
              </w:rPr>
              <w:t>8,233</w:t>
            </w: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-153670</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15"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$5.78 on December 31, 2024 and the exercise prices of the underlying stock options. Out-of-the money stock options are excluded from aggregate intrinsic value.</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weighted-average grant date fair value of options granted was $1.53 and $1.81 per share for the years ended December 31, 2024 and 2023, respectively. As of December 31, 2024, the unrecognized stock-based compensation of unvested options was $6.5 million, which is expected to be recognized over a weighted-average period of 1.9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 estimated the fair value of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r>
      <w:tr>
        <w:trPr>
          <w:trHeight w:val="155"/>
        </w:trPr>
        <w:tc>
          <w:tcPr>
            <w:tcW w:w="7320" w:type="dxa"/>
            <w:vAlign w:val="bottom"/>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Expected term (in years)</w:t>
            </w:r>
          </w:p>
        </w:tc>
        <w:tc>
          <w:tcPr>
            <w:tcW w:w="188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5.50 - 6.08</w:t>
            </w:r>
          </w:p>
        </w:tc>
        <w:tc>
          <w:tcPr>
            <w:tcW w:w="2040" w:type="dxa"/>
            <w:vAlign w:val="bottom"/>
            <w:gridSpan w:val="3"/>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rPr>
              <w:t>5.50 - 6.08</w:t>
            </w:r>
          </w:p>
        </w:tc>
      </w:tr>
      <w:tr>
        <w:trPr>
          <w:trHeight w:val="189"/>
        </w:trPr>
        <w:tc>
          <w:tcPr>
            <w:tcW w:w="73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72.61</w:t>
            </w:r>
          </w:p>
        </w:tc>
        <w:tc>
          <w:tcPr>
            <w:tcW w:w="1080" w:type="dxa"/>
            <w:vAlign w:val="bottom"/>
          </w:tcPr>
          <w:p>
            <w:pPr>
              <w:ind w:left="40"/>
              <w:spacing w:after="0"/>
              <w:rPr>
                <w:sz w:val="20"/>
                <w:szCs w:val="20"/>
                <w:color w:val="auto"/>
              </w:rPr>
            </w:pPr>
            <w:r>
              <w:rPr>
                <w:rFonts w:ascii="Arial" w:cs="Arial" w:eastAsia="Arial" w:hAnsi="Arial"/>
                <w:sz w:val="16"/>
                <w:szCs w:val="16"/>
                <w:color w:val="auto"/>
              </w:rPr>
              <w:t>- 83.68%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78.47</w:t>
            </w:r>
          </w:p>
        </w:tc>
        <w:tc>
          <w:tcPr>
            <w:tcW w:w="1080" w:type="dxa"/>
            <w:vAlign w:val="bottom"/>
          </w:tcPr>
          <w:p>
            <w:pPr>
              <w:ind w:left="40"/>
              <w:spacing w:after="0"/>
              <w:rPr>
                <w:sz w:val="20"/>
                <w:szCs w:val="20"/>
                <w:color w:val="auto"/>
              </w:rPr>
            </w:pPr>
            <w:r>
              <w:rPr>
                <w:rFonts w:ascii="Arial" w:cs="Arial" w:eastAsia="Arial" w:hAnsi="Arial"/>
                <w:sz w:val="16"/>
                <w:szCs w:val="16"/>
                <w:color w:val="auto"/>
              </w:rPr>
              <w:t>- 79.31%</w:t>
            </w:r>
          </w:p>
        </w:tc>
      </w:tr>
      <w:tr>
        <w:trPr>
          <w:trHeight w:val="18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- 4.65%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- 4.66%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800" w:type="dxa"/>
            <w:vAlign w:val="bottom"/>
          </w:tcPr>
          <w:p>
            <w:pPr>
              <w:spacing w:after="0"/>
              <w:rPr>
                <w:sz w:val="18"/>
                <w:szCs w:val="18"/>
                <w:color w:val="auto"/>
              </w:rPr>
            </w:pP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jc w:val="center"/>
              <w:ind w:right="719"/>
              <w:spacing w:after="0"/>
              <w:rPr>
                <w:sz w:val="20"/>
                <w:szCs w:val="20"/>
                <w:color w:val="auto"/>
              </w:rPr>
            </w:pPr>
            <w:r>
              <w:rPr>
                <w:rFonts w:ascii="Arial" w:cs="Arial" w:eastAsia="Arial" w:hAnsi="Arial"/>
                <w:sz w:val="16"/>
                <w:szCs w:val="16"/>
                <w:color w:val="auto"/>
              </w:rPr>
              <w:t>–%</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2020, the Company granted 421,000 PSAs to the Company's then CEO which were vested in the same year due to fulfillment of the performance condition. These PSAs expired at the end of 2023.</w:t>
      </w: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2024, the Company granted 271,500 PSAs to the executive leadership team. Vesting of the PSAs is based upon attainment of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Medicare reimbursement coverages by the end of 2025 and subject to continuous service by the executives. Fair value was estimated using the Black-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Scholes option-pricing model. Total grant-date fair value of the PSAs was $0.3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performance-based stock option activity for the years ended December 31, 2024 and 2023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Outstanding Performance-Based Options</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46"/>
        </w:trPr>
        <w:tc>
          <w:tcPr>
            <w:tcW w:w="5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780" w:type="dxa"/>
            <w:vAlign w:val="bottom"/>
          </w:tcPr>
          <w:p>
            <w:pPr>
              <w:spacing w:after="0"/>
              <w:rPr>
                <w:sz w:val="14"/>
                <w:szCs w:val="14"/>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201"/>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 (in</w:t>
            </w:r>
          </w:p>
        </w:tc>
        <w:tc>
          <w:tcPr>
            <w:tcW w:w="160" w:type="dxa"/>
            <w:vAlign w:val="bottom"/>
          </w:tcPr>
          <w:p>
            <w:pPr>
              <w:spacing w:after="0"/>
              <w:rPr>
                <w:sz w:val="14"/>
                <w:szCs w:val="14"/>
                <w:color w:val="auto"/>
              </w:rPr>
            </w:pPr>
          </w:p>
        </w:tc>
        <w:tc>
          <w:tcPr>
            <w:tcW w:w="1100" w:type="dxa"/>
            <w:vAlign w:val="bottom"/>
          </w:tcPr>
          <w:p>
            <w:pPr>
              <w:jc w:val="center"/>
              <w:ind w:right="223"/>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7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rPr>
              <w:t>Value</w:t>
            </w: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2022</w:t>
            </w:r>
          </w:p>
        </w:tc>
        <w:tc>
          <w:tcPr>
            <w:tcW w:w="1240" w:type="dxa"/>
            <w:vAlign w:val="bottom"/>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rPr>
              <w:t>421,000</w:t>
            </w:r>
          </w:p>
        </w:tc>
        <w:tc>
          <w:tcPr>
            <w:tcW w:w="34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5.10</w:t>
            </w:r>
          </w:p>
        </w:tc>
        <w:tc>
          <w:tcPr>
            <w:tcW w:w="1400" w:type="dxa"/>
            <w:vAlign w:val="bottom"/>
            <w:gridSpan w:val="2"/>
            <w:shd w:val="clear" w:color="auto" w:fill="CFF0FC"/>
          </w:tcPr>
          <w:p>
            <w:pPr>
              <w:jc w:val="right"/>
              <w:ind w:right="66"/>
              <w:spacing w:after="0" w:line="183" w:lineRule="exact"/>
              <w:rPr>
                <w:sz w:val="20"/>
                <w:szCs w:val="20"/>
                <w:color w:val="auto"/>
              </w:rPr>
            </w:pPr>
            <w:r>
              <w:rPr>
                <w:rFonts w:ascii="Arial" w:cs="Arial" w:eastAsia="Arial" w:hAnsi="Arial"/>
                <w:sz w:val="16"/>
                <w:szCs w:val="16"/>
                <w:color w:val="auto"/>
              </w:rPr>
              <w:t>1.00</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w:t>
            </w:r>
          </w:p>
        </w:tc>
      </w:tr>
      <w:tr>
        <w:trPr>
          <w:trHeight w:val="189"/>
        </w:trPr>
        <w:tc>
          <w:tcPr>
            <w:tcW w:w="5780" w:type="dxa"/>
            <w:vAlign w:val="bottom"/>
          </w:tcPr>
          <w:p>
            <w:pPr>
              <w:ind w:left="20"/>
              <w:spacing w:after="0"/>
              <w:rPr>
                <w:sz w:val="20"/>
                <w:szCs w:val="20"/>
                <w:color w:val="auto"/>
              </w:rPr>
            </w:pPr>
            <w:r>
              <w:rPr>
                <w:rFonts w:ascii="Arial" w:cs="Arial" w:eastAsia="Arial" w:hAnsi="Arial"/>
                <w:sz w:val="16"/>
                <w:szCs w:val="16"/>
                <w:color w:val="auto"/>
              </w:rPr>
              <w:t>Options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(421,000 )</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3"/>
        </w:trPr>
        <w:tc>
          <w:tcPr>
            <w:tcW w:w="5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2023</w:t>
            </w:r>
          </w:p>
        </w:tc>
        <w:tc>
          <w:tcPr>
            <w:tcW w:w="1240" w:type="dxa"/>
            <w:vAlign w:val="bottom"/>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63"/>
              <w:spacing w:after="0" w:line="183" w:lineRule="exact"/>
              <w:rPr>
                <w:sz w:val="20"/>
                <w:szCs w:val="20"/>
                <w:color w:val="auto"/>
              </w:rPr>
            </w:pPr>
            <w:r>
              <w:rPr>
                <w:rFonts w:ascii="Arial" w:cs="Arial" w:eastAsia="Arial" w:hAnsi="Arial"/>
                <w:sz w:val="16"/>
                <w:szCs w:val="16"/>
                <w:color w:val="auto"/>
              </w:rPr>
              <w:t>—</w:t>
            </w:r>
          </w:p>
        </w:tc>
      </w:tr>
      <w:tr>
        <w:trPr>
          <w:trHeight w:val="189"/>
        </w:trPr>
        <w:tc>
          <w:tcPr>
            <w:tcW w:w="5780" w:type="dxa"/>
            <w:vAlign w:val="bottom"/>
          </w:tcPr>
          <w:p>
            <w:pPr>
              <w:ind w:left="20"/>
              <w:spacing w:after="0"/>
              <w:rPr>
                <w:sz w:val="20"/>
                <w:szCs w:val="20"/>
                <w:color w:val="auto"/>
              </w:rPr>
            </w:pPr>
            <w:r>
              <w:rPr>
                <w:rFonts w:ascii="Arial" w:cs="Arial" w:eastAsia="Arial" w:hAnsi="Arial"/>
                <w:sz w:val="16"/>
                <w:szCs w:val="16"/>
                <w:color w:val="auto"/>
              </w:rPr>
              <w:t>Options granted</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271,500</w:t>
            </w: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3"/>
        </w:trPr>
        <w:tc>
          <w:tcPr>
            <w:tcW w:w="57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Balance—December 31, 2024</w:t>
            </w:r>
          </w:p>
        </w:tc>
        <w:tc>
          <w:tcPr>
            <w:tcW w:w="1240" w:type="dxa"/>
            <w:vAlign w:val="bottom"/>
            <w:tcBorders>
              <w:bottom w:val="single" w:sz="8" w:color="auto"/>
            </w:tcBorders>
            <w:shd w:val="clear" w:color="auto" w:fill="CFF0FC"/>
          </w:tcPr>
          <w:p>
            <w:pPr>
              <w:jc w:val="right"/>
              <w:ind w:right="1"/>
              <w:spacing w:after="0" w:line="169" w:lineRule="exact"/>
              <w:rPr>
                <w:sz w:val="20"/>
                <w:szCs w:val="20"/>
                <w:color w:val="auto"/>
              </w:rPr>
            </w:pPr>
            <w:r>
              <w:rPr>
                <w:rFonts w:ascii="Arial" w:cs="Arial" w:eastAsia="Arial" w:hAnsi="Arial"/>
                <w:sz w:val="16"/>
                <w:szCs w:val="16"/>
                <w:color w:val="auto"/>
              </w:rPr>
              <w:t>271,500</w:t>
            </w: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1.61</w:t>
            </w:r>
          </w:p>
        </w:tc>
        <w:tc>
          <w:tcPr>
            <w:tcW w:w="1400" w:type="dxa"/>
            <w:vAlign w:val="bottom"/>
            <w:tcBorders>
              <w:bottom w:val="single" w:sz="8" w:color="CFF0FC"/>
            </w:tcBorders>
            <w:gridSpan w:val="2"/>
            <w:shd w:val="clear" w:color="auto" w:fill="CFF0FC"/>
          </w:tcPr>
          <w:p>
            <w:pPr>
              <w:jc w:val="right"/>
              <w:ind w:right="66"/>
              <w:spacing w:after="0" w:line="169" w:lineRule="exact"/>
              <w:rPr>
                <w:sz w:val="20"/>
                <w:szCs w:val="20"/>
                <w:color w:val="auto"/>
              </w:rPr>
            </w:pPr>
            <w:r>
              <w:rPr>
                <w:rFonts w:ascii="Arial" w:cs="Arial" w:eastAsia="Arial" w:hAnsi="Arial"/>
                <w:sz w:val="16"/>
                <w:szCs w:val="16"/>
                <w:color w:val="auto"/>
              </w:rPr>
              <w:t>9.20</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63"/>
              <w:spacing w:after="0" w:line="169" w:lineRule="exact"/>
              <w:rPr>
                <w:sz w:val="20"/>
                <w:szCs w:val="20"/>
                <w:color w:val="auto"/>
              </w:rPr>
            </w:pPr>
            <w:r>
              <w:rPr>
                <w:rFonts w:ascii="Arial" w:cs="Arial" w:eastAsia="Arial" w:hAnsi="Arial"/>
                <w:sz w:val="16"/>
                <w:szCs w:val="16"/>
                <w:color w:val="auto"/>
              </w:rPr>
              <w:t>1,133</w:t>
            </w:r>
          </w:p>
        </w:tc>
      </w:tr>
      <w:tr>
        <w:trPr>
          <w:trHeight w:val="170"/>
        </w:trPr>
        <w:tc>
          <w:tcPr>
            <w:tcW w:w="5780" w:type="dxa"/>
            <w:vAlign w:val="bottom"/>
          </w:tcPr>
          <w:p>
            <w:pPr>
              <w:ind w:left="20"/>
              <w:spacing w:after="0" w:line="169" w:lineRule="exact"/>
              <w:rPr>
                <w:sz w:val="20"/>
                <w:szCs w:val="20"/>
                <w:color w:val="auto"/>
              </w:rPr>
            </w:pPr>
            <w:r>
              <w:rPr>
                <w:rFonts w:ascii="Arial" w:cs="Arial" w:eastAsia="Arial" w:hAnsi="Arial"/>
                <w:sz w:val="16"/>
                <w:szCs w:val="16"/>
                <w:color w:val="auto"/>
              </w:rPr>
              <w:t>Options vested and exercisable as of December 31, 2024</w:t>
            </w:r>
          </w:p>
        </w:tc>
        <w:tc>
          <w:tcPr>
            <w:tcW w:w="1240" w:type="dxa"/>
            <w:vAlign w:val="bottom"/>
          </w:tcPr>
          <w:p>
            <w:pPr>
              <w:jc w:val="right"/>
              <w:ind w:right="1"/>
              <w:spacing w:after="0" w:line="169" w:lineRule="exact"/>
              <w:rPr>
                <w:sz w:val="20"/>
                <w:szCs w:val="20"/>
                <w:color w:val="auto"/>
              </w:rPr>
            </w:pPr>
            <w:r>
              <w:rPr>
                <w:rFonts w:ascii="Arial" w:cs="Arial" w:eastAsia="Arial" w:hAnsi="Arial"/>
                <w:sz w:val="16"/>
                <w:szCs w:val="16"/>
                <w:color w:val="auto"/>
              </w:rPr>
              <w:t>—</w:t>
            </w:r>
          </w:p>
        </w:tc>
        <w:tc>
          <w:tcPr>
            <w:tcW w:w="3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3"/>
              <w:spacing w:after="0" w:line="169" w:lineRule="exact"/>
              <w:rPr>
                <w:sz w:val="20"/>
                <w:szCs w:val="20"/>
                <w:color w:val="auto"/>
              </w:rPr>
            </w:pPr>
            <w:r>
              <w:rPr>
                <w:rFonts w:ascii="Arial" w:cs="Arial" w:eastAsia="Arial" w:hAnsi="Arial"/>
                <w:sz w:val="16"/>
                <w:szCs w:val="16"/>
                <w:color w:val="auto"/>
              </w:rPr>
              <w:t>—</w:t>
            </w:r>
          </w:p>
        </w:tc>
      </w:tr>
      <w:tr>
        <w:trPr>
          <w:trHeight w:val="20"/>
        </w:trPr>
        <w:tc>
          <w:tcPr>
            <w:tcW w:w="5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-153670</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RSU Activity and Valuation</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for the years ended December 31, 2024 and 2023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4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Unvested Restricted Stock Units</w:t>
            </w:r>
          </w:p>
        </w:tc>
        <w:tc>
          <w:tcPr>
            <w:tcW w:w="1220" w:type="dxa"/>
            <w:vAlign w:val="bottom"/>
            <w:tcBorders>
              <w:bottom w:val="single" w:sz="8" w:color="auto"/>
            </w:tcBorders>
          </w:tcPr>
          <w:p>
            <w:pPr>
              <w:spacing w:after="0"/>
              <w:rPr>
                <w:sz w:val="14"/>
                <w:szCs w:val="14"/>
                <w:color w:val="auto"/>
              </w:rPr>
            </w:pPr>
          </w:p>
        </w:tc>
      </w:tr>
      <w:tr>
        <w:trPr>
          <w:trHeight w:val="146"/>
        </w:trPr>
        <w:tc>
          <w:tcPr>
            <w:tcW w:w="6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222"/>
              <w:spacing w:after="0" w:line="147"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2"/>
        </w:trPr>
        <w:tc>
          <w:tcPr>
            <w:tcW w:w="6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42"/>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6580" w:type="dxa"/>
            <w:vAlign w:val="bottom"/>
          </w:tcPr>
          <w:p>
            <w:pPr>
              <w:spacing w:after="0"/>
              <w:rPr>
                <w:sz w:val="14"/>
                <w:szCs w:val="14"/>
                <w:color w:val="auto"/>
              </w:rPr>
            </w:pPr>
          </w:p>
        </w:tc>
        <w:tc>
          <w:tcPr>
            <w:tcW w:w="1500" w:type="dxa"/>
            <w:vAlign w:val="bottom"/>
          </w:tcPr>
          <w:p>
            <w:pPr>
              <w:jc w:val="right"/>
              <w:ind w:right="361"/>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62"/>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62"/>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6580" w:type="dxa"/>
            <w:vAlign w:val="bottom"/>
          </w:tcPr>
          <w:p>
            <w:pPr>
              <w:ind w:left="20"/>
              <w:spacing w:after="0"/>
              <w:rPr>
                <w:sz w:val="20"/>
                <w:szCs w:val="20"/>
                <w:color w:val="auto"/>
              </w:rPr>
            </w:pPr>
            <w:r>
              <w:rPr>
                <w:rFonts w:ascii="Arial" w:cs="Arial" w:eastAsia="Arial" w:hAnsi="Arial"/>
                <w:sz w:val="14"/>
                <w:szCs w:val="14"/>
                <w:color w:val="auto"/>
              </w:rPr>
              <w:t>(in thousands, except share and per share data)</w:t>
            </w: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2022</w:t>
            </w:r>
          </w:p>
        </w:tc>
        <w:tc>
          <w:tcPr>
            <w:tcW w:w="15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2,621,482</w:t>
            </w: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9.33</w:t>
            </w:r>
          </w:p>
        </w:tc>
        <w:tc>
          <w:tcPr>
            <w:tcW w:w="3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5,191</w:t>
            </w:r>
          </w:p>
        </w:tc>
      </w:tr>
      <w:tr>
        <w:trPr>
          <w:trHeight w:val="189"/>
        </w:trPr>
        <w:tc>
          <w:tcPr>
            <w:tcW w:w="658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24,500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(839,194 )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9.91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1,520</w:t>
            </w:r>
          </w:p>
        </w:tc>
      </w:tr>
      <w:tr>
        <w:trPr>
          <w:trHeight w:val="189"/>
        </w:trPr>
        <w:tc>
          <w:tcPr>
            <w:tcW w:w="658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(552,962 )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8.89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Balance—December 31, 2023</w:t>
            </w:r>
          </w:p>
        </w:tc>
        <w:tc>
          <w:tcPr>
            <w:tcW w:w="15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1,253,826</w:t>
            </w: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8.99</w:t>
            </w:r>
          </w:p>
        </w:tc>
        <w:tc>
          <w:tcPr>
            <w:tcW w:w="3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2,633</w:t>
            </w:r>
          </w:p>
        </w:tc>
      </w:tr>
      <w:tr>
        <w:trPr>
          <w:trHeight w:val="189"/>
        </w:trPr>
        <w:tc>
          <w:tcPr>
            <w:tcW w:w="6580" w:type="dxa"/>
            <w:vAlign w:val="bottom"/>
          </w:tcPr>
          <w:p>
            <w:pPr>
              <w:ind w:left="200"/>
              <w:spacing w:after="0"/>
              <w:rPr>
                <w:sz w:val="20"/>
                <w:szCs w:val="20"/>
                <w:color w:val="auto"/>
              </w:rPr>
            </w:pPr>
            <w:r>
              <w:rPr>
                <w:rFonts w:ascii="Arial" w:cs="Arial" w:eastAsia="Arial" w:hAnsi="Arial"/>
                <w:sz w:val="16"/>
                <w:szCs w:val="16"/>
                <w:color w:val="auto"/>
              </w:rPr>
              <w:t>RSUs granted</w:t>
            </w:r>
          </w:p>
        </w:tc>
        <w:tc>
          <w:tcPr>
            <w:tcW w:w="15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RSUs vested</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(601,285 )</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10.46</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1,719</w:t>
            </w:r>
          </w:p>
        </w:tc>
      </w:tr>
      <w:tr>
        <w:trPr>
          <w:trHeight w:val="189"/>
        </w:trPr>
        <w:tc>
          <w:tcPr>
            <w:tcW w:w="6580" w:type="dxa"/>
            <w:vAlign w:val="bottom"/>
          </w:tcPr>
          <w:p>
            <w:pPr>
              <w:ind w:left="200"/>
              <w:spacing w:after="0"/>
              <w:rPr>
                <w:sz w:val="20"/>
                <w:szCs w:val="20"/>
                <w:color w:val="auto"/>
              </w:rPr>
            </w:pPr>
            <w:r>
              <w:rPr>
                <w:rFonts w:ascii="Arial" w:cs="Arial" w:eastAsia="Arial" w:hAnsi="Arial"/>
                <w:sz w:val="16"/>
                <w:szCs w:val="16"/>
                <w:color w:val="auto"/>
              </w:rPr>
              <w:t>RSUs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(219,057 )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3"/>
        </w:trPr>
        <w:tc>
          <w:tcPr>
            <w:tcW w:w="65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Balance—December 31, 2024</w:t>
            </w:r>
          </w:p>
        </w:tc>
        <w:tc>
          <w:tcPr>
            <w:tcW w:w="1500" w:type="dxa"/>
            <w:vAlign w:val="bottom"/>
            <w:tcBorders>
              <w:bottom w:val="single" w:sz="8" w:color="auto"/>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433,484</w:t>
            </w:r>
          </w:p>
        </w:tc>
        <w:tc>
          <w:tcPr>
            <w:tcW w:w="34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62"/>
              <w:spacing w:after="0" w:line="169" w:lineRule="exact"/>
              <w:rPr>
                <w:sz w:val="20"/>
                <w:szCs w:val="20"/>
                <w:color w:val="auto"/>
              </w:rPr>
            </w:pPr>
            <w:r>
              <w:rPr>
                <w:rFonts w:ascii="Arial" w:cs="Arial" w:eastAsia="Arial" w:hAnsi="Arial"/>
                <w:sz w:val="16"/>
                <w:szCs w:val="16"/>
                <w:color w:val="auto"/>
              </w:rPr>
              <w:t>6.34</w:t>
            </w:r>
          </w:p>
        </w:tc>
        <w:tc>
          <w:tcPr>
            <w:tcW w:w="360" w:type="dxa"/>
            <w:vAlign w:val="bottom"/>
            <w:tcBorders>
              <w:bottom w:val="single" w:sz="8" w:color="CFF0FC"/>
            </w:tcBorders>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CFF0FC"/>
            </w:tcBorders>
            <w:shd w:val="clear" w:color="auto" w:fill="CFF0FC"/>
          </w:tcPr>
          <w:p>
            <w:pPr>
              <w:jc w:val="right"/>
              <w:ind w:right="62"/>
              <w:spacing w:after="0" w:line="169" w:lineRule="exact"/>
              <w:rPr>
                <w:sz w:val="20"/>
                <w:szCs w:val="20"/>
                <w:color w:val="auto"/>
              </w:rPr>
            </w:pPr>
            <w:r>
              <w:rPr>
                <w:rFonts w:ascii="Arial" w:cs="Arial" w:eastAsia="Arial" w:hAnsi="Arial"/>
                <w:sz w:val="16"/>
                <w:szCs w:val="16"/>
                <w:color w:val="auto"/>
              </w:rPr>
              <w:t>2,506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The Company grants RSUs to employees to receive shares of the Company’s common stock. The RSUs awarded are subject to the individual’s continued service to the Company through each applicable vesting date. RSUs granted to new hires generally vest annually over a four-year period. RSUs granted as merit awards generally vest semi-annually over a three- or four-year period. The Company accounts for the fair value of RSUs using the closing market price of the Company’s common stock on the date of grant.</w:t>
      </w:r>
    </w:p>
    <w:p>
      <w:pPr>
        <w:spacing w:after="0" w:line="15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$5.78 on December 31, 2024. As of December 31, 2024, the unrecognized stock-based compensation cost of unvested RSUs was $2.0 million, which is expected to be recognized over a weighted-average period of 1.3 years.</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ESPP Activity and Valuation</w:t>
      </w:r>
    </w:p>
    <w:p>
      <w:pPr>
        <w:spacing w:after="0" w:line="19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During the years ended December 31, 2024 and 2023, 583,695 and 999,194 shares of common stock were purchased under the ESPP, respectively. The fair value of stock purchase rights granted under the ESPP was estimated using the following range of assumptions: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r>
      <w:tr>
        <w:trPr>
          <w:trHeight w:val="155"/>
        </w:trPr>
        <w:tc>
          <w:tcPr>
            <w:tcW w:w="7320" w:type="dxa"/>
            <w:vAlign w:val="bottom"/>
          </w:tcPr>
          <w:p>
            <w:pPr>
              <w:spacing w:after="0"/>
              <w:rPr>
                <w:sz w:val="13"/>
                <w:szCs w:val="13"/>
                <w:color w:val="auto"/>
              </w:rPr>
            </w:pPr>
          </w:p>
        </w:tc>
        <w:tc>
          <w:tcPr>
            <w:tcW w:w="1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2040" w:type="dxa"/>
            <w:vAlign w:val="bottom"/>
            <w:gridSpan w:val="3"/>
          </w:tcPr>
          <w:p>
            <w:pPr>
              <w:jc w:val="center"/>
              <w:ind w:left="81"/>
              <w:spacing w:after="0" w:line="155" w:lineRule="exact"/>
              <w:rPr>
                <w:sz w:val="20"/>
                <w:szCs w:val="20"/>
                <w:color w:val="auto"/>
              </w:rPr>
            </w:pPr>
            <w:r>
              <w:rPr>
                <w:rFonts w:ascii="Arial" w:cs="Arial" w:eastAsia="Arial" w:hAnsi="Arial"/>
                <w:sz w:val="14"/>
                <w:szCs w:val="14"/>
                <w:b w:val="1"/>
                <w:bCs w:val="1"/>
                <w:color w:val="auto"/>
              </w:rPr>
              <w:t>2023</w:t>
            </w:r>
          </w:p>
        </w:tc>
      </w:tr>
      <w:tr>
        <w:trPr>
          <w:trHeight w:val="182"/>
        </w:trPr>
        <w:tc>
          <w:tcPr>
            <w:tcW w:w="7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Expected term (in years)</w:t>
            </w:r>
          </w:p>
        </w:tc>
        <w:tc>
          <w:tcPr>
            <w:tcW w:w="8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center"/>
              <w:ind w:right="741"/>
              <w:spacing w:after="0" w:line="183" w:lineRule="exact"/>
              <w:rPr>
                <w:sz w:val="20"/>
                <w:szCs w:val="20"/>
                <w:color w:val="auto"/>
              </w:rPr>
            </w:pPr>
            <w:r>
              <w:rPr>
                <w:rFonts w:ascii="Arial" w:cs="Arial" w:eastAsia="Arial" w:hAnsi="Arial"/>
                <w:sz w:val="16"/>
                <w:szCs w:val="16"/>
                <w:color w:val="auto"/>
                <w:w w:val="98"/>
              </w:rPr>
              <w:t>0.5</w:t>
            </w:r>
          </w:p>
        </w:tc>
        <w:tc>
          <w:tcPr>
            <w:tcW w:w="16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center"/>
              <w:ind w:right="739"/>
              <w:spacing w:after="0" w:line="183" w:lineRule="exact"/>
              <w:rPr>
                <w:sz w:val="20"/>
                <w:szCs w:val="20"/>
                <w:color w:val="auto"/>
              </w:rPr>
            </w:pPr>
            <w:r>
              <w:rPr>
                <w:rFonts w:ascii="Arial" w:cs="Arial" w:eastAsia="Arial" w:hAnsi="Arial"/>
                <w:sz w:val="16"/>
                <w:szCs w:val="16"/>
                <w:color w:val="auto"/>
                <w:w w:val="98"/>
              </w:rPr>
              <w:t>0.5</w:t>
            </w:r>
          </w:p>
        </w:tc>
      </w:tr>
      <w:tr>
        <w:trPr>
          <w:trHeight w:val="189"/>
        </w:trPr>
        <w:tc>
          <w:tcPr>
            <w:tcW w:w="73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800" w:type="dxa"/>
            <w:vAlign w:val="bottom"/>
          </w:tcPr>
          <w:p>
            <w:pPr>
              <w:jc w:val="right"/>
              <w:spacing w:after="0"/>
              <w:rPr>
                <w:sz w:val="20"/>
                <w:szCs w:val="20"/>
                <w:color w:val="auto"/>
              </w:rPr>
            </w:pPr>
            <w:r>
              <w:rPr>
                <w:rFonts w:ascii="Arial" w:cs="Arial" w:eastAsia="Arial" w:hAnsi="Arial"/>
                <w:sz w:val="16"/>
                <w:szCs w:val="16"/>
                <w:color w:val="auto"/>
              </w:rPr>
              <w:t>61.35</w:t>
            </w:r>
          </w:p>
        </w:tc>
        <w:tc>
          <w:tcPr>
            <w:tcW w:w="1080" w:type="dxa"/>
            <w:vAlign w:val="bottom"/>
          </w:tcPr>
          <w:p>
            <w:pPr>
              <w:ind w:left="40"/>
              <w:spacing w:after="0"/>
              <w:rPr>
                <w:sz w:val="20"/>
                <w:szCs w:val="20"/>
                <w:color w:val="auto"/>
              </w:rPr>
            </w:pPr>
            <w:r>
              <w:rPr>
                <w:rFonts w:ascii="Arial" w:cs="Arial" w:eastAsia="Arial" w:hAnsi="Arial"/>
                <w:sz w:val="16"/>
                <w:szCs w:val="16"/>
                <w:color w:val="auto"/>
              </w:rPr>
              <w:t>- 95.66%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69.23</w:t>
            </w:r>
          </w:p>
        </w:tc>
        <w:tc>
          <w:tcPr>
            <w:tcW w:w="1080" w:type="dxa"/>
            <w:vAlign w:val="bottom"/>
          </w:tcPr>
          <w:p>
            <w:pPr>
              <w:ind w:left="40"/>
              <w:spacing w:after="0"/>
              <w:rPr>
                <w:sz w:val="20"/>
                <w:szCs w:val="20"/>
                <w:color w:val="auto"/>
              </w:rPr>
            </w:pPr>
            <w:r>
              <w:rPr>
                <w:rFonts w:ascii="Arial" w:cs="Arial" w:eastAsia="Arial" w:hAnsi="Arial"/>
                <w:sz w:val="16"/>
                <w:szCs w:val="16"/>
                <w:color w:val="auto"/>
              </w:rPr>
              <w:t>- 84.88%</w:t>
            </w:r>
          </w:p>
        </w:tc>
      </w:tr>
      <w:tr>
        <w:trPr>
          <w:trHeight w:val="18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- 5.43%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1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- 5.51%</w:t>
            </w:r>
          </w:p>
        </w:tc>
      </w:tr>
      <w:tr>
        <w:trPr>
          <w:trHeight w:val="189"/>
        </w:trPr>
        <w:tc>
          <w:tcPr>
            <w:tcW w:w="73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800" w:type="dxa"/>
            <w:vAlign w:val="bottom"/>
          </w:tcPr>
          <w:p>
            <w:pPr>
              <w:spacing w:after="0"/>
              <w:rPr>
                <w:sz w:val="16"/>
                <w:szCs w:val="16"/>
                <w:color w:val="auto"/>
              </w:rPr>
            </w:pPr>
          </w:p>
        </w:tc>
        <w:tc>
          <w:tcPr>
            <w:tcW w:w="1080" w:type="dxa"/>
            <w:vAlign w:val="bottom"/>
          </w:tcPr>
          <w:p>
            <w:pPr>
              <w:jc w:val="center"/>
              <w:ind w:right="741"/>
              <w:spacing w:after="0"/>
              <w:rPr>
                <w:sz w:val="20"/>
                <w:szCs w:val="20"/>
                <w:color w:val="auto"/>
              </w:rPr>
            </w:pPr>
            <w:r>
              <w:rPr>
                <w:rFonts w:ascii="Arial" w:cs="Arial" w:eastAsia="Arial" w:hAnsi="Arial"/>
                <w:sz w:val="16"/>
                <w:szCs w:val="16"/>
                <w:color w:val="auto"/>
                <w:w w:val="94"/>
              </w:rPr>
              <w: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jc w:val="center"/>
              <w:ind w:right="719"/>
              <w:spacing w:after="0"/>
              <w:rPr>
                <w:sz w:val="20"/>
                <w:szCs w:val="20"/>
                <w:color w:val="auto"/>
              </w:rPr>
            </w:pPr>
            <w:r>
              <w:rPr>
                <w:rFonts w:ascii="Arial" w:cs="Arial" w:eastAsia="Arial" w:hAnsi="Arial"/>
                <w:sz w:val="16"/>
                <w:szCs w:val="16"/>
                <w:color w:val="auto"/>
              </w:rPr>
              <w:t>–%</w:t>
            </w:r>
          </w:p>
        </w:tc>
      </w:tr>
      <w:tr>
        <w:trPr>
          <w:trHeight w:val="18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w:t>
            </w:r>
          </w:p>
        </w:tc>
        <w:tc>
          <w:tcPr>
            <w:tcW w:w="18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$0.51 - $2.14</w:t>
            </w:r>
          </w:p>
        </w:tc>
        <w:tc>
          <w:tcPr>
            <w:tcW w:w="2040" w:type="dxa"/>
            <w:vAlign w:val="bottom"/>
            <w:gridSpan w:val="3"/>
            <w:shd w:val="clear" w:color="auto" w:fill="CFF0FC"/>
          </w:tcPr>
          <w:p>
            <w:pPr>
              <w:jc w:val="center"/>
              <w:ind w:left="81"/>
              <w:spacing w:after="0"/>
              <w:rPr>
                <w:sz w:val="20"/>
                <w:szCs w:val="20"/>
                <w:color w:val="auto"/>
              </w:rPr>
            </w:pPr>
            <w:r>
              <w:rPr>
                <w:rFonts w:ascii="Arial" w:cs="Arial" w:eastAsia="Arial" w:hAnsi="Arial"/>
                <w:sz w:val="16"/>
                <w:szCs w:val="16"/>
                <w:color w:val="auto"/>
              </w:rPr>
              <w:t>$0.33 - $0.91</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3"/>
                <w:szCs w:val="13"/>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Cost of revenue</w:t>
            </w:r>
          </w:p>
        </w:tc>
        <w:tc>
          <w:tcPr>
            <w:tcW w:w="980" w:type="dxa"/>
            <w:vAlign w:val="bottom"/>
            <w:shd w:val="clear" w:color="auto" w:fill="CFF0FC"/>
          </w:tcPr>
          <w:p>
            <w:pPr>
              <w:jc w:val="right"/>
              <w:ind w:right="804"/>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658</w:t>
            </w:r>
          </w:p>
        </w:tc>
        <w:tc>
          <w:tcPr>
            <w:tcW w:w="1160" w:type="dxa"/>
            <w:vAlign w:val="bottom"/>
            <w:gridSpan w:val="2"/>
            <w:shd w:val="clear" w:color="auto" w:fill="CFF0FC"/>
          </w:tcPr>
          <w:p>
            <w:pPr>
              <w:jc w:val="right"/>
              <w:ind w:right="828"/>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1,761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4,039</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4,870</w:t>
            </w: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9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5,989</w:t>
            </w:r>
          </w:p>
        </w:tc>
        <w:tc>
          <w:tcPr>
            <w:tcW w:w="1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7,420</w:t>
            </w:r>
          </w:p>
        </w:tc>
      </w:tr>
      <w:tr>
        <w:trPr>
          <w:trHeight w:val="183"/>
        </w:trPr>
        <w:tc>
          <w:tcPr>
            <w:tcW w:w="7720" w:type="dxa"/>
            <w:vAlign w:val="bottom"/>
          </w:tcPr>
          <w:p>
            <w:pPr>
              <w:ind w:left="200"/>
              <w:spacing w:after="0" w:line="169" w:lineRule="exact"/>
              <w:rPr>
                <w:sz w:val="20"/>
                <w:szCs w:val="20"/>
                <w:color w:val="auto"/>
              </w:rPr>
            </w:pPr>
            <w:r>
              <w:rPr>
                <w:rFonts w:ascii="Arial" w:cs="Arial" w:eastAsia="Arial" w:hAnsi="Arial"/>
                <w:sz w:val="16"/>
                <w:szCs w:val="16"/>
                <w:color w:val="auto"/>
              </w:rPr>
              <w:t>Total stock-based compensation expense</w:t>
            </w:r>
          </w:p>
        </w:tc>
        <w:tc>
          <w:tcPr>
            <w:tcW w:w="980" w:type="dxa"/>
            <w:vAlign w:val="bottom"/>
          </w:tcPr>
          <w:p>
            <w:pPr>
              <w:jc w:val="right"/>
              <w:ind w:right="804"/>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10,686</w:t>
            </w:r>
          </w:p>
        </w:tc>
        <w:tc>
          <w:tcPr>
            <w:tcW w:w="1160" w:type="dxa"/>
            <w:vAlign w:val="bottom"/>
            <w:gridSpan w:val="2"/>
          </w:tcPr>
          <w:p>
            <w:pPr>
              <w:jc w:val="right"/>
              <w:ind w:right="828"/>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14,051</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3"/>
                <w:szCs w:val="13"/>
                <w:color w:val="auto"/>
              </w:rPr>
            </w:pP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Service-based stock options</w:t>
            </w:r>
          </w:p>
        </w:tc>
        <w:tc>
          <w:tcPr>
            <w:tcW w:w="980" w:type="dxa"/>
            <w:vAlign w:val="bottom"/>
            <w:shd w:val="clear" w:color="auto" w:fill="CFF0FC"/>
          </w:tcPr>
          <w:p>
            <w:pPr>
              <w:jc w:val="right"/>
              <w:ind w:right="804"/>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5,017</w:t>
            </w:r>
          </w:p>
        </w:tc>
        <w:tc>
          <w:tcPr>
            <w:tcW w:w="1160" w:type="dxa"/>
            <w:vAlign w:val="bottom"/>
            <w:gridSpan w:val="2"/>
            <w:shd w:val="clear" w:color="auto" w:fill="CFF0FC"/>
          </w:tcPr>
          <w:p>
            <w:pPr>
              <w:jc w:val="right"/>
              <w:ind w:right="824"/>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5,746</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Performance-based stock options</w:t>
            </w:r>
          </w:p>
        </w:tc>
        <w:tc>
          <w:tcPr>
            <w:tcW w:w="98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112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RSUs</w:t>
            </w:r>
          </w:p>
        </w:tc>
        <w:tc>
          <w:tcPr>
            <w:tcW w:w="98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5,251</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7,539</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ESPP</w:t>
            </w:r>
          </w:p>
        </w:tc>
        <w:tc>
          <w:tcPr>
            <w:tcW w:w="9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766</w:t>
            </w:r>
          </w:p>
        </w:tc>
      </w:tr>
      <w:tr>
        <w:trPr>
          <w:trHeight w:val="223"/>
        </w:trPr>
        <w:tc>
          <w:tcPr>
            <w:tcW w:w="772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Total stock-based compensation expense</w:t>
            </w:r>
          </w:p>
        </w:tc>
        <w:tc>
          <w:tcPr>
            <w:tcW w:w="980" w:type="dxa"/>
            <w:vAlign w:val="bottom"/>
            <w:tcBorders>
              <w:bottom w:val="single" w:sz="8" w:color="auto"/>
            </w:tcBorders>
            <w:shd w:val="clear" w:color="auto" w:fill="CFF0FC"/>
          </w:tcPr>
          <w:p>
            <w:pPr>
              <w:jc w:val="right"/>
              <w:ind w:right="804"/>
              <w:spacing w:after="0" w:line="169"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10,686</w:t>
            </w:r>
          </w:p>
        </w:tc>
        <w:tc>
          <w:tcPr>
            <w:tcW w:w="1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24"/>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14,051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Segment and Geographic Information</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operates in one reportable segment, which is providing advanced cancer genomic tests for precision oncology and personalized testing. The Company develops, markets, and sells these tests to pharmaceutical companies, biopharmaceutical companies, diagnostic companies, universities, non-profits, and government entities. It derives revenue primarily in the United States from the sale of genomic testing services and manages its business activities on a consolidated basis. The Company does not have intra-entity sales or transfers. The Company’s CODM is its CEO, who reviews consolidated operating results, accompanied by disaggregated information about net revenues by customer types, as presented below, to make decisions about allocating resources and assessing performance for the entire Company.</w:t>
      </w:r>
    </w:p>
    <w:p>
      <w:pPr>
        <w:spacing w:after="0" w:line="1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Consolidated net loss is used to monitor actual performance compared to plans and forecasts. The CODM assesses performance based on revenue growth which is reported on the consolidated statements of operations. The accounting policies of the segment are the same as those described in the summary of significant accounting policies. The measure of segment assets is reported on the consolidated balance sheet as total assets. Substantially all of the Company’s long-lived assets are located in the United States.</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6"/>
          <w:szCs w:val="16"/>
          <w:color w:val="auto"/>
        </w:rPr>
        <w:t>The Company attributes revenues to geographic region based on the billing addresses of customers. The following table presents net revenues by geographic region: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4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United States</w:t>
            </w:r>
          </w:p>
        </w:tc>
        <w:tc>
          <w:tcPr>
            <w:tcW w:w="1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96%</w:t>
            </w:r>
          </w:p>
        </w:tc>
        <w:tc>
          <w:tcPr>
            <w:tcW w:w="1840" w:type="dxa"/>
            <w:vAlign w:val="bottom"/>
            <w:gridSpan w:val="2"/>
            <w:shd w:val="clear" w:color="auto" w:fill="CFF0FC"/>
          </w:tcPr>
          <w:p>
            <w:pPr>
              <w:jc w:val="right"/>
              <w:ind w:right="608"/>
              <w:spacing w:after="0" w:line="183" w:lineRule="exact"/>
              <w:rPr>
                <w:sz w:val="20"/>
                <w:szCs w:val="20"/>
                <w:color w:val="auto"/>
              </w:rPr>
            </w:pPr>
            <w:r>
              <w:rPr>
                <w:rFonts w:ascii="Arial" w:cs="Arial" w:eastAsia="Arial" w:hAnsi="Arial"/>
                <w:sz w:val="16"/>
                <w:szCs w:val="16"/>
                <w:color w:val="auto"/>
              </w:rPr>
              <w:t>90%</w:t>
            </w:r>
          </w:p>
        </w:tc>
      </w:tr>
      <w:tr>
        <w:trPr>
          <w:trHeight w:val="215"/>
        </w:trPr>
        <w:tc>
          <w:tcPr>
            <w:tcW w:w="7740" w:type="dxa"/>
            <w:vAlign w:val="bottom"/>
          </w:tcPr>
          <w:p>
            <w:pPr>
              <w:ind w:left="20"/>
              <w:spacing w:after="0"/>
              <w:rPr>
                <w:sz w:val="20"/>
                <w:szCs w:val="20"/>
                <w:color w:val="auto"/>
              </w:rPr>
            </w:pPr>
            <w:r>
              <w:rPr>
                <w:rFonts w:ascii="Arial" w:cs="Arial" w:eastAsia="Arial" w:hAnsi="Arial"/>
                <w:sz w:val="16"/>
                <w:szCs w:val="16"/>
                <w:color w:val="auto"/>
              </w:rPr>
              <w:t>Others</w:t>
            </w: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840" w:type="dxa"/>
            <w:vAlign w:val="bottom"/>
            <w:gridSpan w:val="2"/>
          </w:tcPr>
          <w:p>
            <w:pPr>
              <w:jc w:val="right"/>
              <w:ind w:right="608"/>
              <w:spacing w:after="0"/>
              <w:rPr>
                <w:sz w:val="20"/>
                <w:szCs w:val="20"/>
                <w:color w:val="auto"/>
              </w:rPr>
            </w:pPr>
            <w:r>
              <w:rPr>
                <w:rFonts w:ascii="Arial" w:cs="Arial" w:eastAsia="Arial" w:hAnsi="Arial"/>
                <w:sz w:val="16"/>
                <w:szCs w:val="16"/>
                <w:color w:val="auto"/>
              </w:rPr>
              <w:t>10%</w:t>
            </w:r>
          </w:p>
        </w:tc>
      </w:tr>
    </w:tbl>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provides information about reported segment revenue, segment loss, and significant segment expenses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w:t>
            </w:r>
          </w:p>
        </w:tc>
        <w:tc>
          <w:tcPr>
            <w:tcW w:w="960" w:type="dxa"/>
            <w:vAlign w:val="bottom"/>
            <w:shd w:val="clear" w:color="auto" w:fill="CFF0FC"/>
          </w:tcPr>
          <w:p>
            <w:pPr>
              <w:jc w:val="right"/>
              <w:ind w:right="78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84,614</w:t>
            </w:r>
          </w:p>
        </w:tc>
        <w:tc>
          <w:tcPr>
            <w:tcW w:w="5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73,481</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Payroll and related costs</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66,910</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86,463</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Lab supplies and outside services</w:t>
            </w:r>
          </w:p>
        </w:tc>
        <w:tc>
          <w:tcPr>
            <w:tcW w:w="9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12,029</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18,841</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Facility costs</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10,132</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16,899</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9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9,079</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12,448</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Repairs and maintenance</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8,210</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8,479</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Lease impairment</w:t>
            </w:r>
          </w:p>
        </w:tc>
        <w:tc>
          <w:tcPr>
            <w:tcW w:w="9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5,565</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charges</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8,077</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Change in fair value of the Tempus Warrants</w:t>
            </w:r>
          </w:p>
        </w:tc>
        <w:tc>
          <w:tcPr>
            <w:tcW w:w="9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18,274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4,027</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10,941</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11,770</w:t>
            </w:r>
          </w:p>
        </w:tc>
      </w:tr>
      <w:tr>
        <w:trPr>
          <w:trHeight w:val="189"/>
        </w:trPr>
        <w:tc>
          <w:tcPr>
            <w:tcW w:w="7720" w:type="dxa"/>
            <w:vAlign w:val="bottom"/>
          </w:tcPr>
          <w:p>
            <w:pPr>
              <w:ind w:left="20"/>
              <w:spacing w:after="0" w:line="189"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(a)</w:t>
            </w:r>
          </w:p>
        </w:tc>
        <w:tc>
          <w:tcPr>
            <w:tcW w:w="96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35,833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15,109</w:t>
            </w: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(5,510 )</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(5,901 )</w:t>
            </w:r>
          </w:p>
        </w:tc>
      </w:tr>
      <w:tr>
        <w:trPr>
          <w:trHeight w:val="183"/>
        </w:trPr>
        <w:tc>
          <w:tcPr>
            <w:tcW w:w="7720" w:type="dxa"/>
            <w:vAlign w:val="bottom"/>
          </w:tcPr>
          <w:p>
            <w:pPr>
              <w:ind w:left="20"/>
              <w:spacing w:after="0" w:line="169" w:lineRule="exact"/>
              <w:rPr>
                <w:sz w:val="20"/>
                <w:szCs w:val="20"/>
                <w:color w:val="auto"/>
              </w:rPr>
            </w:pPr>
            <w:r>
              <w:rPr>
                <w:rFonts w:ascii="Arial" w:cs="Arial" w:eastAsia="Arial" w:hAnsi="Arial"/>
                <w:sz w:val="16"/>
                <w:szCs w:val="16"/>
                <w:color w:val="auto"/>
              </w:rPr>
              <w:t>Segment and consolidated net loss</w:t>
            </w:r>
          </w:p>
        </w:tc>
        <w:tc>
          <w:tcPr>
            <w:tcW w:w="960" w:type="dxa"/>
            <w:vAlign w:val="bottom"/>
          </w:tcPr>
          <w:p>
            <w:pPr>
              <w:jc w:val="right"/>
              <w:ind w:right="784"/>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color w:val="auto"/>
              </w:rPr>
              <w:t>(81,284 )</w:t>
            </w:r>
          </w:p>
        </w:tc>
        <w:tc>
          <w:tcPr>
            <w:tcW w:w="5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9" w:lineRule="exact"/>
              <w:rPr>
                <w:sz w:val="20"/>
                <w:szCs w:val="20"/>
                <w:color w:val="auto"/>
              </w:rPr>
            </w:pPr>
            <w:r>
              <w:rPr>
                <w:rFonts w:ascii="Arial" w:cs="Arial" w:eastAsia="Arial" w:hAnsi="Arial"/>
                <w:sz w:val="16"/>
                <w:szCs w:val="16"/>
                <w:color w:val="auto"/>
              </w:rPr>
              <w:t>(108,296 )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73" w:lineRule="exact"/>
        <w:rPr>
          <w:sz w:val="20"/>
          <w:szCs w:val="20"/>
          <w:color w:val="auto"/>
        </w:rPr>
      </w:pPr>
    </w:p>
    <w:p>
      <w:pPr>
        <w:ind w:right="200" w:firstLine="8"/>
        <w:spacing w:after="0" w:line="285" w:lineRule="auto"/>
        <w:tabs>
          <w:tab w:leader="none" w:pos="2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segment items included in segment net loss include materials cost related to cost of revenue, marketing expenses, office expenses, foreign currency exchange gain and losses, and other overhead expenses.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19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 xml:space="preserve">In June 2024, the Company and Foresight entered into a Settlement and License Agreement (the "S&amp;L Agreement") to settle litigation related to alleged patent infringement by Foresight. The Company filed complaints against Foresight—one in August 2022 and a second in June 2023—for infringement of certain of the Company's patents relating to detection of MRD. Foresight filed counterclaims and alleged that its solid tumor recurrence test does not infringe the Company's patents and invalidated two of the Company's patents, and sought to invalidate certain of the Company's other patents, through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with the U.S. Patent Trial and Appeal Board. Pursuant to the S&amp;L Agreement, Foresight and the Company agreed to dismiss the pending claims of infringement and related defenses and counterclaims, and to end the remaining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w:t>
      </w:r>
    </w:p>
    <w:p>
      <w:pPr>
        <w:spacing w:after="0" w:line="14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S&amp;L Agreement, the Company granted Foresight a non-exclusive, worldwide license under certain patents of the Company to develop, manufacture, commercialize and otherwise exploit products and services that use whole genome sequencing and a variable content minimal/molecular residual disease panel that utilizes phased variants in consideration for which Foresight agreed to pay the Company a low single-digit tiered royalty on sales of products and services covered by patents licensed by the Company, subject to customary reductions. The license is perpetual and irrevocable, except in certain limited circumstances, which apply on a patent-by-patent basis. Upon the occurrence of certain specified change of control events with respect to Foresight, the highest percentage of the royalty tiers is subject to a low single-digit increase and Foresight will pay a one-time fee in the low single-digit millions. The term of the S&amp;L Agreement runs through expiration of the patents licensed by the Company to Foresight.</w:t>
      </w:r>
    </w:p>
    <w:p>
      <w:pPr>
        <w:spacing w:after="0" w:line="14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is also subject to claims and assessments from time to time in the ordinary course of business, including claims from customers and vendors, pending and potential legal actions for damages, governmental investigations and other matters. For example, the Company has received, and may in the future continue to receive letters, claims or complaints from others alleging false advertising, intellectual property infringement, and/or violation of employment practices. Accruals for litigation and loss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Except for the matter described in the first two paragraphs of this Note 12, as of December 31, 2024, the Company was not involved in any material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79"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3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In accordance with the Company's bylaws and/or pursuant to indemnification agreements entered into with directors, officers and certain employees, the Company has indemnification obligations to its directors, officers and employees for claims brought against these persons arising out of certain events or occurrences while they are serving in such a capacity. The Company maintains a director and officer liability insurance coverage to reduce its exposure to such obligations, and payments made under these agreements. To date, there have been no indemnification claims by these directors, officers and employees.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Basic and Diluted Net Loss Per Common Share</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and assumed issuance of common stock under the ESPP. The Company incurred net losses in the periods presented, and as a result, potential common shares from stock options, RSUs, and ESPP issuances were not included in the diluted shares used to calculate net loss per share, as their inclusion would have been anti-dilutive.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following table sets forth the computation of basic and diluted net loss per share attributable to common stockholders (in thousands, except share and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loss</w:t>
            </w: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(81,284 )</w:t>
            </w:r>
          </w:p>
        </w:tc>
        <w:tc>
          <w:tcPr>
            <w:tcW w:w="52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(108,296 )</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Weighted-average common shares outstanding—basic and diluted</w:t>
            </w:r>
          </w:p>
        </w:tc>
        <w:tc>
          <w:tcPr>
            <w:tcW w:w="360" w:type="dxa"/>
            <w:vAlign w:val="bottom"/>
          </w:tcPr>
          <w:p>
            <w:pPr>
              <w:spacing w:after="0"/>
              <w:rPr>
                <w:sz w:val="16"/>
                <w:szCs w:val="16"/>
                <w:color w:val="auto"/>
              </w:rPr>
            </w:pPr>
          </w:p>
        </w:tc>
        <w:tc>
          <w:tcPr>
            <w:tcW w:w="1320" w:type="dxa"/>
            <w:vAlign w:val="bottom"/>
          </w:tcPr>
          <w:p>
            <w:pPr>
              <w:jc w:val="right"/>
              <w:ind w:right="63"/>
              <w:spacing w:after="0"/>
              <w:rPr>
                <w:sz w:val="20"/>
                <w:szCs w:val="20"/>
                <w:color w:val="auto"/>
              </w:rPr>
            </w:pPr>
            <w:r>
              <w:rPr>
                <w:rFonts w:ascii="Arial" w:cs="Arial" w:eastAsia="Arial" w:hAnsi="Arial"/>
                <w:sz w:val="16"/>
                <w:szCs w:val="16"/>
                <w:color w:val="auto"/>
              </w:rPr>
              <w:t>59,251,013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48,175,201</w:t>
            </w:r>
          </w:p>
        </w:tc>
      </w:tr>
      <w:tr>
        <w:trPr>
          <w:trHeight w:val="229"/>
        </w:trPr>
        <w:tc>
          <w:tcPr>
            <w:tcW w:w="77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Net loss per common share—basic and diluted</w:t>
            </w: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(1.37 )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following table sets forth the potentially dilutive shares excluded from the computation of diluted net loss per common share because their effect was anti-dilutive: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680" w:type="dxa"/>
            <w:vAlign w:val="bottom"/>
          </w:tcPr>
          <w:p>
            <w:pPr>
              <w:spacing w:after="0"/>
              <w:rPr>
                <w:sz w:val="13"/>
                <w:szCs w:val="13"/>
                <w:color w:val="auto"/>
              </w:rPr>
            </w:pPr>
          </w:p>
        </w:tc>
        <w:tc>
          <w:tcPr>
            <w:tcW w:w="172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3"/>
                <w:szCs w:val="13"/>
                <w:color w:val="auto"/>
              </w:rPr>
            </w:pPr>
          </w:p>
        </w:tc>
        <w:tc>
          <w:tcPr>
            <w:tcW w:w="172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Tempus Warrants</w:t>
            </w:r>
          </w:p>
        </w:tc>
        <w:tc>
          <w:tcPr>
            <w:tcW w:w="172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1840" w:type="dxa"/>
            <w:vAlign w:val="bottom"/>
            <w:gridSpan w:val="2"/>
            <w:shd w:val="clear" w:color="auto" w:fill="CFF0FC"/>
          </w:tcPr>
          <w:p>
            <w:pPr>
              <w:jc w:val="right"/>
              <w:ind w:right="62"/>
              <w:spacing w:after="0" w:line="183" w:lineRule="exact"/>
              <w:rPr>
                <w:sz w:val="20"/>
                <w:szCs w:val="20"/>
                <w:color w:val="auto"/>
              </w:rPr>
            </w:pPr>
            <w:r>
              <w:rPr>
                <w:rFonts w:ascii="Arial" w:cs="Arial" w:eastAsia="Arial" w:hAnsi="Arial"/>
                <w:sz w:val="16"/>
                <w:szCs w:val="16"/>
                <w:color w:val="auto"/>
              </w:rPr>
              <w:t>9,218,800</w:t>
            </w: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Options to purchase common stock</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8,879,218</w:t>
            </w:r>
          </w:p>
        </w:tc>
        <w:tc>
          <w:tcPr>
            <w:tcW w:w="1840" w:type="dxa"/>
            <w:vAlign w:val="bottom"/>
            <w:gridSpan w:val="2"/>
          </w:tcPr>
          <w:p>
            <w:pPr>
              <w:jc w:val="right"/>
              <w:ind w:right="62"/>
              <w:spacing w:after="0"/>
              <w:rPr>
                <w:sz w:val="20"/>
                <w:szCs w:val="20"/>
                <w:color w:val="auto"/>
              </w:rPr>
            </w:pPr>
            <w:r>
              <w:rPr>
                <w:rFonts w:ascii="Arial" w:cs="Arial" w:eastAsia="Arial" w:hAnsi="Arial"/>
                <w:sz w:val="16"/>
                <w:szCs w:val="16"/>
                <w:color w:val="auto"/>
              </w:rPr>
              <w:t>5,805,586</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RSUs</w:t>
            </w: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433,484</w:t>
            </w:r>
          </w:p>
        </w:tc>
        <w:tc>
          <w:tcPr>
            <w:tcW w:w="1840" w:type="dxa"/>
            <w:vAlign w:val="bottom"/>
            <w:gridSpan w:val="2"/>
            <w:shd w:val="clear" w:color="auto" w:fill="CFF0FC"/>
          </w:tcPr>
          <w:p>
            <w:pPr>
              <w:jc w:val="right"/>
              <w:ind w:right="62"/>
              <w:spacing w:after="0"/>
              <w:rPr>
                <w:sz w:val="20"/>
                <w:szCs w:val="20"/>
                <w:color w:val="auto"/>
              </w:rPr>
            </w:pPr>
            <w:r>
              <w:rPr>
                <w:rFonts w:ascii="Arial" w:cs="Arial" w:eastAsia="Arial" w:hAnsi="Arial"/>
                <w:sz w:val="16"/>
                <w:szCs w:val="16"/>
                <w:color w:val="auto"/>
              </w:rPr>
              <w:t>1,253,826</w:t>
            </w: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ESPP</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513,881</w:t>
            </w:r>
          </w:p>
        </w:tc>
      </w:tr>
      <w:tr>
        <w:trPr>
          <w:trHeight w:val="223"/>
        </w:trPr>
        <w:tc>
          <w:tcPr>
            <w:tcW w:w="768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FF0FC"/>
          </w:tcPr>
          <w:p>
            <w:pPr>
              <w:jc w:val="right"/>
              <w:ind w:right="42"/>
              <w:spacing w:after="0" w:line="169" w:lineRule="exact"/>
              <w:rPr>
                <w:sz w:val="20"/>
                <w:szCs w:val="20"/>
                <w:color w:val="auto"/>
              </w:rPr>
            </w:pPr>
            <w:r>
              <w:rPr>
                <w:rFonts w:ascii="Arial" w:cs="Arial" w:eastAsia="Arial" w:hAnsi="Arial"/>
                <w:sz w:val="16"/>
                <w:szCs w:val="16"/>
                <w:color w:val="auto"/>
              </w:rPr>
              <w:t>9,312,763</w:t>
            </w:r>
          </w:p>
        </w:tc>
        <w:tc>
          <w:tcPr>
            <w:tcW w:w="1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62"/>
              <w:spacing w:after="0" w:line="169" w:lineRule="exact"/>
              <w:rPr>
                <w:sz w:val="20"/>
                <w:szCs w:val="20"/>
                <w:color w:val="auto"/>
              </w:rPr>
            </w:pPr>
            <w:r>
              <w:rPr>
                <w:rFonts w:ascii="Arial" w:cs="Arial" w:eastAsia="Arial" w:hAnsi="Arial"/>
                <w:sz w:val="16"/>
                <w:szCs w:val="16"/>
                <w:color w:val="auto"/>
              </w:rPr>
              <w:t>16,792,093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financial reporting purposes, loss before income taxes includes the following components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Domestic</w:t>
            </w:r>
          </w:p>
        </w:tc>
        <w:tc>
          <w:tcPr>
            <w:tcW w:w="960" w:type="dxa"/>
            <w:vAlign w:val="bottom"/>
            <w:shd w:val="clear" w:color="auto" w:fill="CFF0FC"/>
          </w:tcPr>
          <w:p>
            <w:pPr>
              <w:jc w:val="right"/>
              <w:ind w:right="784"/>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(81,312 )</w:t>
            </w:r>
          </w:p>
        </w:tc>
        <w:tc>
          <w:tcPr>
            <w:tcW w:w="52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(106,833 )</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(1,380 )</w:t>
            </w:r>
          </w:p>
        </w:tc>
      </w:tr>
      <w:tr>
        <w:trPr>
          <w:trHeight w:val="223"/>
        </w:trPr>
        <w:tc>
          <w:tcPr>
            <w:tcW w:w="7720" w:type="dxa"/>
            <w:vAlign w:val="bottom"/>
            <w:shd w:val="clear" w:color="auto" w:fill="CFF0FC"/>
          </w:tcPr>
          <w:p>
            <w:pPr>
              <w:ind w:left="200"/>
              <w:spacing w:after="0" w:line="169" w:lineRule="exact"/>
              <w:rPr>
                <w:sz w:val="20"/>
                <w:szCs w:val="20"/>
                <w:color w:val="auto"/>
              </w:rPr>
            </w:pPr>
            <w:r>
              <w:rPr>
                <w:rFonts w:ascii="Arial" w:cs="Arial" w:eastAsia="Arial" w:hAnsi="Arial"/>
                <w:sz w:val="16"/>
                <w:szCs w:val="16"/>
                <w:color w:val="auto"/>
              </w:rPr>
              <w:t>Loss before income taxes</w:t>
            </w:r>
          </w:p>
        </w:tc>
        <w:tc>
          <w:tcPr>
            <w:tcW w:w="960" w:type="dxa"/>
            <w:vAlign w:val="bottom"/>
            <w:shd w:val="clear" w:color="auto" w:fill="CFF0FC"/>
          </w:tcPr>
          <w:p>
            <w:pPr>
              <w:jc w:val="right"/>
              <w:ind w:right="784"/>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(81,266 )</w:t>
            </w:r>
          </w:p>
        </w:tc>
        <w:tc>
          <w:tcPr>
            <w:tcW w:w="520" w:type="dxa"/>
            <w:vAlign w:val="bottom"/>
            <w:gridSpan w:val="2"/>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(108,213 )</w:t>
            </w:r>
          </w:p>
        </w:tc>
      </w:tr>
      <w:tr>
        <w:trPr>
          <w:trHeight w:val="383"/>
        </w:trPr>
        <w:tc>
          <w:tcPr>
            <w:tcW w:w="7720" w:type="dxa"/>
            <w:vAlign w:val="bottom"/>
            <w:tcBorders>
              <w:top w:val="single" w:sz="8" w:color="CFF0FC"/>
            </w:tcBorders>
          </w:tcPr>
          <w:p>
            <w:pPr>
              <w:spacing w:after="0"/>
              <w:rPr>
                <w:sz w:val="20"/>
                <w:szCs w:val="20"/>
                <w:color w:val="auto"/>
              </w:rPr>
            </w:pPr>
            <w:r>
              <w:rPr>
                <w:rFonts w:ascii="Arial" w:cs="Arial" w:eastAsia="Arial" w:hAnsi="Arial"/>
                <w:sz w:val="16"/>
                <w:szCs w:val="16"/>
                <w:i w:val="1"/>
                <w:iCs w:val="1"/>
                <w:color w:val="auto"/>
              </w:rPr>
              <w:t>Provision for Income Taxes</w:t>
            </w:r>
          </w:p>
        </w:tc>
        <w:tc>
          <w:tcPr>
            <w:tcW w:w="9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365"/>
        </w:trPr>
        <w:tc>
          <w:tcPr>
            <w:tcW w:w="7720" w:type="dxa"/>
            <w:vAlign w:val="bottom"/>
          </w:tcPr>
          <w:p>
            <w:pPr>
              <w:ind w:left="760"/>
              <w:spacing w:after="0"/>
              <w:rPr>
                <w:sz w:val="20"/>
                <w:szCs w:val="20"/>
                <w:color w:val="auto"/>
              </w:rPr>
            </w:pPr>
            <w:r>
              <w:rPr>
                <w:rFonts w:ascii="Arial" w:cs="Arial" w:eastAsia="Arial" w:hAnsi="Arial"/>
                <w:sz w:val="16"/>
                <w:szCs w:val="16"/>
                <w:color w:val="auto"/>
              </w:rPr>
              <w:t>The provision for income taxes consists of the following (in thousands):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772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861"/>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Current: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Federal</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w:t>
            </w: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35</w:t>
            </w:r>
          </w:p>
        </w:tc>
      </w:tr>
      <w:tr>
        <w:trPr>
          <w:trHeight w:val="183"/>
        </w:trPr>
        <w:tc>
          <w:tcPr>
            <w:tcW w:w="772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29</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Deferred:</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54</w:t>
            </w:r>
          </w:p>
        </w:tc>
      </w:tr>
      <w:tr>
        <w:trPr>
          <w:trHeight w:val="182"/>
        </w:trPr>
        <w:tc>
          <w:tcPr>
            <w:tcW w:w="7720" w:type="dxa"/>
            <w:vAlign w:val="bottom"/>
          </w:tcPr>
          <w:p>
            <w:pPr>
              <w:ind w:left="200"/>
              <w:spacing w:after="0" w:line="183" w:lineRule="exact"/>
              <w:rPr>
                <w:sz w:val="20"/>
                <w:szCs w:val="20"/>
                <w:color w:val="auto"/>
              </w:rPr>
            </w:pPr>
            <w:r>
              <w:rPr>
                <w:rFonts w:ascii="Arial" w:cs="Arial" w:eastAsia="Arial" w:hAnsi="Arial"/>
                <w:sz w:val="16"/>
                <w:szCs w:val="16"/>
                <w:color w:val="auto"/>
              </w:rPr>
              <w:t>Total deferred</w:t>
            </w: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(1 )</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54</w:t>
            </w:r>
          </w:p>
        </w:tc>
      </w:tr>
      <w:tr>
        <w:trPr>
          <w:trHeight w:val="223"/>
        </w:trPr>
        <w:tc>
          <w:tcPr>
            <w:tcW w:w="772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shd w:val="clear" w:color="auto" w:fill="CFF0FC"/>
          </w:tcPr>
          <w:p>
            <w:pPr>
              <w:jc w:val="right"/>
              <w:ind w:right="784"/>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18</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61"/>
              <w:spacing w:after="0" w:line="169" w:lineRule="exact"/>
              <w:rPr>
                <w:sz w:val="20"/>
                <w:szCs w:val="20"/>
                <w:color w:val="auto"/>
              </w:rPr>
            </w:pPr>
            <w:r>
              <w:rPr>
                <w:rFonts w:ascii="Arial" w:cs="Arial" w:eastAsia="Arial" w:hAnsi="Arial"/>
                <w:sz w:val="16"/>
                <w:szCs w:val="16"/>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-1979295</wp:posOffset>
            </wp:positionV>
            <wp:extent cx="1117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-1962150</wp:posOffset>
            </wp:positionV>
            <wp:extent cx="1117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-281940</wp:posOffset>
            </wp:positionV>
            <wp:extent cx="1117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Income tax provision related to continuing operations differ from the amounts computed by applying the statutory income tax rate of 21% to pretax loss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74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16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Expected tax (benefit) at federal statutory rate</w:t>
            </w:r>
          </w:p>
        </w:tc>
        <w:tc>
          <w:tcPr>
            <w:tcW w:w="1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(21%)</w:t>
            </w:r>
          </w:p>
        </w:tc>
        <w:tc>
          <w:tcPr>
            <w:tcW w:w="1840" w:type="dxa"/>
            <w:vAlign w:val="bottom"/>
            <w:gridSpan w:val="2"/>
            <w:shd w:val="clear" w:color="auto" w:fill="CFF0FC"/>
          </w:tcPr>
          <w:p>
            <w:pPr>
              <w:jc w:val="center"/>
              <w:ind w:left="79"/>
              <w:spacing w:after="0" w:line="183" w:lineRule="exact"/>
              <w:rPr>
                <w:sz w:val="20"/>
                <w:szCs w:val="20"/>
                <w:color w:val="auto"/>
              </w:rPr>
            </w:pPr>
            <w:r>
              <w:rPr>
                <w:rFonts w:ascii="Arial" w:cs="Arial" w:eastAsia="Arial" w:hAnsi="Arial"/>
                <w:sz w:val="16"/>
                <w:szCs w:val="16"/>
                <w:color w:val="auto"/>
              </w:rPr>
              <w:t>(21%)</w:t>
            </w:r>
          </w:p>
        </w:tc>
      </w:tr>
      <w:tr>
        <w:trPr>
          <w:trHeight w:val="189"/>
        </w:trPr>
        <w:tc>
          <w:tcPr>
            <w:tcW w:w="774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taxes</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w:t>
            </w:r>
          </w:p>
        </w:tc>
        <w:tc>
          <w:tcPr>
            <w:tcW w:w="1840" w:type="dxa"/>
            <w:vAlign w:val="bottom"/>
            <w:gridSpan w:val="2"/>
            <w:shd w:val="clear" w:color="auto" w:fill="CFF0FC"/>
          </w:tcPr>
          <w:p>
            <w:pPr>
              <w:jc w:val="center"/>
              <w:ind w:left="99"/>
              <w:spacing w:after="0"/>
              <w:rPr>
                <w:sz w:val="20"/>
                <w:szCs w:val="20"/>
                <w:color w:val="auto"/>
              </w:rPr>
            </w:pPr>
            <w:r>
              <w:rPr>
                <w:rFonts w:ascii="Arial" w:cs="Arial" w:eastAsia="Arial" w:hAnsi="Arial"/>
                <w:sz w:val="16"/>
                <w:szCs w:val="16"/>
                <w:color w:val="auto"/>
              </w:rPr>
              <w:t>(7%)</w:t>
            </w: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Change in valuation allowance</w:t>
            </w:r>
          </w:p>
        </w:tc>
        <w:tc>
          <w:tcPr>
            <w:tcW w:w="1660" w:type="dxa"/>
            <w:vAlign w:val="bottom"/>
          </w:tcPr>
          <w:p>
            <w:pPr>
              <w:jc w:val="center"/>
              <w:spacing w:after="0"/>
              <w:rPr>
                <w:sz w:val="20"/>
                <w:szCs w:val="20"/>
                <w:color w:val="auto"/>
              </w:rPr>
            </w:pPr>
            <w:r>
              <w:rPr>
                <w:rFonts w:ascii="Arial" w:cs="Arial" w:eastAsia="Arial" w:hAnsi="Arial"/>
                <w:sz w:val="16"/>
                <w:szCs w:val="16"/>
                <w:color w:val="auto"/>
              </w:rPr>
              <w:t>20%</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auto"/>
                <w:w w:val="99"/>
              </w:rPr>
              <w:t>26%</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w:t>
            </w:r>
          </w:p>
        </w:tc>
        <w:tc>
          <w:tcPr>
            <w:tcW w:w="184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rPr>
              <w:t>3%</w:t>
            </w: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Research and development credit</w:t>
            </w:r>
          </w:p>
        </w:tc>
        <w:tc>
          <w:tcPr>
            <w:tcW w:w="1660" w:type="dxa"/>
            <w:vAlign w:val="bottom"/>
          </w:tcPr>
          <w:p>
            <w:pPr>
              <w:jc w:val="center"/>
              <w:spacing w:after="0"/>
              <w:rPr>
                <w:sz w:val="20"/>
                <w:szCs w:val="20"/>
                <w:color w:val="auto"/>
              </w:rPr>
            </w:pPr>
            <w:r>
              <w:rPr>
                <w:rFonts w:ascii="Arial" w:cs="Arial" w:eastAsia="Arial" w:hAnsi="Arial"/>
                <w:sz w:val="16"/>
                <w:szCs w:val="16"/>
                <w:color w:val="auto"/>
              </w:rPr>
              <w:t>(3%)</w:t>
            </w:r>
          </w:p>
        </w:tc>
        <w:tc>
          <w:tcPr>
            <w:tcW w:w="1840" w:type="dxa"/>
            <w:vAlign w:val="bottom"/>
            <w:gridSpan w:val="2"/>
          </w:tcPr>
          <w:p>
            <w:pPr>
              <w:jc w:val="center"/>
              <w:ind w:left="99"/>
              <w:spacing w:after="0"/>
              <w:rPr>
                <w:sz w:val="20"/>
                <w:szCs w:val="20"/>
                <w:color w:val="auto"/>
              </w:rPr>
            </w:pPr>
            <w:r>
              <w:rPr>
                <w:rFonts w:ascii="Arial" w:cs="Arial" w:eastAsia="Arial" w:hAnsi="Arial"/>
                <w:sz w:val="16"/>
                <w:szCs w:val="16"/>
                <w:color w:val="auto"/>
              </w:rPr>
              <w:t>(3%)</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 revaluation</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5%</w:t>
            </w:r>
          </w:p>
        </w:tc>
        <w:tc>
          <w:tcPr>
            <w:tcW w:w="184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rPr>
              <w:t>0%</w:t>
            </w:r>
          </w:p>
        </w:tc>
      </w:tr>
      <w:tr>
        <w:trPr>
          <w:trHeight w:val="189"/>
        </w:trPr>
        <w:tc>
          <w:tcPr>
            <w:tcW w:w="7740" w:type="dxa"/>
            <w:vAlign w:val="bottom"/>
          </w:tcPr>
          <w:p>
            <w:pPr>
              <w:ind w:left="200"/>
              <w:spacing w:after="0"/>
              <w:rPr>
                <w:sz w:val="20"/>
                <w:szCs w:val="20"/>
                <w:color w:val="auto"/>
              </w:rPr>
            </w:pPr>
            <w:r>
              <w:rPr>
                <w:rFonts w:ascii="Arial" w:cs="Arial" w:eastAsia="Arial" w:hAnsi="Arial"/>
                <w:sz w:val="16"/>
                <w:szCs w:val="16"/>
                <w:color w:val="auto"/>
              </w:rPr>
              <w:t>Other</w:t>
            </w:r>
          </w:p>
        </w:tc>
        <w:tc>
          <w:tcPr>
            <w:tcW w:w="16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840" w:type="dxa"/>
            <w:vAlign w:val="bottom"/>
            <w:gridSpan w:val="2"/>
          </w:tcPr>
          <w:p>
            <w:pPr>
              <w:jc w:val="center"/>
              <w:ind w:left="79"/>
              <w:spacing w:after="0"/>
              <w:rPr>
                <w:sz w:val="20"/>
                <w:szCs w:val="20"/>
                <w:color w:val="auto"/>
              </w:rPr>
            </w:pPr>
            <w:r>
              <w:rPr>
                <w:rFonts w:ascii="Arial" w:cs="Arial" w:eastAsia="Arial" w:hAnsi="Arial"/>
                <w:sz w:val="16"/>
                <w:szCs w:val="16"/>
                <w:color w:val="auto"/>
              </w:rPr>
              <w:t>2%</w:t>
            </w:r>
          </w:p>
        </w:tc>
      </w:tr>
      <w:tr>
        <w:trPr>
          <w:trHeight w:val="223"/>
        </w:trPr>
        <w:tc>
          <w:tcPr>
            <w:tcW w:w="774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Effective tax rate</w:t>
            </w:r>
          </w:p>
        </w:tc>
        <w:tc>
          <w:tcPr>
            <w:tcW w:w="1660" w:type="dxa"/>
            <w:vAlign w:val="bottom"/>
            <w:tcBorders>
              <w:top w:val="single" w:sz="8" w:color="auto"/>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w w:val="94"/>
              </w:rPr>
              <w:t>–%</w:t>
            </w:r>
          </w:p>
        </w:tc>
        <w:tc>
          <w:tcPr>
            <w:tcW w:w="1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 Assets and Liabilities</w:t>
      </w:r>
    </w:p>
    <w:p>
      <w:pPr>
        <w:spacing w:after="0" w:line="19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Company’s deferred tax assets for federal and state income taxes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0"/>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Deferred tax assets: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94,215</w:t>
            </w:r>
          </w:p>
        </w:tc>
        <w:tc>
          <w:tcPr>
            <w:tcW w:w="64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83,983</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credits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26,196</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22,669</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Capitalized research and development</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27,088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22,089</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362</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Accruals and reserves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2,011</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2,883</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4,084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4,614</w:t>
            </w:r>
          </w:p>
        </w:tc>
      </w:tr>
      <w:tr>
        <w:trPr>
          <w:trHeight w:val="189"/>
        </w:trPr>
        <w:tc>
          <w:tcPr>
            <w:tcW w:w="7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11,828</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13,124</w:t>
            </w: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Other intangibles</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209</w:t>
            </w: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299</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132</w:t>
            </w:r>
          </w:p>
        </w:tc>
      </w:tr>
      <w:tr>
        <w:trPr>
          <w:trHeight w:val="183"/>
        </w:trPr>
        <w:tc>
          <w:tcPr>
            <w:tcW w:w="7720" w:type="dxa"/>
            <w:vAlign w:val="bottom"/>
          </w:tcPr>
          <w:p>
            <w:pPr>
              <w:ind w:left="380"/>
              <w:spacing w:after="0" w:line="183" w:lineRule="exact"/>
              <w:rPr>
                <w:sz w:val="20"/>
                <w:szCs w:val="20"/>
                <w:color w:val="auto"/>
              </w:rPr>
            </w:pPr>
            <w:r>
              <w:rPr>
                <w:rFonts w:ascii="Arial" w:cs="Arial" w:eastAsia="Arial" w:hAnsi="Arial"/>
                <w:sz w:val="16"/>
                <w:szCs w:val="16"/>
                <w:color w:val="auto"/>
              </w:rPr>
              <w:t>Total gross deferred tax assets</w:t>
            </w:r>
          </w:p>
        </w:tc>
        <w:tc>
          <w:tcPr>
            <w:tcW w:w="360" w:type="dxa"/>
            <w:vAlign w:val="bottom"/>
          </w:tcPr>
          <w:p>
            <w:pPr>
              <w:spacing w:after="0"/>
              <w:rPr>
                <w:sz w:val="15"/>
                <w:szCs w:val="15"/>
                <w:color w:val="auto"/>
              </w:rPr>
            </w:pPr>
          </w:p>
        </w:tc>
        <w:tc>
          <w:tcPr>
            <w:tcW w:w="132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166,278</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150,065</w:t>
            </w:r>
          </w:p>
        </w:tc>
      </w:tr>
      <w:tr>
        <w:trPr>
          <w:trHeight w:val="189"/>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(161,698 )</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(144,861 )</w:t>
            </w:r>
          </w:p>
        </w:tc>
      </w:tr>
      <w:tr>
        <w:trPr>
          <w:trHeight w:val="183"/>
        </w:trPr>
        <w:tc>
          <w:tcPr>
            <w:tcW w:w="7720" w:type="dxa"/>
            <w:vAlign w:val="bottom"/>
          </w:tcPr>
          <w:p>
            <w:pPr>
              <w:ind w:left="740"/>
              <w:spacing w:after="0" w:line="183" w:lineRule="exact"/>
              <w:rPr>
                <w:sz w:val="20"/>
                <w:szCs w:val="20"/>
                <w:color w:val="auto"/>
              </w:rPr>
            </w:pPr>
            <w:r>
              <w:rPr>
                <w:rFonts w:ascii="Arial" w:cs="Arial" w:eastAsia="Arial" w:hAnsi="Arial"/>
                <w:sz w:val="16"/>
                <w:szCs w:val="16"/>
                <w:color w:val="auto"/>
              </w:rPr>
              <w:t>Total deferred tax assets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4,580</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5,204</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Deferred tax liabilities: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7720" w:type="dxa"/>
            <w:vAlign w:val="bottom"/>
          </w:tcPr>
          <w:p>
            <w:pPr>
              <w:ind w:left="200"/>
              <w:spacing w:after="0"/>
              <w:rPr>
                <w:sz w:val="20"/>
                <w:szCs w:val="20"/>
                <w:color w:val="auto"/>
              </w:rPr>
            </w:pPr>
            <w:r>
              <w:rPr>
                <w:rFonts w:ascii="Arial" w:cs="Arial" w:eastAsia="Arial" w:hAnsi="Arial"/>
                <w:sz w:val="16"/>
                <w:szCs w:val="16"/>
                <w:color w:val="auto"/>
              </w:rPr>
              <w:t>Property and equipment</w:t>
            </w:r>
          </w:p>
        </w:tc>
        <w:tc>
          <w:tcPr>
            <w:tcW w:w="36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189"/>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(4,571 )</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(5,084 )</w:t>
            </w:r>
          </w:p>
        </w:tc>
      </w:tr>
      <w:tr>
        <w:trPr>
          <w:trHeight w:val="183"/>
        </w:trPr>
        <w:tc>
          <w:tcPr>
            <w:tcW w:w="7720" w:type="dxa"/>
            <w:vAlign w:val="bottom"/>
          </w:tcPr>
          <w:p>
            <w:pPr>
              <w:ind w:left="740"/>
              <w:spacing w:after="0" w:line="183" w:lineRule="exact"/>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(4,571 )</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(5,197 )</w:t>
            </w:r>
          </w:p>
        </w:tc>
      </w:tr>
      <w:tr>
        <w:trPr>
          <w:trHeight w:val="223"/>
        </w:trPr>
        <w:tc>
          <w:tcPr>
            <w:tcW w:w="7720" w:type="dxa"/>
            <w:vAlign w:val="bottom"/>
            <w:tcBorders>
              <w:bottom w:val="single" w:sz="8" w:color="CFF0FC"/>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Net deferred tax assets</w:t>
            </w: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9</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-1028065</wp:posOffset>
            </wp:positionV>
            <wp:extent cx="1117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1117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-282575</wp:posOffset>
            </wp:positionV>
            <wp:extent cx="1117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Because of the Company’s lack of U.S. earnings history, the net U.S. deferred tax assets have been fully offset by a valuation allowance. The valuation allowance increased by $16.8 million and $30.4 million during the years ended December 31, 2024 and 2023,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Operating Loss and Tax Credit Carryforwards</w:t>
      </w:r>
    </w:p>
    <w:p>
      <w:pPr>
        <w:spacing w:after="0" w:line="1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As of December 31, 2024, the Company had a net operating loss carryforward for federal income tax purposes of $324.1 million, of which $91.9 million is subject to expiration beginning in 2031. The Company had a total state net operating loss carryforward of $302.5 million, which will begin to expire in 2031. Utilization of some of the federal and state net operating loss and credit carryforwards or other tax attributes, such as research tax credits, are subject to annual limitations due to the “change in ownership” provisions of the Internal Revenue Code of 1986, as amended (the "Code"), and similar state provisions. Under Section 382 of the Code, "change in ownership"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It is possible that an ownership change, or any future ownership change, could have a material effect on the use of our net operating loss carryforwards or other tax attributes, which could adversely affect our operating results.</w:t>
      </w:r>
    </w:p>
    <w:p>
      <w:pPr>
        <w:spacing w:after="0" w:line="15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As of December 31, 2024, the Company has federal credits of $14.2 million, which will begin to expire in 2031 and state research credits of $12.0 million, which have no expiration date. These tax credits are subject to the same limitations discussed above. The Company determined that the ownership changes identified above had no significant impact on federal and state research credits.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1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The Company has incurred net operating losses since inception and does not have any significant unrecognized tax benefits in the balance sheet. The Company’s policy is to include interest and penalties related to unrecognized tax benefits, if any, within the provision for taxes in the consolidated statements of operations. If the Company is eventually able to recognize its uncertain positions, the effective tax rate would be reduced. The Company currently has a full valuation allowance against its net deferred tax assets, which would impact the timing of the effective tax rate benefit should any of these uncertain tax positions be favorably settled in the future. Any adjustments to the Company’s uncertain tax positions would result in an adjustment of net operating loss or tax credit carryforwards rather than resulting in a cash outlay.</w:t>
      </w:r>
    </w:p>
    <w:p>
      <w:pPr>
        <w:spacing w:after="0" w:line="155"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The Company files U.S. federal income tax returns and various state income tax returns. Because of net operating losses and research credit carryovers, substantially all the Company’s tax years remain open to examination.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has the following activity relating to unrecognized tax benefits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04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61"/>
              <w:spacing w:after="0" w:line="155" w:lineRule="exact"/>
              <w:rPr>
                <w:sz w:val="20"/>
                <w:szCs w:val="20"/>
                <w:color w:val="auto"/>
              </w:rPr>
            </w:pPr>
            <w:r>
              <w:rPr>
                <w:rFonts w:ascii="Arial" w:cs="Arial" w:eastAsia="Arial" w:hAnsi="Arial"/>
                <w:sz w:val="14"/>
                <w:szCs w:val="14"/>
                <w:b w:val="1"/>
                <w:bCs w:val="1"/>
                <w:color w:val="auto"/>
              </w:rPr>
              <w:t>2023</w:t>
            </w:r>
          </w:p>
        </w:tc>
      </w:tr>
      <w:tr>
        <w:trPr>
          <w:trHeight w:val="183"/>
        </w:trPr>
        <w:tc>
          <w:tcPr>
            <w:tcW w:w="7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Beginning balance</w:t>
            </w:r>
          </w:p>
        </w:tc>
        <w:tc>
          <w:tcPr>
            <w:tcW w:w="1040" w:type="dxa"/>
            <w:vAlign w:val="bottom"/>
            <w:shd w:val="clear" w:color="auto" w:fill="CFF0FC"/>
          </w:tcPr>
          <w:p>
            <w:pPr>
              <w:jc w:val="right"/>
              <w:ind w:right="862"/>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5,701</w:t>
            </w:r>
          </w:p>
        </w:tc>
        <w:tc>
          <w:tcPr>
            <w:tcW w:w="640" w:type="dxa"/>
            <w:vAlign w:val="bottom"/>
            <w:gridSpan w:val="2"/>
            <w:shd w:val="clear" w:color="auto" w:fill="CFF0FC"/>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rPr>
              <w:t>4,240</w:t>
            </w: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Gross increase—tax position in prior periods</w:t>
            </w:r>
          </w:p>
        </w:tc>
        <w:tc>
          <w:tcPr>
            <w:tcW w:w="10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162</w:t>
            </w:r>
          </w:p>
        </w:tc>
      </w:tr>
      <w:tr>
        <w:trPr>
          <w:trHeight w:val="18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Gross increase—tax position in current period</w:t>
            </w:r>
          </w:p>
        </w:tc>
        <w:tc>
          <w:tcPr>
            <w:tcW w:w="10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882</w:t>
            </w:r>
          </w:p>
        </w:tc>
        <w:tc>
          <w:tcPr>
            <w:tcW w:w="16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1,299</w:t>
            </w: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6"/>
                <w:szCs w:val="16"/>
                <w:color w:val="auto"/>
              </w:rPr>
              <w:t>Ending balance</w:t>
            </w:r>
          </w:p>
        </w:tc>
        <w:tc>
          <w:tcPr>
            <w:tcW w:w="1040" w:type="dxa"/>
            <w:vAlign w:val="bottom"/>
          </w:tcPr>
          <w:p>
            <w:pPr>
              <w:jc w:val="right"/>
              <w:ind w:right="862"/>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6,583</w:t>
            </w:r>
          </w:p>
        </w:tc>
        <w:tc>
          <w:tcPr>
            <w:tcW w:w="640" w:type="dxa"/>
            <w:vAlign w:val="bottom"/>
            <w:gridSpan w:val="2"/>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line="183" w:lineRule="exact"/>
              <w:rPr>
                <w:sz w:val="20"/>
                <w:szCs w:val="20"/>
                <w:color w:val="auto"/>
              </w:rPr>
            </w:pPr>
            <w:r>
              <w:rPr>
                <w:rFonts w:ascii="Arial" w:cs="Arial" w:eastAsia="Arial" w:hAnsi="Arial"/>
                <w:sz w:val="16"/>
                <w:szCs w:val="16"/>
                <w:color w:val="auto"/>
              </w:rPr>
              <w:t>5,701</w:t>
            </w: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2024 and 2023, no interest or penalties were required to be recognized relating to unrecognized tax benefits.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Equipment and Software Purchases</w:t>
      </w:r>
    </w:p>
    <w:p>
      <w:pPr>
        <w:spacing w:after="0" w:line="179"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In January 2025, the Company entered into a $2.9 million non-cancellable purchase agreement to acquire certain equipment and related maintenance services. Under the agreement, the Company is required to make 20% down payment before the equipment is shipped, with the remaining balance due by January 2026.</w:t>
      </w:r>
    </w:p>
    <w:p>
      <w:pPr>
        <w:spacing w:after="0" w:line="13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Additionally, the Company signed a separate purchase agreement with the same vendor for $2.8 million in software services and related support. Under this agreement, the Company is also required to make three equal payments of $1.0 million in January 2026, January 2027 and January 2028 for a 60-month service term beginning from January 2025 to January 2030.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Software Loan</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In January 2025, the Company entered into a payment agreement with a financing entity to finance a purchase of $2.8 million of internal-use software licenses and related software support services from a vendor. The financing entity and vendor are not related. The payment agreement is non-interest bearing and the Company is obligated to repay the financed amount in three installments of $0.7 million in February 2025, $1.2 million in February 2026 and $0.9 million in February 2027.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Personalis,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Fremont,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audited the accompanying consolidated balance sheets of Personalis, Inc. and subsidiaries (the Company) as of December 31, 2024 and 2023,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years then,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Transactions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described in Notes 2 and 3 to the consolidated financial statements, the Company derives revenue from the sale of genomic testing services. The genomic testing services are the only distinct services that meet the definition of a performance obligation and are accounted for as one performance obligation. Revenue is recognized at a point in time when test results are transferred to the customer. The Company’s consolidated revenue was $84.6 million for the year ended December 31, 2024.</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identified the auditing of the occurrence of revenue transactions as a critical audit matter. Auditing the occurrence of revenue was especially challenging due to the significant audit effort in performing procedures related to the occurrence of revenue transactions, given the significance of revenue, the large volume of transactions, and the evaluation of the sufficiency of audit evidence.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13" w:lineRule="exact"/>
        <w:rPr>
          <w:sz w:val="20"/>
          <w:szCs w:val="20"/>
          <w:color w:val="auto"/>
        </w:rPr>
      </w:pPr>
    </w:p>
    <w:p>
      <w:pPr>
        <w:jc w:val="both"/>
        <w:ind w:left="1020" w:hanging="503"/>
        <w:spacing w:after="0" w:line="285" w:lineRule="auto"/>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occurrence of revenue transactions, on a sample basis, by obtaining and inspecting invoices, customer purchase orders, delivery data from various sources including confirmation of transactions with customers, and cash receipts from customers,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/s/ BDO USA, P.C.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or Exchange Act), as of the end of the period covered by this Annual Report on Form 10-K. Based on that evaluation, our CEO and CFO have concluded that as of December 31, 2024,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Report on Internal Control over Financial Reporting</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1934 Act. Management has assessed the effectiveness of our internal control over financial reporting as of December 31, 2024 based on criteria established in Internal Control—Integrated Framework (2013) issued by the Committee of Sponsoring Organizations of the Treadway Commission. As a result of this assessment, management concluded that, as of December 31, 2024, our internal control over financial reporting was effective in providing reasonable assurance regarding the reliability of financial reporting and the preparation of financial statements for external purposes in accordance with generally accepted accounting principles in the United States of America.</w:t>
      </w:r>
    </w:p>
    <w:p>
      <w:pPr>
        <w:spacing w:after="0" w:line="14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Our independent registered accounting firm is not required to issue an attestation report on our internal control over financial reporting for so long as we qualify as a non-accelerated filer.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181"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Controls</w:t>
      </w:r>
    </w:p>
    <w:p>
      <w:pPr>
        <w:spacing w:after="0" w:line="19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8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Except for the principal occupation, business experience, and education of each of our executive officers and directors set forth further below, the information required by this Item is set forth under the headings “Executive Officers,” “Security Ownership of Certain Beneficial Owners and Management,” “Delinquent Section 16(a) Reports,” “Corporate Governance and Board of Directors Matters,” and “Proposal No. 1 Election of Directors—Information About Our Continuing Directors” in the Company’s 2025 Proxy Statement to be filed with the SEC within 120 days after December 31, 2024 in connection with the solicitation of proxies for the Company’s 2025 annual meeting of stockholders, and is incorporated herein by reference.</w:t>
      </w:r>
    </w:p>
    <w:p>
      <w:pPr>
        <w:spacing w:after="0" w:line="15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Our board of directors has adopted a Code of Business Conduct and Ethics applicable to all officers, directors and employees, which is available on our website (investors.personalis.com) under "Corporate Governance." We intend to satisfy the disclosure requirement under Item 5.05 of Form 8-K regarding amendment to, or waiver from, a provision of our Code of Business Conduct and Ethics by posting such information on the website address and location specified above.</w:t>
      </w:r>
    </w:p>
    <w:p>
      <w:pPr>
        <w:spacing w:after="0" w:line="137" w:lineRule="exact"/>
        <w:rPr>
          <w:sz w:val="20"/>
          <w:szCs w:val="20"/>
          <w:color w:val="auto"/>
        </w:rPr>
      </w:pPr>
    </w:p>
    <w:p>
      <w:pPr>
        <w:ind w:right="1320" w:firstLine="749"/>
        <w:spacing w:after="0" w:line="484" w:lineRule="auto"/>
        <w:rPr>
          <w:sz w:val="20"/>
          <w:szCs w:val="20"/>
          <w:color w:val="auto"/>
        </w:rPr>
      </w:pPr>
      <w:r>
        <w:rPr>
          <w:rFonts w:ascii="Arial" w:cs="Arial" w:eastAsia="Arial" w:hAnsi="Arial"/>
          <w:sz w:val="16"/>
          <w:szCs w:val="16"/>
          <w:color w:val="auto"/>
        </w:rPr>
        <w:t xml:space="preserve">The principal occupation, business experience, and education of each of our executive officers and directors are set forth below. </w:t>
      </w:r>
      <w:r>
        <w:rPr>
          <w:rFonts w:ascii="Arial" w:cs="Arial" w:eastAsia="Arial" w:hAnsi="Arial"/>
          <w:sz w:val="16"/>
          <w:szCs w:val="16"/>
          <w:i w:val="1"/>
          <w:iCs w:val="1"/>
          <w:color w:val="auto"/>
        </w:rPr>
        <w:t>Executive Officers</w:t>
      </w: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Christopher Hall. </w:t>
      </w:r>
      <w:r>
        <w:rPr>
          <w:rFonts w:ascii="Arial" w:cs="Arial" w:eastAsia="Arial" w:hAnsi="Arial"/>
          <w:sz w:val="16"/>
          <w:szCs w:val="16"/>
          <w:color w:val="auto"/>
        </w:rPr>
        <w:t>Mr. Hall has served as our Chief Executive Officer and President since March 2023 and before that served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Head, Diagnostics Business upon joining our company in October 2022.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w:t>
      </w:r>
    </w:p>
    <w:p>
      <w:pPr>
        <w:spacing w:after="0" w:line="13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Aaron Tachibana. </w:t>
      </w:r>
      <w:r>
        <w:rPr>
          <w:rFonts w:ascii="Arial" w:cs="Arial" w:eastAsia="Arial" w:hAnsi="Arial"/>
          <w:sz w:val="16"/>
          <w:szCs w:val="16"/>
          <w:color w:val="auto"/>
        </w:rPr>
        <w:t>Mr. Tachibana has served as our Chief Financial Officer since March 2019 and has also served as our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2023. From December 2022 to March 2023, Mr. Tachibana served as our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w:t>
      </w:r>
    </w:p>
    <w:p>
      <w:pPr>
        <w:spacing w:after="0" w:line="14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Richard Chen, M.D., M.S. </w:t>
      </w:r>
      <w:r>
        <w:rPr>
          <w:rFonts w:ascii="Arial" w:cs="Arial" w:eastAsia="Arial" w:hAnsi="Arial"/>
          <w:sz w:val="16"/>
          <w:szCs w:val="16"/>
          <w:color w:val="auto"/>
        </w:rPr>
        <w:t>Dr. Chen has served as our Chief Medical Officer since November 2011 (previously designated Chief Scientific</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March 2023, Dr. Chen was promoted to Executive Vice President, R&amp;D, in addition to his role as Chief Medical Officer.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w:t>
      </w:r>
    </w:p>
    <w:p>
      <w:pPr>
        <w:spacing w:after="0" w:line="15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b w:val="1"/>
          <w:bCs w:val="1"/>
          <w:color w:val="auto"/>
        </w:rPr>
        <w:t xml:space="preserve">Stephen Moore. </w:t>
      </w:r>
      <w:r>
        <w:rPr>
          <w:rFonts w:ascii="Arial" w:cs="Arial" w:eastAsia="Arial" w:hAnsi="Arial"/>
          <w:sz w:val="16"/>
          <w:szCs w:val="16"/>
          <w:color w:val="auto"/>
        </w:rPr>
        <w:t>Mr. Moore has served as our Vice President and General Counsel since April 2020 and as Corporate Secretary since May 2020.</w:t>
      </w:r>
      <w:r>
        <w:rPr>
          <w:rFonts w:ascii="Arial" w:cs="Arial" w:eastAsia="Arial" w:hAnsi="Arial"/>
          <w:sz w:val="16"/>
          <w:szCs w:val="16"/>
          <w:b w:val="1"/>
          <w:bCs w:val="1"/>
          <w:color w:val="auto"/>
        </w:rPr>
        <w:t xml:space="preserve"> </w:t>
      </w:r>
      <w:r>
        <w:rPr>
          <w:rFonts w:ascii="Arial" w:cs="Arial" w:eastAsia="Arial" w:hAnsi="Arial"/>
          <w:sz w:val="16"/>
          <w:szCs w:val="16"/>
          <w:color w:val="auto"/>
        </w:rPr>
        <w:t>In February 2024, Mr. Moore was promoted to Senior Vice President and Chief Legal Officer. 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including Associate General Counsel. Mr. Moore holds a B.A. in Political Science from San Jose State University and a J.D. from University of California, Davis.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Independent Directors</w:t>
      </w:r>
    </w:p>
    <w:p>
      <w:pPr>
        <w:spacing w:after="0" w:line="17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Olivia K. Bloom. </w:t>
      </w:r>
      <w:r>
        <w:rPr>
          <w:rFonts w:ascii="Arial" w:cs="Arial" w:eastAsia="Arial" w:hAnsi="Arial"/>
          <w:sz w:val="16"/>
          <w:szCs w:val="16"/>
          <w:color w:val="auto"/>
        </w:rPr>
        <w:t>Ms. Bloom has served on our Board of Directors since March 2022. In September 2023, after a 29-year career with Geron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publicly traded commercial-stage biopharmaceutical company, Ms. Bloom retired as Executive Vice President, Chief Financial Officer and Treasurer. During that tenure, Ms. Bloom held several financial management positions, including Chief Accounting Officer and Controller, as well as lead several operational functions, including purchasing, information technology and investor relations. Ms. Bloom started her career in public accounting at KPMG International Limited and became a Certified Public Accountant in 1994. Ms. Bloom holds a B.S. in Business Administration from the University of California, Berkeley. Ms. Bloom was selected to serve on our Board of Directors because of her expertise in finance, accounting, and corporate governance and her experience as a senior female executive working for and with publicly-traded life science companies.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b w:val="1"/>
          <w:bCs w:val="1"/>
          <w:color w:val="auto"/>
        </w:rPr>
        <w:t xml:space="preserve">A. Blaine Bowman. </w:t>
      </w:r>
      <w:r>
        <w:rPr>
          <w:rFonts w:ascii="Arial" w:cs="Arial" w:eastAsia="Arial" w:hAnsi="Arial"/>
          <w:sz w:val="16"/>
          <w:szCs w:val="16"/>
          <w:color w:val="auto"/>
        </w:rPr>
        <w:t>Mr. Bowman has served on our Board of Directors since May 2019. Beginning in 2006, Mr. Bowman served on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Solexa, Inc., a DNA sequencing company, until its sale to Illumina, Inc., a publicly traded biotechnology 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our Board of Directors because of his experience in executive roles and his experience serving on the boards of directors of various instrumentation and biotechnology companies.</w:t>
      </w:r>
    </w:p>
    <w:p>
      <w:pPr>
        <w:spacing w:after="0" w:line="15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b w:val="1"/>
          <w:bCs w:val="1"/>
          <w:color w:val="auto"/>
        </w:rPr>
        <w:t xml:space="preserve">Karin Eastham. </w:t>
      </w:r>
      <w:r>
        <w:rPr>
          <w:rFonts w:ascii="Arial" w:cs="Arial" w:eastAsia="Arial" w:hAnsi="Arial"/>
          <w:sz w:val="16"/>
          <w:szCs w:val="16"/>
          <w:color w:val="auto"/>
        </w:rPr>
        <w:t>Ms. Eastham has served on our Board of Directors since September 2019. Ms. Eastham has served on the board of Veracyte,</w:t>
      </w:r>
      <w:r>
        <w:rPr>
          <w:rFonts w:ascii="Arial" w:cs="Arial" w:eastAsia="Arial" w:hAnsi="Arial"/>
          <w:sz w:val="16"/>
          <w:szCs w:val="16"/>
          <w:b w:val="1"/>
          <w:bCs w:val="1"/>
          <w:color w:val="auto"/>
        </w:rPr>
        <w:t xml:space="preserve"> </w:t>
      </w:r>
      <w:r>
        <w:rPr>
          <w:rFonts w:ascii="Arial" w:cs="Arial" w:eastAsia="Arial" w:hAnsi="Arial"/>
          <w:sz w:val="16"/>
          <w:szCs w:val="16"/>
          <w:color w:val="auto"/>
        </w:rPr>
        <w:t>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of the Board of Trustees, of the Burnham Institute for Medical Research, a non-profit corporation engaged in biomedical research. Ms. Eastham holds a B.S. in Accounting and an M.B.A. from Indiana University and is a Certified Public Accountant (inactive). Ms. Eastham was selected to serve on our Board of Directors because of her expertise in financial and operations management and experience serving on the boards of publicly-traded life science companies.</w:t>
      </w:r>
    </w:p>
    <w:p>
      <w:pPr>
        <w:spacing w:after="0" w:line="33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b w:val="1"/>
          <w:bCs w:val="1"/>
          <w:color w:val="auto"/>
        </w:rPr>
        <w:t xml:space="preserve">Woodrow A. Myers, Jr., M.D. </w:t>
      </w:r>
      <w:r>
        <w:rPr>
          <w:rFonts w:ascii="Arial" w:cs="Arial" w:eastAsia="Arial" w:hAnsi="Arial"/>
          <w:sz w:val="16"/>
          <w:szCs w:val="16"/>
          <w:color w:val="auto"/>
        </w:rPr>
        <w:t>Dr. Myers has served on our Board of Directors since March 2021. Dr. Myers serves as an Advisor to Lightspeed</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Inc., to the SCAN Group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our Board of Directors because of his extensive experience in the healthcare industry, including in government and health policy roles.</w:t>
      </w:r>
    </w:p>
    <w:p>
      <w:pPr>
        <w:spacing w:after="0" w:line="14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b w:val="1"/>
          <w:bCs w:val="1"/>
          <w:color w:val="auto"/>
        </w:rPr>
        <w:t xml:space="preserve">Lonnie Shoff. </w:t>
      </w:r>
      <w:r>
        <w:rPr>
          <w:rFonts w:ascii="Arial" w:cs="Arial" w:eastAsia="Arial" w:hAnsi="Arial"/>
          <w:sz w:val="16"/>
          <w:szCs w:val="16"/>
          <w:color w:val="auto"/>
        </w:rPr>
        <w:t>Ms. Shoff has served on our Board of Directors since August 2022. Ms. Shoff has served as President of Antech and Sound</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Diagnostics, a business unit of Mars Petcare, since April 2020.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w:t>
      </w:r>
    </w:p>
    <w:p>
      <w:pPr>
        <w:spacing w:after="0" w:line="154"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b w:val="1"/>
          <w:bCs w:val="1"/>
          <w:color w:val="auto"/>
        </w:rPr>
        <w:t xml:space="preserve">Kenneth J. Widder, M.D. </w:t>
      </w:r>
      <w:r>
        <w:rPr>
          <w:rFonts w:ascii="Arial" w:cs="Arial" w:eastAsia="Arial" w:hAnsi="Arial"/>
          <w:sz w:val="16"/>
          <w:szCs w:val="16"/>
          <w:color w:val="auto"/>
        </w:rPr>
        <w:t>Mr. Widder has served on our Board of Directors since June 2023. Dr. Widder currently serves on the boards of</w:t>
      </w:r>
      <w:r>
        <w:rPr>
          <w:rFonts w:ascii="Arial" w:cs="Arial" w:eastAsia="Arial" w:hAnsi="Arial"/>
          <w:sz w:val="16"/>
          <w:szCs w:val="16"/>
          <w:b w:val="1"/>
          <w:bCs w:val="1"/>
          <w:color w:val="auto"/>
        </w:rPr>
        <w:t xml:space="preserve"> </w:t>
      </w:r>
      <w:r>
        <w:rPr>
          <w:rFonts w:ascii="Arial" w:cs="Arial" w:eastAsia="Arial" w:hAnsi="Arial"/>
          <w:sz w:val="16"/>
          <w:szCs w:val="16"/>
          <w:color w:val="auto"/>
        </w:rPr>
        <w:t>QuidelOrtho Corporation and Evoke Pharma, Inc. and has over 40 years of experience working with biomedical companies, having previously served as a founder, director and/or CEO of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“Director Compensation,” “Executive Compensation,” and “Compensation Committee Interlocks and Insider Participation” in the Company’s 2025 Proxy Statement to be filed with the SEC within 120 days after December 31, 2024, and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81"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“Equity Compensation Plans at December 31, 2024” and “Security Ownership of Certain Beneficial Owners and Management” in the Company’s 2025 Proxy Statement to be filed with the SEC within 120 days after December 31, 2024, and is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“Corporate Governance and Board of Directors Matters” and “Transactions with Related Persons and Indemnification” in the Company’s 2025 Proxy Statement to be filed with the SEC within 120 days after December 31, 2024, and is incorporated herein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94"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6"/>
          <w:szCs w:val="16"/>
          <w:color w:val="auto"/>
        </w:rPr>
        <w:t>The information required by this Item is set forth under the headings “Principal Accountant Fees and Services” and “Pre-Approval Procedures” under the proposal “Ratification of Selection of Independent Registered Public Accounting Firm” in the Company’s 2025 Proxy Statement to be filed with the SEC within 120 days after December 31, 2024, and is incorporated herein by reference.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81"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 and Schedules</w:t>
      </w:r>
    </w:p>
    <w:p>
      <w:pPr>
        <w:spacing w:after="0" w:line="194"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financial statements are set forth under Item 8 of this Annual Report on Form 10-K, as indexed below. Financial statement schedules have been omitted since they either are not required, not applicable, or the information is otherwise included.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45"/>
          </w:tcPr>
          <w:p>
            <w:pPr>
              <w:ind w:left="20"/>
              <w:spacing w:after="0"/>
              <w:rPr>
                <w:sz w:val="20"/>
                <w:szCs w:val="20"/>
                <w:color w:val="auto"/>
              </w:rPr>
            </w:pPr>
            <w:r>
              <w:rPr>
                <w:rFonts w:ascii="Arial" w:cs="Arial" w:eastAsia="Arial" w:hAnsi="Arial"/>
                <w:sz w:val="16"/>
                <w:szCs w:val="16"/>
                <w:b w:val="1"/>
                <w:bCs w:val="1"/>
                <w:color w:val="auto"/>
              </w:rPr>
              <w:t>INDEX TO CONSOLIDATED FINANCIAL STATEMENTS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6680" w:type="dxa"/>
            <w:vAlign w:val="bottom"/>
            <w:gridSpan w:val="44"/>
            <w:shd w:val="clear" w:color="auto" w:fill="CFF0FC"/>
          </w:tcPr>
          <w:p>
            <w:pPr>
              <w:spacing w:after="0" w:line="155" w:lineRule="exact"/>
              <w:rPr>
                <w:sz w:val="20"/>
                <w:szCs w:val="20"/>
                <w:color w:val="auto"/>
              </w:rPr>
            </w:pPr>
            <w:r>
              <w:rPr>
                <w:rFonts w:ascii="Arial" w:cs="Arial" w:eastAsia="Arial" w:hAnsi="Arial"/>
                <w:sz w:val="16"/>
                <w:szCs w:val="16"/>
                <w:color w:val="0000FF"/>
              </w:rPr>
              <w:t>Consolidated Balance Sheets</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20" w:type="dxa"/>
            <w:vAlign w:val="bottom"/>
            <w:gridSpan w:val="3"/>
            <w:shd w:val="clear" w:color="auto" w:fill="CFF0FC"/>
          </w:tcPr>
          <w:p>
            <w:pPr>
              <w:jc w:val="center"/>
              <w:ind w:left="359"/>
              <w:spacing w:after="0" w:line="155"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80" w:type="dxa"/>
            <w:vAlign w:val="bottom"/>
            <w:gridSpan w:val="44"/>
          </w:tcPr>
          <w:p>
            <w:pPr>
              <w:spacing w:after="0" w:line="162" w:lineRule="exact"/>
              <w:rPr>
                <w:sz w:val="20"/>
                <w:szCs w:val="20"/>
                <w:color w:val="auto"/>
              </w:rPr>
            </w:pPr>
            <w:r>
              <w:rPr>
                <w:rFonts w:ascii="Arial" w:cs="Arial" w:eastAsia="Arial" w:hAnsi="Arial"/>
                <w:sz w:val="16"/>
                <w:szCs w:val="16"/>
                <w:color w:val="0000FF"/>
              </w:rPr>
              <w:t>Consolidated Statements of Operations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center"/>
              <w:ind w:left="359"/>
              <w:spacing w:after="0" w:line="16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3560" w:type="dxa"/>
            <w:vAlign w:val="bottom"/>
            <w:tcBorders>
              <w:bottom w:val="single" w:sz="8" w:color="0000FF"/>
            </w:tcBorders>
            <w:gridSpan w:val="14"/>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Comprehensive Loss</w:t>
            </w:r>
          </w:p>
        </w:tc>
        <w:tc>
          <w:tcPr>
            <w:tcW w:w="3120" w:type="dxa"/>
            <w:vAlign w:val="bottom"/>
            <w:tcBorders>
              <w:bottom w:val="single" w:sz="8" w:color="CFF0FC"/>
            </w:tcBorders>
            <w:gridSpan w:val="30"/>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gridSpan w:val="3"/>
            <w:shd w:val="clear" w:color="auto" w:fill="CFF0FC"/>
          </w:tcPr>
          <w:p>
            <w:pPr>
              <w:jc w:val="center"/>
              <w:ind w:left="359"/>
              <w:spacing w:after="0" w:line="16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80" w:type="dxa"/>
            <w:vAlign w:val="bottom"/>
            <w:gridSpan w:val="44"/>
          </w:tcPr>
          <w:p>
            <w:pPr>
              <w:spacing w:after="0" w:line="162" w:lineRule="exact"/>
              <w:rPr>
                <w:sz w:val="20"/>
                <w:szCs w:val="20"/>
                <w:color w:val="auto"/>
              </w:rPr>
            </w:pPr>
            <w:r>
              <w:rPr>
                <w:rFonts w:ascii="Arial" w:cs="Arial" w:eastAsia="Arial" w:hAnsi="Arial"/>
                <w:sz w:val="16"/>
                <w:szCs w:val="16"/>
                <w:color w:val="0000FF"/>
              </w:rPr>
              <w:t>Consolidated Statements of Stockholders’ Equity</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center"/>
              <w:ind w:left="359"/>
              <w:spacing w:after="0" w:line="16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top w:val="single" w:sz="8" w:color="0000FF"/>
              <w:bottom w:val="single" w:sz="8" w:color="0000FF"/>
            </w:tcBorders>
            <w:gridSpan w:val="7"/>
            <w:shd w:val="clear" w:color="auto" w:fill="CFF0FC"/>
          </w:tcPr>
          <w:p>
            <w:pPr>
              <w:spacing w:after="0" w:line="162" w:lineRule="exact"/>
              <w:rPr>
                <w:sz w:val="20"/>
                <w:szCs w:val="20"/>
                <w:color w:val="auto"/>
              </w:rPr>
            </w:pPr>
            <w:r>
              <w:rPr>
                <w:rFonts w:ascii="Arial" w:cs="Arial" w:eastAsia="Arial" w:hAnsi="Arial"/>
                <w:sz w:val="16"/>
                <w:szCs w:val="16"/>
                <w:color w:val="0000FF"/>
              </w:rPr>
              <w:t>Consolidated Statements of Cash Flows</w:t>
            </w:r>
          </w:p>
        </w:tc>
        <w:tc>
          <w:tcPr>
            <w:tcW w:w="600" w:type="dxa"/>
            <w:vAlign w:val="bottom"/>
            <w:tcBorders>
              <w:top w:val="single" w:sz="8" w:color="0000FF"/>
              <w:bottom w:val="single" w:sz="8" w:color="CFF0FC"/>
            </w:tcBorders>
            <w:gridSpan w:val="6"/>
            <w:shd w:val="clear" w:color="auto" w:fill="CFF0FC"/>
          </w:tcPr>
          <w:p>
            <w:pPr>
              <w:spacing w:after="0"/>
              <w:rPr>
                <w:sz w:val="14"/>
                <w:szCs w:val="14"/>
                <w:color w:val="auto"/>
              </w:rPr>
            </w:pPr>
          </w:p>
        </w:tc>
        <w:tc>
          <w:tcPr>
            <w:tcW w:w="3180" w:type="dxa"/>
            <w:vAlign w:val="bottom"/>
            <w:tcBorders>
              <w:bottom w:val="single" w:sz="8" w:color="CFF0FC"/>
            </w:tcBorders>
            <w:gridSpan w:val="31"/>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gridSpan w:val="3"/>
            <w:shd w:val="clear" w:color="auto" w:fill="CFF0FC"/>
          </w:tcPr>
          <w:p>
            <w:pPr>
              <w:jc w:val="center"/>
              <w:ind w:left="359"/>
              <w:spacing w:after="0" w:line="16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Borders>
              <w:bottom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Notes to Consolidated Financial Statements</w:t>
            </w:r>
          </w:p>
        </w:tc>
        <w:tc>
          <w:tcPr>
            <w:tcW w:w="3520" w:type="dxa"/>
            <w:vAlign w:val="bottom"/>
            <w:gridSpan w:val="35"/>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3"/>
          </w:tcPr>
          <w:p>
            <w:pPr>
              <w:jc w:val="center"/>
              <w:ind w:left="359"/>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4220" w:type="dxa"/>
            <w:vAlign w:val="bottom"/>
            <w:tcBorders>
              <w:bottom w:val="single" w:sz="8" w:color="0000FF"/>
            </w:tcBorders>
            <w:gridSpan w:val="1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460" w:type="dxa"/>
            <w:vAlign w:val="bottom"/>
            <w:tcBorders>
              <w:bottom w:val="single" w:sz="8" w:color="CFF0FC"/>
            </w:tcBorders>
            <w:gridSpan w:val="28"/>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3"/>
            <w:shd w:val="clear" w:color="auto" w:fill="CFF0FC"/>
          </w:tcPr>
          <w:p>
            <w:pPr>
              <w:jc w:val="center"/>
              <w:ind w:left="359"/>
              <w:spacing w:after="0" w:line="175" w:lineRule="exact"/>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98"/>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(b)  Exhibits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7"/>
                <w:szCs w:val="17"/>
                <w:color w:val="auto"/>
              </w:rPr>
            </w:pPr>
          </w:p>
        </w:tc>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56"/>
        </w:trPr>
        <w:tc>
          <w:tcPr>
            <w:tcW w:w="10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3"/>
                <w:szCs w:val="13"/>
                <w:color w:val="auto"/>
              </w:rPr>
            </w:pPr>
          </w:p>
        </w:tc>
        <w:tc>
          <w:tcPr>
            <w:tcW w:w="5440" w:type="dxa"/>
            <w:vAlign w:val="bottom"/>
            <w:tcBorders>
              <w:top w:val="single" w:sz="8" w:color="auto"/>
            </w:tcBorders>
            <w:gridSpan w:val="41"/>
          </w:tcPr>
          <w:p>
            <w:pPr>
              <w:spacing w:after="0" w:line="155" w:lineRule="exact"/>
              <w:rPr>
                <w:rFonts w:ascii="Arial" w:cs="Arial" w:eastAsia="Arial" w:hAnsi="Arial"/>
                <w:sz w:val="16"/>
                <w:szCs w:val="16"/>
                <w:color w:val="0000FF"/>
              </w:rPr>
            </w:pPr>
            <w:hyperlink r:id="rId336">
              <w:r>
                <w:rPr>
                  <w:rFonts w:ascii="Arial" w:cs="Arial" w:eastAsia="Arial" w:hAnsi="Arial"/>
                  <w:sz w:val="16"/>
                  <w:szCs w:val="16"/>
                  <w:color w:val="0000FF"/>
                </w:rPr>
                <w:t>Amended and Restated Certificate of Incorporation of the Registrant.</w:t>
              </w:r>
            </w:hyperlink>
          </w:p>
        </w:tc>
        <w:tc>
          <w:tcPr>
            <w:tcW w:w="10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6"/>
              </w:rPr>
              <w:t>8-K</w:t>
            </w:r>
          </w:p>
        </w:tc>
        <w:tc>
          <w:tcPr>
            <w:tcW w:w="12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001-38943</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rPr>
              <w:t>6/24/2019</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3.2</w:t>
            </w:r>
          </w:p>
        </w:tc>
        <w:tc>
          <w:tcPr>
            <w:tcW w:w="120" w:type="dxa"/>
            <w:vAlign w:val="bottom"/>
          </w:tcPr>
          <w:p>
            <w:pPr>
              <w:spacing w:after="0"/>
              <w:rPr>
                <w:sz w:val="14"/>
                <w:szCs w:val="14"/>
                <w:color w:val="auto"/>
              </w:rPr>
            </w:pPr>
          </w:p>
        </w:tc>
        <w:tc>
          <w:tcPr>
            <w:tcW w:w="494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337">
              <w:r>
                <w:rPr>
                  <w:rFonts w:ascii="Arial" w:cs="Arial" w:eastAsia="Arial" w:hAnsi="Arial"/>
                  <w:sz w:val="16"/>
                  <w:szCs w:val="16"/>
                  <w:color w:val="0000FF"/>
                </w:rPr>
                <w:t>Amended and Restated Bylaws of the Registrant.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8"/>
              </w:rPr>
              <w:t>3.1</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w w:val="99"/>
              </w:rPr>
              <w:t>10/31/2022</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4.1</w:t>
            </w:r>
          </w:p>
        </w:tc>
        <w:tc>
          <w:tcPr>
            <w:tcW w:w="120" w:type="dxa"/>
            <w:vAlign w:val="bottom"/>
          </w:tcPr>
          <w:p>
            <w:pPr>
              <w:spacing w:after="0"/>
              <w:rPr>
                <w:sz w:val="14"/>
                <w:szCs w:val="14"/>
                <w:color w:val="auto"/>
              </w:rPr>
            </w:pPr>
          </w:p>
        </w:tc>
        <w:tc>
          <w:tcPr>
            <w:tcW w:w="354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338">
              <w:r>
                <w:rPr>
                  <w:rFonts w:ascii="Arial" w:cs="Arial" w:eastAsia="Arial" w:hAnsi="Arial"/>
                  <w:sz w:val="16"/>
                  <w:szCs w:val="16"/>
                  <w:color w:val="0000FF"/>
                </w:rPr>
                <w:t>Description of Securities of Personalis, Inc.</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8"/>
              </w:rPr>
              <w:t>4.1</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2/25/2021</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4.2</w:t>
            </w:r>
          </w:p>
        </w:tc>
        <w:tc>
          <w:tcPr>
            <w:tcW w:w="1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339">
              <w:r>
                <w:rPr>
                  <w:rFonts w:ascii="Arial" w:cs="Arial" w:eastAsia="Arial" w:hAnsi="Arial"/>
                  <w:sz w:val="16"/>
                  <w:szCs w:val="16"/>
                  <w:color w:val="0000FF"/>
                </w:rPr>
                <w:t>Form of Common Stock Certificate of the</w:t>
              </w:r>
            </w:hyperlink>
          </w:p>
        </w:tc>
        <w:tc>
          <w:tcPr>
            <w:tcW w:w="700" w:type="dxa"/>
            <w:vAlign w:val="bottom"/>
            <w:tcBorders>
              <w:bottom w:val="single" w:sz="8" w:color="0000FF"/>
            </w:tcBorders>
            <w:gridSpan w:val="5"/>
          </w:tcPr>
          <w:p>
            <w:pPr>
              <w:jc w:val="center"/>
              <w:spacing w:after="0" w:line="169" w:lineRule="exact"/>
              <w:rPr>
                <w:rFonts w:ascii="Arial" w:cs="Arial" w:eastAsia="Arial" w:hAnsi="Arial"/>
                <w:sz w:val="16"/>
                <w:szCs w:val="16"/>
                <w:color w:val="0000FF"/>
                <w:w w:val="90"/>
              </w:rPr>
            </w:pPr>
            <w:hyperlink r:id="rId339">
              <w:r>
                <w:rPr>
                  <w:rFonts w:ascii="Arial" w:cs="Arial" w:eastAsia="Arial" w:hAnsi="Arial"/>
                  <w:sz w:val="16"/>
                  <w:szCs w:val="16"/>
                  <w:color w:val="0000FF"/>
                  <w:w w:val="90"/>
                </w:rPr>
                <w:t>Registrant.</w:t>
              </w:r>
            </w:hyperlink>
          </w:p>
        </w:tc>
        <w:tc>
          <w:tcPr>
            <w:tcW w:w="1760" w:type="dxa"/>
            <w:vAlign w:val="bottom"/>
            <w:gridSpan w:val="23"/>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333-231703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8"/>
              </w:rPr>
              <w:t>4.1</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6/7/2019</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4.3</w:t>
            </w: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40">
              <w:r>
                <w:rPr>
                  <w:rFonts w:ascii="Arial" w:cs="Arial" w:eastAsia="Arial" w:hAnsi="Arial"/>
                  <w:sz w:val="16"/>
                  <w:szCs w:val="16"/>
                  <w:color w:val="0000FF"/>
                </w:rPr>
                <w:t>Investment Agreement, dated August 16, 2024, by and between the</w:t>
              </w:r>
            </w:hyperlink>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8"/>
              </w:rPr>
              <w:t>4.1</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8/16/2024</w:t>
            </w: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4"/>
                <w:szCs w:val="14"/>
                <w:color w:val="auto"/>
              </w:rPr>
            </w:pPr>
          </w:p>
        </w:tc>
        <w:tc>
          <w:tcPr>
            <w:tcW w:w="490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340">
              <w:r>
                <w:rPr>
                  <w:rFonts w:ascii="Arial" w:cs="Arial" w:eastAsia="Arial" w:hAnsi="Arial"/>
                  <w:sz w:val="16"/>
                  <w:szCs w:val="16"/>
                  <w:color w:val="0000FF"/>
                </w:rPr>
                <w:t>Registrant and Tempus AI, Inc.</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4.1</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w w:val="99"/>
              </w:rPr>
              <w:t>12/19/2024</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41">
              <w:r>
                <w:rPr>
                  <w:rFonts w:ascii="Arial" w:cs="Arial" w:eastAsia="Arial" w:hAnsi="Arial"/>
                  <w:sz w:val="16"/>
                  <w:szCs w:val="16"/>
                  <w:color w:val="0000FF"/>
                </w:rPr>
                <w:t>Investment Agreement, dated</w:t>
              </w:r>
            </w:hyperlink>
          </w:p>
        </w:tc>
        <w:tc>
          <w:tcPr>
            <w:tcW w:w="20" w:type="dxa"/>
            <w:vAlign w:val="bottom"/>
            <w:tcBorders>
              <w:top w:val="single" w:sz="8" w:color="0000EE"/>
            </w:tcBorders>
          </w:tcPr>
          <w:p>
            <w:pPr>
              <w:spacing w:after="0"/>
              <w:rPr>
                <w:sz w:val="14"/>
                <w:szCs w:val="14"/>
                <w:color w:val="auto"/>
              </w:rPr>
            </w:pPr>
          </w:p>
        </w:tc>
        <w:tc>
          <w:tcPr>
            <w:tcW w:w="3280" w:type="dxa"/>
            <w:vAlign w:val="bottom"/>
            <w:gridSpan w:val="33"/>
          </w:tcPr>
          <w:p>
            <w:pPr>
              <w:spacing w:after="0" w:line="169" w:lineRule="exact"/>
              <w:rPr>
                <w:rFonts w:ascii="Arial" w:cs="Arial" w:eastAsia="Arial" w:hAnsi="Arial"/>
                <w:sz w:val="16"/>
                <w:szCs w:val="16"/>
                <w:color w:val="0000FF"/>
              </w:rPr>
            </w:pPr>
            <w:hyperlink r:id="rId341">
              <w:r>
                <w:rPr>
                  <w:rFonts w:ascii="Arial" w:cs="Arial" w:eastAsia="Arial" w:hAnsi="Arial"/>
                  <w:sz w:val="16"/>
                  <w:szCs w:val="16"/>
                  <w:color w:val="0000FF"/>
                </w:rPr>
                <w:t>December 19, 2024, by and between the</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4"/>
                <w:szCs w:val="14"/>
                <w:color w:val="auto"/>
              </w:rPr>
            </w:pPr>
          </w:p>
        </w:tc>
        <w:tc>
          <w:tcPr>
            <w:tcW w:w="518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341">
              <w:r>
                <w:rPr>
                  <w:rFonts w:ascii="Arial" w:cs="Arial" w:eastAsia="Arial" w:hAnsi="Arial"/>
                  <w:sz w:val="16"/>
                  <w:szCs w:val="16"/>
                  <w:color w:val="0000FF"/>
                </w:rPr>
                <w:t>Registrant and Merck Sharp &amp; Dohme LLC.</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S-1</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333-231703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5/23/2019</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342">
              <w:r>
                <w:rPr>
                  <w:rFonts w:ascii="Arial" w:cs="Arial" w:eastAsia="Arial" w:hAnsi="Arial"/>
                  <w:sz w:val="16"/>
                  <w:szCs w:val="16"/>
                  <w:color w:val="0000FF"/>
                </w:rPr>
                <w:t>Personalis, Inc. 2011 Equity Incentive Plan,</w:t>
              </w:r>
            </w:hyperlink>
          </w:p>
        </w:tc>
        <w:tc>
          <w:tcPr>
            <w:tcW w:w="2400" w:type="dxa"/>
            <w:vAlign w:val="bottom"/>
            <w:gridSpan w:val="27"/>
          </w:tcPr>
          <w:p>
            <w:pPr>
              <w:jc w:val="right"/>
              <w:ind w:right="480"/>
              <w:spacing w:after="0" w:line="169" w:lineRule="exact"/>
              <w:rPr>
                <w:rFonts w:ascii="Arial" w:cs="Arial" w:eastAsia="Arial" w:hAnsi="Arial"/>
                <w:sz w:val="16"/>
                <w:szCs w:val="16"/>
                <w:color w:val="0000FF"/>
              </w:rPr>
            </w:pPr>
            <w:hyperlink r:id="rId342">
              <w:r>
                <w:rPr>
                  <w:rFonts w:ascii="Arial" w:cs="Arial" w:eastAsia="Arial" w:hAnsi="Arial"/>
                  <w:sz w:val="16"/>
                  <w:szCs w:val="16"/>
                  <w:color w:val="0000FF"/>
                </w:rPr>
                <w:t>as amended, and forms of</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342">
              <w:r>
                <w:rPr>
                  <w:rFonts w:ascii="Arial" w:cs="Arial" w:eastAsia="Arial" w:hAnsi="Arial"/>
                  <w:sz w:val="16"/>
                  <w:szCs w:val="16"/>
                  <w:color w:val="0000FF"/>
                </w:rPr>
                <w:t>agreements thereunder.</w:t>
              </w:r>
            </w:hyperlink>
          </w:p>
        </w:tc>
        <w:tc>
          <w:tcPr>
            <w:tcW w:w="338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333-231703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10.2</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6/7/2019</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43">
              <w:r>
                <w:rPr>
                  <w:rFonts w:ascii="Arial" w:cs="Arial" w:eastAsia="Arial" w:hAnsi="Arial"/>
                  <w:sz w:val="16"/>
                  <w:szCs w:val="16"/>
                  <w:color w:val="0000FF"/>
                </w:rPr>
                <w:t>Personalis, Inc. 2019 Equity Incentive Plan and forms of agreements</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498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343">
              <w:r>
                <w:rPr>
                  <w:rFonts w:ascii="Arial" w:cs="Arial" w:eastAsia="Arial" w:hAnsi="Arial"/>
                  <w:sz w:val="16"/>
                  <w:szCs w:val="16"/>
                  <w:color w:val="0000FF"/>
                </w:rPr>
                <w:t>thereunder.</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333-231703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10.3</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6/7/2019</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0000FF"/>
            </w:tcBorders>
          </w:tcPr>
          <w:p>
            <w:pPr>
              <w:spacing w:after="0" w:line="169" w:lineRule="exact"/>
              <w:rPr>
                <w:rFonts w:ascii="Arial" w:cs="Arial" w:eastAsia="Arial" w:hAnsi="Arial"/>
                <w:sz w:val="16"/>
                <w:szCs w:val="16"/>
                <w:color w:val="0000FF"/>
              </w:rPr>
            </w:pPr>
            <w:hyperlink r:id="rId344">
              <w:r>
                <w:rPr>
                  <w:rFonts w:ascii="Arial" w:cs="Arial" w:eastAsia="Arial" w:hAnsi="Arial"/>
                  <w:sz w:val="16"/>
                  <w:szCs w:val="16"/>
                  <w:color w:val="0000FF"/>
                </w:rPr>
                <w:t>Personalis,</w:t>
              </w:r>
            </w:hyperlink>
          </w:p>
        </w:tc>
        <w:tc>
          <w:tcPr>
            <w:tcW w:w="4700" w:type="dxa"/>
            <w:vAlign w:val="bottom"/>
            <w:gridSpan w:val="41"/>
          </w:tcPr>
          <w:p>
            <w:pPr>
              <w:ind w:left="20"/>
              <w:spacing w:after="0" w:line="169" w:lineRule="exact"/>
              <w:rPr>
                <w:rFonts w:ascii="Arial" w:cs="Arial" w:eastAsia="Arial" w:hAnsi="Arial"/>
                <w:sz w:val="16"/>
                <w:szCs w:val="16"/>
                <w:color w:val="0000FF"/>
              </w:rPr>
            </w:pPr>
            <w:hyperlink r:id="rId344">
              <w:r>
                <w:rPr>
                  <w:rFonts w:ascii="Arial" w:cs="Arial" w:eastAsia="Arial" w:hAnsi="Arial"/>
                  <w:sz w:val="16"/>
                  <w:szCs w:val="16"/>
                  <w:color w:val="0000FF"/>
                </w:rPr>
                <w:t>Inc. 2019 Employee Stock Purchase Plan.</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10.4#</w:t>
            </w:r>
          </w:p>
        </w:tc>
        <w:tc>
          <w:tcPr>
            <w:tcW w:w="120" w:type="dxa"/>
            <w:vAlign w:val="bottom"/>
          </w:tcPr>
          <w:p>
            <w:pPr>
              <w:spacing w:after="0"/>
              <w:rPr>
                <w:sz w:val="14"/>
                <w:szCs w:val="14"/>
                <w:color w:val="auto"/>
              </w:rPr>
            </w:pPr>
          </w:p>
        </w:tc>
        <w:tc>
          <w:tcPr>
            <w:tcW w:w="388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345">
              <w:r>
                <w:rPr>
                  <w:rFonts w:ascii="Arial" w:cs="Arial" w:eastAsia="Arial" w:hAnsi="Arial"/>
                  <w:sz w:val="16"/>
                  <w:szCs w:val="16"/>
                  <w:color w:val="0000FF"/>
                </w:rPr>
                <w:t>Personalis, Inc. 2020 Inducement Plan, as amended</w:t>
              </w:r>
              <w:r>
                <w:rPr>
                  <w:rFonts w:ascii="Arial" w:cs="Arial" w:eastAsia="Arial" w:hAnsi="Arial"/>
                  <w:sz w:val="16"/>
                  <w:szCs w:val="16"/>
                  <w:u w:val="single" w:color="auto"/>
                  <w:color w:val="000000"/>
                </w:rPr>
                <w:t>.</w:t>
              </w:r>
            </w:hyperlink>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6"/>
              </w:rPr>
              <w:t>10.4</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10.5</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2/28/2024</w:t>
            </w:r>
          </w:p>
        </w:tc>
        <w:tc>
          <w:tcPr>
            <w:tcW w:w="0" w:type="dxa"/>
            <w:vAlign w:val="bottom"/>
          </w:tcPr>
          <w:p>
            <w:pPr>
              <w:spacing w:after="0" w:line="20" w:lineRule="exact"/>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46">
              <w:r>
                <w:rPr>
                  <w:rFonts w:ascii="Arial" w:cs="Arial" w:eastAsia="Arial" w:hAnsi="Arial"/>
                  <w:sz w:val="16"/>
                  <w:szCs w:val="16"/>
                  <w:color w:val="0000FF"/>
                </w:rPr>
                <w:t>Form of RSU Award Agreement under 2020 Inducement Plan.</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10.6#</w:t>
            </w:r>
          </w:p>
        </w:tc>
        <w:tc>
          <w:tcPr>
            <w:tcW w:w="120" w:type="dxa"/>
            <w:vAlign w:val="bottom"/>
          </w:tcPr>
          <w:p>
            <w:pPr>
              <w:spacing w:after="0"/>
              <w:rPr>
                <w:sz w:val="14"/>
                <w:szCs w:val="14"/>
                <w:color w:val="auto"/>
              </w:rPr>
            </w:pPr>
          </w:p>
        </w:tc>
        <w:tc>
          <w:tcPr>
            <w:tcW w:w="446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347">
              <w:r>
                <w:rPr>
                  <w:rFonts w:ascii="Arial" w:cs="Arial" w:eastAsia="Arial" w:hAnsi="Arial"/>
                  <w:sz w:val="16"/>
                  <w:szCs w:val="16"/>
                  <w:color w:val="0000FF"/>
                </w:rPr>
                <w:t>Form of Option Agreement under 2020 Inducement Plan.</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6"/>
              </w:rPr>
              <w:t>10.6</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10.7#</w:t>
            </w:r>
          </w:p>
        </w:tc>
        <w:tc>
          <w:tcPr>
            <w:tcW w:w="120" w:type="dxa"/>
            <w:vAlign w:val="bottom"/>
          </w:tcPr>
          <w:p>
            <w:pPr>
              <w:spacing w:after="0"/>
              <w:rPr>
                <w:sz w:val="14"/>
                <w:szCs w:val="14"/>
                <w:color w:val="auto"/>
              </w:rPr>
            </w:pPr>
          </w:p>
        </w:tc>
        <w:tc>
          <w:tcPr>
            <w:tcW w:w="410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348">
              <w:r>
                <w:rPr>
                  <w:rFonts w:ascii="Arial" w:cs="Arial" w:eastAsia="Arial" w:hAnsi="Arial"/>
                  <w:sz w:val="16"/>
                  <w:szCs w:val="16"/>
                  <w:color w:val="0000FF"/>
                </w:rPr>
                <w:t>Form of Indemnification Agreement entered into by and</w:t>
              </w:r>
            </w:hyperlink>
          </w:p>
        </w:tc>
        <w:tc>
          <w:tcPr>
            <w:tcW w:w="1440" w:type="dxa"/>
            <w:vAlign w:val="bottom"/>
            <w:gridSpan w:val="20"/>
          </w:tcPr>
          <w:p>
            <w:pPr>
              <w:spacing w:after="0" w:line="169" w:lineRule="exact"/>
              <w:rPr>
                <w:rFonts w:ascii="Arial" w:cs="Arial" w:eastAsia="Arial" w:hAnsi="Arial"/>
                <w:sz w:val="16"/>
                <w:szCs w:val="16"/>
                <w:color w:val="0000FF"/>
              </w:rPr>
            </w:pPr>
            <w:hyperlink r:id="rId348">
              <w:r>
                <w:rPr>
                  <w:rFonts w:ascii="Arial" w:cs="Arial" w:eastAsia="Arial" w:hAnsi="Arial"/>
                  <w:sz w:val="16"/>
                  <w:szCs w:val="16"/>
                  <w:color w:val="0000FF"/>
                </w:rPr>
                <w:t>between the</w:t>
              </w:r>
            </w:hyperlink>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333-231703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w w:val="96"/>
              </w:rPr>
              <w:t>10.4</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6/7/2019</w:t>
            </w: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4"/>
                <w:szCs w:val="14"/>
                <w:color w:val="auto"/>
              </w:rPr>
            </w:pPr>
          </w:p>
        </w:tc>
        <w:tc>
          <w:tcPr>
            <w:tcW w:w="496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348">
              <w:r>
                <w:rPr>
                  <w:rFonts w:ascii="Arial" w:cs="Arial" w:eastAsia="Arial" w:hAnsi="Arial"/>
                  <w:sz w:val="16"/>
                  <w:szCs w:val="16"/>
                  <w:color w:val="0000FF"/>
                </w:rPr>
                <w:t>Registrant and each director and executive officer.</w:t>
              </w:r>
            </w:hyperlink>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5/8/2024</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349">
              <w:r>
                <w:rPr>
                  <w:rFonts w:ascii="Arial" w:cs="Arial" w:eastAsia="Arial" w:hAnsi="Arial"/>
                  <w:sz w:val="16"/>
                  <w:szCs w:val="16"/>
                  <w:color w:val="0000FF"/>
                </w:rPr>
                <w:t>Amended and Restated Non-Employee Director</w:t>
              </w:r>
            </w:hyperlink>
          </w:p>
        </w:tc>
        <w:tc>
          <w:tcPr>
            <w:tcW w:w="1920" w:type="dxa"/>
            <w:vAlign w:val="bottom"/>
            <w:gridSpan w:val="24"/>
          </w:tcPr>
          <w:p>
            <w:pPr>
              <w:jc w:val="right"/>
              <w:ind w:right="480"/>
              <w:spacing w:after="0" w:line="169" w:lineRule="exact"/>
              <w:rPr>
                <w:rFonts w:ascii="Arial" w:cs="Arial" w:eastAsia="Arial" w:hAnsi="Arial"/>
                <w:sz w:val="16"/>
                <w:szCs w:val="16"/>
                <w:color w:val="0000FF"/>
                <w:w w:val="91"/>
              </w:rPr>
            </w:pPr>
            <w:hyperlink r:id="rId349">
              <w:r>
                <w:rPr>
                  <w:rFonts w:ascii="Arial" w:cs="Arial" w:eastAsia="Arial" w:hAnsi="Arial"/>
                  <w:sz w:val="16"/>
                  <w:szCs w:val="16"/>
                  <w:color w:val="0000FF"/>
                  <w:w w:val="91"/>
                </w:rPr>
                <w:t>Compensation Policy,</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4"/>
                <w:szCs w:val="14"/>
                <w:color w:val="auto"/>
              </w:rPr>
            </w:pPr>
          </w:p>
        </w:tc>
        <w:tc>
          <w:tcPr>
            <w:tcW w:w="510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349">
              <w:r>
                <w:rPr>
                  <w:rFonts w:ascii="Arial" w:cs="Arial" w:eastAsia="Arial" w:hAnsi="Arial"/>
                  <w:sz w:val="16"/>
                  <w:szCs w:val="16"/>
                  <w:color w:val="0000FF"/>
                </w:rPr>
                <w:t>dated February 27,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3/8/2023</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350">
              <w:r>
                <w:rPr>
                  <w:rFonts w:ascii="Arial" w:cs="Arial" w:eastAsia="Arial" w:hAnsi="Arial"/>
                  <w:sz w:val="16"/>
                  <w:szCs w:val="16"/>
                  <w:color w:val="0000FF"/>
                </w:rPr>
                <w:t>Amended and Restated</w:t>
              </w:r>
            </w:hyperlink>
          </w:p>
        </w:tc>
        <w:tc>
          <w:tcPr>
            <w:tcW w:w="3760" w:type="dxa"/>
            <w:vAlign w:val="bottom"/>
            <w:gridSpan w:val="36"/>
          </w:tcPr>
          <w:p>
            <w:pPr>
              <w:jc w:val="center"/>
              <w:ind w:right="480"/>
              <w:spacing w:after="0" w:line="169" w:lineRule="exact"/>
              <w:rPr>
                <w:rFonts w:ascii="Arial" w:cs="Arial" w:eastAsia="Arial" w:hAnsi="Arial"/>
                <w:sz w:val="16"/>
                <w:szCs w:val="16"/>
                <w:color w:val="0000FF"/>
              </w:rPr>
            </w:pPr>
            <w:hyperlink r:id="rId350">
              <w:r>
                <w:rPr>
                  <w:rFonts w:ascii="Arial" w:cs="Arial" w:eastAsia="Arial" w:hAnsi="Arial"/>
                  <w:sz w:val="16"/>
                  <w:szCs w:val="16"/>
                  <w:color w:val="0000FF"/>
                </w:rPr>
                <w:t>Employment Agreement dated March 7, 2023,</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4"/>
                <w:szCs w:val="14"/>
                <w:color w:val="auto"/>
              </w:rPr>
            </w:pPr>
          </w:p>
        </w:tc>
        <w:tc>
          <w:tcPr>
            <w:tcW w:w="51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350">
              <w:r>
                <w:rPr>
                  <w:rFonts w:ascii="Arial" w:cs="Arial" w:eastAsia="Arial" w:hAnsi="Arial"/>
                  <w:sz w:val="16"/>
                  <w:szCs w:val="16"/>
                  <w:color w:val="0000FF"/>
                </w:rPr>
                <w:t>between the Company and Aaron Tachibana.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10.2</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3/8/2023</w:t>
            </w: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10"/>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51">
              <w:r>
                <w:rPr>
                  <w:rFonts w:ascii="Arial" w:cs="Arial" w:eastAsia="Arial" w:hAnsi="Arial"/>
                  <w:sz w:val="16"/>
                  <w:szCs w:val="16"/>
                  <w:color w:val="0000FF"/>
                </w:rPr>
                <w:t>Amended and Restated Offer Letter, dated March 7, 2023, between the</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351">
              <w:r>
                <w:rPr>
                  <w:rFonts w:ascii="Arial" w:cs="Arial" w:eastAsia="Arial" w:hAnsi="Arial"/>
                  <w:sz w:val="16"/>
                  <w:szCs w:val="16"/>
                  <w:color w:val="0000FF"/>
                </w:rPr>
                <w:t>Company and Christopher Hall.</w:t>
              </w:r>
            </w:hyperlink>
          </w:p>
        </w:tc>
        <w:tc>
          <w:tcPr>
            <w:tcW w:w="2920" w:type="dxa"/>
            <w:vAlign w:val="bottom"/>
            <w:tcBorders>
              <w:top w:val="single" w:sz="8" w:color="0000FF"/>
            </w:tcBorders>
            <w:gridSpan w:val="29"/>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10.3</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3/8/2023</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52">
              <w:r>
                <w:rPr>
                  <w:rFonts w:ascii="Arial" w:cs="Arial" w:eastAsia="Arial" w:hAnsi="Arial"/>
                  <w:sz w:val="16"/>
                  <w:szCs w:val="16"/>
                  <w:color w:val="0000FF"/>
                </w:rPr>
                <w:t>Amended and Restated Employment Agreement dated March 8, 2023,</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4"/>
                <w:szCs w:val="14"/>
                <w:color w:val="auto"/>
              </w:rPr>
            </w:pPr>
          </w:p>
        </w:tc>
        <w:tc>
          <w:tcPr>
            <w:tcW w:w="51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352">
              <w:r>
                <w:rPr>
                  <w:rFonts w:ascii="Arial" w:cs="Arial" w:eastAsia="Arial" w:hAnsi="Arial"/>
                  <w:sz w:val="16"/>
                  <w:szCs w:val="16"/>
                  <w:color w:val="0000FF"/>
                </w:rPr>
                <w:t>between the Company and Richard Chen.</w:t>
              </w:r>
            </w:hyperlink>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10.12</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Borders>
              <w:top w:val="single" w:sz="8" w:color="0000FF"/>
            </w:tcBorders>
            <w:gridSpan w:val="13"/>
          </w:tcPr>
          <w:p>
            <w:pPr>
              <w:spacing w:after="0" w:line="169" w:lineRule="exact"/>
              <w:rPr>
                <w:rFonts w:ascii="Arial" w:cs="Arial" w:eastAsia="Arial" w:hAnsi="Arial"/>
                <w:sz w:val="16"/>
                <w:szCs w:val="16"/>
                <w:color w:val="0000FF"/>
                <w:w w:val="99"/>
              </w:rPr>
            </w:pPr>
            <w:hyperlink r:id="rId353">
              <w:r>
                <w:rPr>
                  <w:rFonts w:ascii="Arial" w:cs="Arial" w:eastAsia="Arial" w:hAnsi="Arial"/>
                  <w:sz w:val="16"/>
                  <w:szCs w:val="16"/>
                  <w:color w:val="0000FF"/>
                  <w:w w:val="99"/>
                </w:rPr>
                <w:t>Second Amended and Restated Executive</w:t>
              </w:r>
            </w:hyperlink>
          </w:p>
        </w:tc>
        <w:tc>
          <w:tcPr>
            <w:tcW w:w="2520" w:type="dxa"/>
            <w:vAlign w:val="bottom"/>
            <w:gridSpan w:val="29"/>
          </w:tcPr>
          <w:p>
            <w:pPr>
              <w:jc w:val="right"/>
              <w:ind w:right="340"/>
              <w:spacing w:after="0" w:line="169" w:lineRule="exact"/>
              <w:rPr>
                <w:rFonts w:ascii="Arial" w:cs="Arial" w:eastAsia="Arial" w:hAnsi="Arial"/>
                <w:sz w:val="16"/>
                <w:szCs w:val="16"/>
                <w:color w:val="0000FF"/>
              </w:rPr>
            </w:pPr>
            <w:hyperlink r:id="rId353">
              <w:r>
                <w:rPr>
                  <w:rFonts w:ascii="Arial" w:cs="Arial" w:eastAsia="Arial" w:hAnsi="Arial"/>
                  <w:sz w:val="16"/>
                  <w:szCs w:val="16"/>
                  <w:color w:val="0000FF"/>
                </w:rPr>
                <w:t>Severance Agreement, dated</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27"/>
          </w:tcPr>
          <w:p>
            <w:pPr>
              <w:spacing w:after="0" w:line="169" w:lineRule="exact"/>
              <w:rPr>
                <w:rFonts w:ascii="Arial" w:cs="Arial" w:eastAsia="Arial" w:hAnsi="Arial"/>
                <w:sz w:val="16"/>
                <w:szCs w:val="16"/>
                <w:color w:val="0000FF"/>
              </w:rPr>
            </w:pPr>
            <w:hyperlink r:id="rId353">
              <w:r>
                <w:rPr>
                  <w:rFonts w:ascii="Arial" w:cs="Arial" w:eastAsia="Arial" w:hAnsi="Arial"/>
                  <w:sz w:val="16"/>
                  <w:szCs w:val="16"/>
                  <w:color w:val="0000FF"/>
                </w:rPr>
                <w:t>September 25, 2023, between the Company and Christopher Hall.</w:t>
              </w:r>
            </w:hyperlink>
          </w:p>
        </w:tc>
        <w:tc>
          <w:tcPr>
            <w:tcW w:w="500" w:type="dxa"/>
            <w:vAlign w:val="bottom"/>
            <w:tcBorders>
              <w:top w:val="single" w:sz="8" w:color="0000FF"/>
            </w:tcBorders>
            <w:gridSpan w:val="13"/>
          </w:tcPr>
          <w:p>
            <w:pPr>
              <w:spacing w:after="0"/>
              <w:rPr>
                <w:sz w:val="14"/>
                <w:szCs w:val="14"/>
                <w:color w:val="auto"/>
              </w:rPr>
            </w:pPr>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10.13</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54">
              <w:r>
                <w:rPr>
                  <w:rFonts w:ascii="Arial" w:cs="Arial" w:eastAsia="Arial" w:hAnsi="Arial"/>
                  <w:sz w:val="16"/>
                  <w:szCs w:val="16"/>
                  <w:color w:val="0000FF"/>
                </w:rPr>
                <w:t>Third Amended and Restated Executive Severance Agreement, dated</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14"/>
                <w:szCs w:val="14"/>
                <w:color w:val="auto"/>
              </w:rPr>
            </w:pPr>
          </w:p>
        </w:tc>
        <w:tc>
          <w:tcPr>
            <w:tcW w:w="506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354">
              <w:r>
                <w:rPr>
                  <w:rFonts w:ascii="Arial" w:cs="Arial" w:eastAsia="Arial" w:hAnsi="Arial"/>
                  <w:sz w:val="16"/>
                  <w:szCs w:val="16"/>
                  <w:color w:val="0000FF"/>
                </w:rPr>
                <w:t>September 25, 2023, between the Company and Aaron Tachibana.</w:t>
              </w:r>
            </w:hyperlink>
          </w:p>
        </w:tc>
        <w:tc>
          <w:tcPr>
            <w:tcW w:w="100" w:type="dxa"/>
            <w:vAlign w:val="bottom"/>
            <w:gridSpan w:val="4"/>
          </w:tcPr>
          <w:p>
            <w:pPr>
              <w:spacing w:after="0"/>
              <w:rPr>
                <w:sz w:val="14"/>
                <w:szCs w:val="14"/>
                <w:color w:val="auto"/>
              </w:rPr>
            </w:pPr>
          </w:p>
        </w:tc>
        <w:tc>
          <w:tcPr>
            <w:tcW w:w="380" w:type="dxa"/>
            <w:vAlign w:val="bottom"/>
            <w:gridSpan w:val="5"/>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rPr>
              <w:t>10.14</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gridSpan w:val="2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540" w:type="dxa"/>
            <w:vAlign w:val="bottom"/>
            <w:gridSpan w:val="42"/>
          </w:tcPr>
          <w:p>
            <w:pPr>
              <w:spacing w:after="0" w:line="169" w:lineRule="exact"/>
              <w:rPr>
                <w:rFonts w:ascii="Arial" w:cs="Arial" w:eastAsia="Arial" w:hAnsi="Arial"/>
                <w:sz w:val="16"/>
                <w:szCs w:val="16"/>
                <w:color w:val="0000FF"/>
              </w:rPr>
            </w:pPr>
            <w:hyperlink r:id="rId355">
              <w:r>
                <w:rPr>
                  <w:rFonts w:ascii="Arial" w:cs="Arial" w:eastAsia="Arial" w:hAnsi="Arial"/>
                  <w:sz w:val="16"/>
                  <w:szCs w:val="16"/>
                  <w:color w:val="0000FF"/>
                </w:rPr>
                <w:t>Third Amended and Restated Executive Severance Agreement, dated</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355">
              <w:r>
                <w:rPr>
                  <w:rFonts w:ascii="Arial" w:cs="Arial" w:eastAsia="Arial" w:hAnsi="Arial"/>
                  <w:sz w:val="16"/>
                  <w:szCs w:val="16"/>
                  <w:color w:val="0000FF"/>
                </w:rPr>
                <w:t>September 25, 2023, between the Company and Richard Chen.</w:t>
              </w:r>
            </w:hyperlink>
          </w:p>
        </w:tc>
        <w:tc>
          <w:tcPr>
            <w:tcW w:w="100" w:type="dxa"/>
            <w:vAlign w:val="bottom"/>
            <w:gridSpan w:val="4"/>
          </w:tcPr>
          <w:p>
            <w:pPr>
              <w:spacing w:after="0"/>
              <w:rPr>
                <w:sz w:val="14"/>
                <w:szCs w:val="14"/>
                <w:color w:val="auto"/>
              </w:rPr>
            </w:pPr>
          </w:p>
        </w:tc>
        <w:tc>
          <w:tcPr>
            <w:tcW w:w="38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line="169" w:lineRule="exact"/>
              <w:rPr>
                <w:sz w:val="20"/>
                <w:szCs w:val="20"/>
                <w:color w:val="auto"/>
              </w:rPr>
            </w:pPr>
            <w:r>
              <w:rPr>
                <w:rFonts w:ascii="Arial" w:cs="Arial" w:eastAsia="Arial" w:hAnsi="Arial"/>
                <w:sz w:val="16"/>
                <w:szCs w:val="16"/>
                <w:color w:val="auto"/>
              </w:rPr>
              <w:t>10.15#</w:t>
            </w:r>
          </w:p>
        </w:tc>
        <w:tc>
          <w:tcPr>
            <w:tcW w:w="120" w:type="dxa"/>
            <w:vAlign w:val="bottom"/>
          </w:tcPr>
          <w:p>
            <w:pPr>
              <w:spacing w:after="0"/>
              <w:rPr>
                <w:sz w:val="14"/>
                <w:szCs w:val="14"/>
                <w:color w:val="auto"/>
              </w:rPr>
            </w:pPr>
          </w:p>
        </w:tc>
        <w:tc>
          <w:tcPr>
            <w:tcW w:w="4580" w:type="dxa"/>
            <w:vAlign w:val="bottom"/>
            <w:tcBorders>
              <w:top w:val="single" w:sz="8" w:color="0000FF"/>
            </w:tcBorders>
            <w:gridSpan w:val="25"/>
          </w:tcPr>
          <w:p>
            <w:pPr>
              <w:spacing w:after="0" w:line="169" w:lineRule="exact"/>
              <w:rPr>
                <w:rFonts w:ascii="Arial" w:cs="Arial" w:eastAsia="Arial" w:hAnsi="Arial"/>
                <w:sz w:val="16"/>
                <w:szCs w:val="16"/>
                <w:color w:val="0000FF"/>
                <w:w w:val="97"/>
              </w:rPr>
            </w:pPr>
            <w:hyperlink r:id="rId356">
              <w:r>
                <w:rPr>
                  <w:rFonts w:ascii="Arial" w:cs="Arial" w:eastAsia="Arial" w:hAnsi="Arial"/>
                  <w:sz w:val="16"/>
                  <w:szCs w:val="16"/>
                  <w:color w:val="0000FF"/>
                  <w:w w:val="97"/>
                </w:rPr>
                <w:t>Second Amended and Restated Executive Severance Agreement,</w:t>
              </w:r>
            </w:hyperlink>
          </w:p>
        </w:tc>
        <w:tc>
          <w:tcPr>
            <w:tcW w:w="120" w:type="dxa"/>
            <w:vAlign w:val="bottom"/>
          </w:tcPr>
          <w:p>
            <w:pPr>
              <w:spacing w:after="0"/>
              <w:rPr>
                <w:sz w:val="14"/>
                <w:szCs w:val="14"/>
                <w:color w:val="auto"/>
              </w:rPr>
            </w:pPr>
          </w:p>
        </w:tc>
        <w:tc>
          <w:tcPr>
            <w:tcW w:w="840" w:type="dxa"/>
            <w:vAlign w:val="bottom"/>
            <w:gridSpan w:val="16"/>
          </w:tcPr>
          <w:p>
            <w:pPr>
              <w:jc w:val="right"/>
              <w:ind w:right="340"/>
              <w:spacing w:after="0" w:line="169" w:lineRule="exact"/>
              <w:rPr>
                <w:rFonts w:ascii="Arial" w:cs="Arial" w:eastAsia="Arial" w:hAnsi="Arial"/>
                <w:sz w:val="16"/>
                <w:szCs w:val="16"/>
                <w:color w:val="0000FF"/>
              </w:rPr>
            </w:pPr>
            <w:hyperlink r:id="rId356">
              <w:r>
                <w:rPr>
                  <w:rFonts w:ascii="Arial" w:cs="Arial" w:eastAsia="Arial" w:hAnsi="Arial"/>
                  <w:sz w:val="16"/>
                  <w:szCs w:val="16"/>
                  <w:color w:val="0000FF"/>
                </w:rPr>
                <w:t>dated</w:t>
              </w:r>
            </w:hyperlink>
          </w:p>
        </w:tc>
        <w:tc>
          <w:tcPr>
            <w:tcW w:w="1020" w:type="dxa"/>
            <w:vAlign w:val="bottom"/>
          </w:tcPr>
          <w:p>
            <w:pPr>
              <w:jc w:val="center"/>
              <w:spacing w:after="0" w:line="169" w:lineRule="exact"/>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39"/>
              <w:spacing w:after="0" w:line="169" w:lineRule="exact"/>
              <w:rPr>
                <w:sz w:val="20"/>
                <w:szCs w:val="20"/>
                <w:color w:val="auto"/>
              </w:rPr>
            </w:pPr>
            <w:r>
              <w:rPr>
                <w:rFonts w:ascii="Arial" w:cs="Arial" w:eastAsia="Arial" w:hAnsi="Arial"/>
                <w:sz w:val="16"/>
                <w:szCs w:val="16"/>
                <w:color w:val="auto"/>
              </w:rPr>
              <w:t>001-38943</w:t>
            </w:r>
          </w:p>
        </w:tc>
        <w:tc>
          <w:tcPr>
            <w:tcW w:w="1160" w:type="dxa"/>
            <w:vAlign w:val="bottom"/>
            <w:gridSpan w:val="2"/>
          </w:tcPr>
          <w:p>
            <w:pPr>
              <w:jc w:val="center"/>
              <w:ind w:left="19"/>
              <w:spacing w:after="0" w:line="169" w:lineRule="exact"/>
              <w:rPr>
                <w:sz w:val="20"/>
                <w:szCs w:val="20"/>
                <w:color w:val="auto"/>
              </w:rPr>
            </w:pPr>
            <w:r>
              <w:rPr>
                <w:rFonts w:ascii="Arial" w:cs="Arial" w:eastAsia="Arial" w:hAnsi="Arial"/>
                <w:sz w:val="16"/>
                <w:szCs w:val="16"/>
                <w:color w:val="auto"/>
              </w:rPr>
              <w:t>10.15</w:t>
            </w:r>
          </w:p>
        </w:tc>
        <w:tc>
          <w:tcPr>
            <w:tcW w:w="122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169"/>
        </w:trPr>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10.16Ω‡</w:t>
            </w:r>
          </w:p>
        </w:tc>
        <w:tc>
          <w:tcPr>
            <w:tcW w:w="120" w:type="dxa"/>
            <w:vAlign w:val="bottom"/>
          </w:tcPr>
          <w:p>
            <w:pPr>
              <w:spacing w:after="0"/>
              <w:rPr>
                <w:sz w:val="14"/>
                <w:szCs w:val="14"/>
                <w:color w:val="auto"/>
              </w:rPr>
            </w:pPr>
          </w:p>
        </w:tc>
        <w:tc>
          <w:tcPr>
            <w:tcW w:w="5260" w:type="dxa"/>
            <w:vAlign w:val="bottom"/>
            <w:tcBorders>
              <w:top w:val="single" w:sz="8" w:color="0000FF"/>
            </w:tcBorders>
            <w:gridSpan w:val="40"/>
          </w:tcPr>
          <w:p>
            <w:pPr>
              <w:spacing w:after="0" w:line="169" w:lineRule="exact"/>
              <w:rPr>
                <w:rFonts w:ascii="Arial" w:cs="Arial" w:eastAsia="Arial" w:hAnsi="Arial"/>
                <w:sz w:val="16"/>
                <w:szCs w:val="16"/>
                <w:color w:val="0000FF"/>
              </w:rPr>
            </w:pPr>
            <w:hyperlink r:id="rId356">
              <w:r>
                <w:rPr>
                  <w:rFonts w:ascii="Arial" w:cs="Arial" w:eastAsia="Arial" w:hAnsi="Arial"/>
                  <w:sz w:val="16"/>
                  <w:szCs w:val="16"/>
                  <w:color w:val="0000FF"/>
                </w:rPr>
                <w:t>September 18, 2023, between the Company and Stephen Moore.</w:t>
              </w:r>
            </w:hyperlink>
          </w:p>
        </w:tc>
        <w:tc>
          <w:tcPr>
            <w:tcW w:w="280" w:type="dxa"/>
            <w:vAlign w:val="bottom"/>
            <w:gridSpan w:val="2"/>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6"/>
              </w:rPr>
              <w:t>8-K</w:t>
            </w:r>
          </w:p>
        </w:tc>
        <w:tc>
          <w:tcPr>
            <w:tcW w:w="114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rPr>
              <w:t>001-38943</w:t>
            </w:r>
          </w:p>
        </w:tc>
        <w:tc>
          <w:tcPr>
            <w:tcW w:w="116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220" w:type="dxa"/>
            <w:vAlign w:val="bottom"/>
            <w:gridSpan w:val="3"/>
            <w:vMerge w:val="restart"/>
          </w:tcPr>
          <w:p>
            <w:pPr>
              <w:jc w:val="center"/>
              <w:ind w:left="19"/>
              <w:spacing w:after="0"/>
              <w:rPr>
                <w:sz w:val="20"/>
                <w:szCs w:val="20"/>
                <w:color w:val="auto"/>
              </w:rPr>
            </w:pPr>
            <w:r>
              <w:rPr>
                <w:rFonts w:ascii="Arial" w:cs="Arial" w:eastAsia="Arial" w:hAnsi="Arial"/>
                <w:sz w:val="16"/>
                <w:szCs w:val="16"/>
                <w:color w:val="auto"/>
                <w:w w:val="99"/>
              </w:rPr>
              <w:t>11/28/2023</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tcBorders>
              <w:top w:val="single" w:sz="8" w:color="0000FF"/>
            </w:tcBorders>
            <w:gridSpan w:val="26"/>
          </w:tcPr>
          <w:p>
            <w:pPr>
              <w:spacing w:after="0" w:line="169" w:lineRule="exact"/>
              <w:rPr>
                <w:rFonts w:ascii="Arial" w:cs="Arial" w:eastAsia="Arial" w:hAnsi="Arial"/>
                <w:sz w:val="16"/>
                <w:szCs w:val="16"/>
                <w:color w:val="0000FF"/>
                <w:w w:val="98"/>
              </w:rPr>
            </w:pPr>
            <w:hyperlink r:id="rId357">
              <w:r>
                <w:rPr>
                  <w:rFonts w:ascii="Arial" w:cs="Arial" w:eastAsia="Arial" w:hAnsi="Arial"/>
                  <w:sz w:val="16"/>
                  <w:szCs w:val="16"/>
                  <w:color w:val="0000FF"/>
                  <w:w w:val="98"/>
                </w:rPr>
                <w:t>Commercialization and Reference Laboratory Agreement, between</w:t>
              </w:r>
            </w:hyperlink>
          </w:p>
        </w:tc>
        <w:tc>
          <w:tcPr>
            <w:tcW w:w="840" w:type="dxa"/>
            <w:vAlign w:val="bottom"/>
            <w:gridSpan w:val="16"/>
          </w:tcPr>
          <w:p>
            <w:pPr>
              <w:ind w:left="160"/>
              <w:spacing w:after="0" w:line="169" w:lineRule="exact"/>
              <w:rPr>
                <w:rFonts w:ascii="Arial" w:cs="Arial" w:eastAsia="Arial" w:hAnsi="Arial"/>
                <w:sz w:val="16"/>
                <w:szCs w:val="16"/>
                <w:color w:val="0000FF"/>
              </w:rPr>
            </w:pPr>
            <w:hyperlink r:id="rId357">
              <w:r>
                <w:rPr>
                  <w:rFonts w:ascii="Arial" w:cs="Arial" w:eastAsia="Arial" w:hAnsi="Arial"/>
                  <w:sz w:val="16"/>
                  <w:szCs w:val="16"/>
                  <w:color w:val="0000FF"/>
                </w:rPr>
                <w:t>the</w:t>
              </w:r>
            </w:hyperlink>
          </w:p>
        </w:tc>
        <w:tc>
          <w:tcPr>
            <w:tcW w:w="102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23"/>
          </w:tcPr>
          <w:p>
            <w:pPr>
              <w:spacing w:after="0" w:line="169" w:lineRule="exact"/>
              <w:rPr>
                <w:rFonts w:ascii="Arial" w:cs="Arial" w:eastAsia="Arial" w:hAnsi="Arial"/>
                <w:sz w:val="16"/>
                <w:szCs w:val="16"/>
                <w:color w:val="0000FF"/>
              </w:rPr>
            </w:pPr>
            <w:hyperlink r:id="rId357">
              <w:r>
                <w:rPr>
                  <w:rFonts w:ascii="Arial" w:cs="Arial" w:eastAsia="Arial" w:hAnsi="Arial"/>
                  <w:sz w:val="16"/>
                  <w:szCs w:val="16"/>
                  <w:color w:val="0000FF"/>
                </w:rPr>
                <w:t>Registrant and Tempus AI, Inc., dated November 25, 2023.</w:t>
              </w:r>
            </w:hyperlink>
          </w:p>
        </w:tc>
        <w:tc>
          <w:tcPr>
            <w:tcW w:w="900" w:type="dxa"/>
            <w:vAlign w:val="bottom"/>
            <w:tcBorders>
              <w:top w:val="single" w:sz="8" w:color="0000FF"/>
            </w:tcBorders>
            <w:gridSpan w:val="14"/>
          </w:tcPr>
          <w:p>
            <w:pPr>
              <w:spacing w:after="0"/>
              <w:rPr>
                <w:sz w:val="14"/>
                <w:szCs w:val="14"/>
                <w:color w:val="auto"/>
              </w:rPr>
            </w:pPr>
          </w:p>
        </w:tc>
        <w:tc>
          <w:tcPr>
            <w:tcW w:w="380" w:type="dxa"/>
            <w:vAlign w:val="bottom"/>
            <w:gridSpan w:val="5"/>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color w:val="0000FF"/>
              </w:rPr>
              <w:t>Table of Contents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4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10.17Ω‡</w:t>
            </w:r>
          </w:p>
        </w:tc>
        <w:tc>
          <w:tcPr>
            <w:tcW w:w="20" w:type="dxa"/>
            <w:vAlign w:val="bottom"/>
          </w:tcPr>
          <w:p>
            <w:pPr>
              <w:spacing w:after="0"/>
              <w:rPr>
                <w:sz w:val="24"/>
                <w:szCs w:val="24"/>
                <w:color w:val="auto"/>
              </w:rPr>
            </w:pPr>
          </w:p>
        </w:tc>
        <w:tc>
          <w:tcPr>
            <w:tcW w:w="5460" w:type="dxa"/>
            <w:vAlign w:val="bottom"/>
            <w:gridSpan w:val="31"/>
          </w:tcPr>
          <w:p>
            <w:pPr>
              <w:spacing w:after="0"/>
              <w:rPr>
                <w:rFonts w:ascii="Arial" w:cs="Arial" w:eastAsia="Arial" w:hAnsi="Arial"/>
                <w:sz w:val="16"/>
                <w:szCs w:val="16"/>
                <w:color w:val="0000FF"/>
              </w:rPr>
            </w:pPr>
            <w:hyperlink r:id="rId359">
              <w:r>
                <w:rPr>
                  <w:rFonts w:ascii="Arial" w:cs="Arial" w:eastAsia="Arial" w:hAnsi="Arial"/>
                  <w:sz w:val="16"/>
                  <w:szCs w:val="16"/>
                  <w:color w:val="0000FF"/>
                </w:rPr>
                <w:t>Amendment No. 1 to the Commercialization and Reference Laboratory</w:t>
              </w:r>
            </w:hyperlink>
          </w:p>
        </w:tc>
        <w:tc>
          <w:tcPr>
            <w:tcW w:w="1000" w:type="dxa"/>
            <w:vAlign w:val="bottom"/>
          </w:tcPr>
          <w:p>
            <w:pPr>
              <w:jc w:val="center"/>
              <w:ind w:left="119"/>
              <w:spacing w:after="0"/>
              <w:rPr>
                <w:sz w:val="20"/>
                <w:szCs w:val="20"/>
                <w:color w:val="auto"/>
              </w:rPr>
            </w:pPr>
            <w:r>
              <w:rPr>
                <w:rFonts w:ascii="Arial" w:cs="Arial" w:eastAsia="Arial" w:hAnsi="Arial"/>
                <w:sz w:val="16"/>
                <w:szCs w:val="16"/>
                <w:color w:val="auto"/>
                <w:w w:val="96"/>
              </w:rPr>
              <w:t>8-K</w:t>
            </w:r>
          </w:p>
        </w:tc>
        <w:tc>
          <w:tcPr>
            <w:tcW w:w="142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40" w:type="dxa"/>
            <w:vAlign w:val="bottom"/>
          </w:tcPr>
          <w:p>
            <w:pPr>
              <w:jc w:val="center"/>
              <w:ind w:left="239"/>
              <w:spacing w:after="0"/>
              <w:rPr>
                <w:sz w:val="20"/>
                <w:szCs w:val="20"/>
                <w:color w:val="auto"/>
              </w:rPr>
            </w:pPr>
            <w:r>
              <w:rPr>
                <w:rFonts w:ascii="Arial" w:cs="Arial" w:eastAsia="Arial" w:hAnsi="Arial"/>
                <w:sz w:val="16"/>
                <w:szCs w:val="16"/>
                <w:color w:val="auto"/>
              </w:rPr>
              <w:t>8/16/2024</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Agreement, dated August 16, 2024, by and between the Registrant and</w:t>
              </w:r>
            </w:hyperlink>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4"/>
                <w:szCs w:val="14"/>
                <w:color w:val="auto"/>
              </w:rPr>
            </w:pPr>
          </w:p>
        </w:tc>
        <w:tc>
          <w:tcPr>
            <w:tcW w:w="5160" w:type="dxa"/>
            <w:vAlign w:val="bottom"/>
            <w:gridSpan w:val="21"/>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Tempus AI,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rPr>
              <w:t>10-Q</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10.2</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11/6/2024</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0000FF"/>
            </w:tcBorders>
            <w:gridSpan w:val="4"/>
          </w:tcPr>
          <w:p>
            <w:pPr>
              <w:spacing w:after="0" w:line="169" w:lineRule="exact"/>
              <w:rPr>
                <w:rFonts w:ascii="Arial" w:cs="Arial" w:eastAsia="Arial" w:hAnsi="Arial"/>
                <w:sz w:val="16"/>
                <w:szCs w:val="16"/>
                <w:color w:val="0000FF"/>
                <w:w w:val="96"/>
              </w:rPr>
            </w:pPr>
            <w:hyperlink r:id="rId360">
              <w:r>
                <w:rPr>
                  <w:rFonts w:ascii="Arial" w:cs="Arial" w:eastAsia="Arial" w:hAnsi="Arial"/>
                  <w:sz w:val="16"/>
                  <w:szCs w:val="16"/>
                  <w:color w:val="0000FF"/>
                  <w:w w:val="96"/>
                </w:rPr>
                <w:t>Amendment No.</w:t>
              </w:r>
            </w:hyperlink>
          </w:p>
        </w:tc>
        <w:tc>
          <w:tcPr>
            <w:tcW w:w="20" w:type="dxa"/>
            <w:vAlign w:val="bottom"/>
            <w:tcBorders>
              <w:top w:val="single" w:sz="8" w:color="0000EE"/>
            </w:tcBorders>
          </w:tcPr>
          <w:p>
            <w:pPr>
              <w:spacing w:after="0"/>
              <w:rPr>
                <w:sz w:val="14"/>
                <w:szCs w:val="14"/>
                <w:color w:val="auto"/>
              </w:rPr>
            </w:pPr>
          </w:p>
        </w:tc>
        <w:tc>
          <w:tcPr>
            <w:tcW w:w="4300" w:type="dxa"/>
            <w:vAlign w:val="bottom"/>
            <w:gridSpan w:val="26"/>
          </w:tcPr>
          <w:p>
            <w:pPr>
              <w:ind w:left="60"/>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2 to the Commercialization and Reference Laboratory</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Agreement, dated September 20, 2024, by and between the Registrant</w:t>
              </w:r>
            </w:hyperlink>
          </w:p>
        </w:tc>
        <w:tc>
          <w:tcPr>
            <w:tcW w:w="340" w:type="dxa"/>
            <w:vAlign w:val="bottom"/>
            <w:tcBorders>
              <w:bottom w:val="single" w:sz="8" w:color="0000FF"/>
            </w:tcBorders>
            <w:gridSpan w:val="11"/>
          </w:tcPr>
          <w:p>
            <w:pPr>
              <w:jc w:val="right"/>
              <w:ind w:right="40"/>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and</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rPr>
              <w:t>10.19Ω*</w:t>
            </w:r>
          </w:p>
        </w:tc>
        <w:tc>
          <w:tcPr>
            <w:tcW w:w="5460" w:type="dxa"/>
            <w:vAlign w:val="bottom"/>
            <w:gridSpan w:val="31"/>
          </w:tcPr>
          <w:p>
            <w:pPr>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Tempus AI, Inc</w:t>
              </w:r>
              <w:r>
                <w:rPr>
                  <w:rFonts w:ascii="Arial" w:cs="Arial" w:eastAsia="Arial" w:hAnsi="Arial"/>
                  <w:sz w:val="16"/>
                  <w:szCs w:val="16"/>
                  <w:color w:val="000000"/>
                </w:rPr>
                <w:t>.</w:t>
              </w:r>
            </w:hyperlink>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5460" w:type="dxa"/>
            <w:vAlign w:val="bottom"/>
            <w:gridSpan w:val="31"/>
          </w:tcPr>
          <w:p>
            <w:pPr>
              <w:spacing w:after="0" w:line="169" w:lineRule="exact"/>
              <w:rPr>
                <w:sz w:val="20"/>
                <w:szCs w:val="20"/>
                <w:color w:val="auto"/>
              </w:rPr>
            </w:pPr>
            <w:r>
              <w:rPr>
                <w:rFonts w:ascii="Arial" w:cs="Arial" w:eastAsia="Arial" w:hAnsi="Arial"/>
                <w:sz w:val="16"/>
                <w:szCs w:val="16"/>
                <w:color w:val="0000FF"/>
              </w:rPr>
              <w:t>Amendment No. 3 to the Commercialization and Reference Laboratory</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6"/>
                <w:szCs w:val="16"/>
                <w:color w:val="0000FF"/>
              </w:rPr>
              <w:t>Agreement, dated December 13, 2024, by and between the Registrant</w:t>
            </w:r>
          </w:p>
        </w:tc>
        <w:tc>
          <w:tcPr>
            <w:tcW w:w="340" w:type="dxa"/>
            <w:vAlign w:val="bottom"/>
            <w:gridSpan w:val="11"/>
          </w:tcPr>
          <w:p>
            <w:pPr>
              <w:spacing w:after="0" w:line="169" w:lineRule="exact"/>
              <w:rPr>
                <w:sz w:val="20"/>
                <w:szCs w:val="20"/>
                <w:color w:val="auto"/>
              </w:rPr>
            </w:pPr>
            <w:r>
              <w:rPr>
                <w:rFonts w:ascii="Arial" w:cs="Arial" w:eastAsia="Arial" w:hAnsi="Arial"/>
                <w:sz w:val="16"/>
                <w:szCs w:val="16"/>
                <w:color w:val="0000FF"/>
              </w:rPr>
              <w:t>and</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4"/>
                <w:szCs w:val="14"/>
                <w:color w:val="auto"/>
              </w:rPr>
            </w:pPr>
          </w:p>
        </w:tc>
        <w:tc>
          <w:tcPr>
            <w:tcW w:w="5420" w:type="dxa"/>
            <w:vAlign w:val="bottom"/>
            <w:tcBorders>
              <w:top w:val="single" w:sz="8" w:color="0000FF"/>
            </w:tcBorders>
            <w:gridSpan w:val="29"/>
          </w:tcPr>
          <w:p>
            <w:pPr>
              <w:spacing w:after="0" w:line="169" w:lineRule="exact"/>
              <w:rPr>
                <w:sz w:val="20"/>
                <w:szCs w:val="20"/>
                <w:color w:val="auto"/>
              </w:rPr>
            </w:pPr>
            <w:r>
              <w:rPr>
                <w:rFonts w:ascii="Arial" w:cs="Arial" w:eastAsia="Arial" w:hAnsi="Arial"/>
                <w:sz w:val="16"/>
                <w:szCs w:val="16"/>
                <w:color w:val="0000FF"/>
              </w:rPr>
              <w:t>Tempus AI, Inc.</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w w:val="96"/>
              </w:rPr>
              <w:t>S-1</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333-231703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10.9</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5/23/2019</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361">
              <w:r>
                <w:rPr>
                  <w:rFonts w:ascii="Arial" w:cs="Arial" w:eastAsia="Arial" w:hAnsi="Arial"/>
                  <w:sz w:val="16"/>
                  <w:szCs w:val="16"/>
                  <w:color w:val="0000FF"/>
                </w:rPr>
                <w:t>Lease, by and</w:t>
              </w:r>
            </w:hyperlink>
          </w:p>
        </w:tc>
        <w:tc>
          <w:tcPr>
            <w:tcW w:w="20" w:type="dxa"/>
            <w:vAlign w:val="bottom"/>
            <w:tcBorders>
              <w:top w:val="single" w:sz="8" w:color="0000EE"/>
              <w:bottom w:val="single" w:sz="8" w:color="0000FF"/>
            </w:tcBorders>
          </w:tcPr>
          <w:p>
            <w:pPr>
              <w:spacing w:after="0"/>
              <w:rPr>
                <w:sz w:val="14"/>
                <w:szCs w:val="14"/>
                <w:color w:val="auto"/>
              </w:rPr>
            </w:pPr>
          </w:p>
        </w:tc>
        <w:tc>
          <w:tcPr>
            <w:tcW w:w="4300" w:type="dxa"/>
            <w:vAlign w:val="bottom"/>
            <w:tcBorders>
              <w:bottom w:val="single" w:sz="8" w:color="0000FF"/>
            </w:tcBorders>
            <w:gridSpan w:val="26"/>
          </w:tcPr>
          <w:p>
            <w:pPr>
              <w:jc w:val="right"/>
              <w:ind w:right="40"/>
              <w:spacing w:after="0" w:line="169" w:lineRule="exact"/>
              <w:rPr>
                <w:rFonts w:ascii="Arial" w:cs="Arial" w:eastAsia="Arial" w:hAnsi="Arial"/>
                <w:sz w:val="16"/>
                <w:szCs w:val="16"/>
                <w:color w:val="0000FF"/>
                <w:w w:val="98"/>
              </w:rPr>
            </w:pPr>
            <w:hyperlink r:id="rId361">
              <w:r>
                <w:rPr>
                  <w:rFonts w:ascii="Arial" w:cs="Arial" w:eastAsia="Arial" w:hAnsi="Arial"/>
                  <w:sz w:val="16"/>
                  <w:szCs w:val="16"/>
                  <w:color w:val="0000FF"/>
                  <w:w w:val="98"/>
                </w:rPr>
                <w:t>between MENLO PREHC I, LLC, MENLO PREPI I, LLC, TPI</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10.21</w:t>
            </w:r>
          </w:p>
        </w:tc>
        <w:tc>
          <w:tcPr>
            <w:tcW w:w="20" w:type="dxa"/>
            <w:vAlign w:val="bottom"/>
          </w:tcPr>
          <w:p>
            <w:pPr>
              <w:spacing w:after="0"/>
              <w:rPr>
                <w:sz w:val="14"/>
                <w:szCs w:val="14"/>
                <w:color w:val="auto"/>
              </w:rPr>
            </w:pPr>
          </w:p>
        </w:tc>
        <w:tc>
          <w:tcPr>
            <w:tcW w:w="466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361">
              <w:r>
                <w:rPr>
                  <w:rFonts w:ascii="Arial" w:cs="Arial" w:eastAsia="Arial" w:hAnsi="Arial"/>
                  <w:sz w:val="16"/>
                  <w:szCs w:val="16"/>
                  <w:color w:val="0000FF"/>
                </w:rPr>
                <w:t>INVESTORS 9, LLC and the Registrant, dated February 2, 2015.</w:t>
              </w:r>
            </w:hyperlink>
          </w:p>
        </w:tc>
        <w:tc>
          <w:tcPr>
            <w:tcW w:w="20" w:type="dxa"/>
            <w:vAlign w:val="bottom"/>
            <w:tcBorders>
              <w:bottom w:val="single" w:sz="8" w:color="0000EE"/>
            </w:tcBorders>
          </w:tcPr>
          <w:p>
            <w:pPr>
              <w:spacing w:after="0"/>
              <w:rPr>
                <w:sz w:val="14"/>
                <w:szCs w:val="14"/>
                <w:color w:val="auto"/>
              </w:rPr>
            </w:pPr>
          </w:p>
        </w:tc>
        <w:tc>
          <w:tcPr>
            <w:tcW w:w="780" w:type="dxa"/>
            <w:vAlign w:val="bottom"/>
            <w:gridSpan w:val="13"/>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rPr>
              <w:t>10-Q</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8/6/2020</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tcBorders>
              <w:bottom w:val="single" w:sz="8" w:color="0000FF"/>
            </w:tcBorders>
            <w:gridSpan w:val="31"/>
          </w:tcPr>
          <w:p>
            <w:pPr>
              <w:spacing w:after="0" w:line="169" w:lineRule="exact"/>
              <w:rPr>
                <w:rFonts w:ascii="Arial" w:cs="Arial" w:eastAsia="Arial" w:hAnsi="Arial"/>
                <w:sz w:val="16"/>
                <w:szCs w:val="16"/>
                <w:color w:val="0000FF"/>
              </w:rPr>
            </w:pPr>
            <w:hyperlink r:id="rId362">
              <w:r>
                <w:rPr>
                  <w:rFonts w:ascii="Arial" w:cs="Arial" w:eastAsia="Arial" w:hAnsi="Arial"/>
                  <w:sz w:val="16"/>
                  <w:szCs w:val="16"/>
                  <w:color w:val="0000FF"/>
                </w:rPr>
                <w:t>First Amendment to Lease, by and between MENLO PREPI I, LLC and TPI</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10.22</w:t>
            </w:r>
          </w:p>
        </w:tc>
        <w:tc>
          <w:tcPr>
            <w:tcW w:w="20" w:type="dxa"/>
            <w:vAlign w:val="bottom"/>
          </w:tcPr>
          <w:p>
            <w:pPr>
              <w:spacing w:after="0"/>
              <w:rPr>
                <w:sz w:val="14"/>
                <w:szCs w:val="14"/>
                <w:color w:val="auto"/>
              </w:rPr>
            </w:pPr>
          </w:p>
        </w:tc>
        <w:tc>
          <w:tcPr>
            <w:tcW w:w="5460" w:type="dxa"/>
            <w:vAlign w:val="bottom"/>
            <w:gridSpan w:val="31"/>
          </w:tcPr>
          <w:p>
            <w:pPr>
              <w:spacing w:after="0" w:line="169" w:lineRule="exact"/>
              <w:rPr>
                <w:rFonts w:ascii="Arial" w:cs="Arial" w:eastAsia="Arial" w:hAnsi="Arial"/>
                <w:sz w:val="16"/>
                <w:szCs w:val="16"/>
                <w:color w:val="0000FF"/>
              </w:rPr>
            </w:pPr>
            <w:hyperlink r:id="rId362">
              <w:r>
                <w:rPr>
                  <w:rFonts w:ascii="Arial" w:cs="Arial" w:eastAsia="Arial" w:hAnsi="Arial"/>
                  <w:sz w:val="16"/>
                  <w:szCs w:val="16"/>
                  <w:color w:val="0000FF"/>
                </w:rPr>
                <w:t>INVESTORS 9, LLC and the Registrant, dated April 8, 2020.</w:t>
              </w:r>
            </w:hyperlink>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rPr>
              <w:t>10-Q</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11/4/2021</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363">
              <w:r>
                <w:rPr>
                  <w:rFonts w:ascii="Arial" w:cs="Arial" w:eastAsia="Arial" w:hAnsi="Arial"/>
                  <w:sz w:val="16"/>
                  <w:szCs w:val="16"/>
                  <w:color w:val="0000FF"/>
                </w:rPr>
                <w:t>Lease, by and between Ardenwood Ventures I, LLC and the</w:t>
              </w:r>
            </w:hyperlink>
          </w:p>
        </w:tc>
        <w:tc>
          <w:tcPr>
            <w:tcW w:w="1120" w:type="dxa"/>
            <w:vAlign w:val="bottom"/>
            <w:gridSpan w:val="16"/>
          </w:tcPr>
          <w:p>
            <w:pPr>
              <w:spacing w:after="0" w:line="169" w:lineRule="exact"/>
              <w:rPr>
                <w:rFonts w:ascii="Arial" w:cs="Arial" w:eastAsia="Arial" w:hAnsi="Arial"/>
                <w:sz w:val="16"/>
                <w:szCs w:val="16"/>
                <w:color w:val="0000FF"/>
              </w:rPr>
            </w:pPr>
            <w:hyperlink r:id="rId363">
              <w:r>
                <w:rPr>
                  <w:rFonts w:ascii="Arial" w:cs="Arial" w:eastAsia="Arial" w:hAnsi="Arial"/>
                  <w:sz w:val="16"/>
                  <w:szCs w:val="16"/>
                  <w:color w:val="0000FF"/>
                </w:rPr>
                <w:t>Registrant,</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10.23</w:t>
            </w:r>
          </w:p>
        </w:tc>
        <w:tc>
          <w:tcPr>
            <w:tcW w:w="20" w:type="dxa"/>
            <w:vAlign w:val="bottom"/>
          </w:tcPr>
          <w:p>
            <w:pPr>
              <w:spacing w:after="0"/>
              <w:rPr>
                <w:sz w:val="14"/>
                <w:szCs w:val="14"/>
                <w:color w:val="auto"/>
              </w:rPr>
            </w:pPr>
          </w:p>
        </w:tc>
        <w:tc>
          <w:tcPr>
            <w:tcW w:w="520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363">
              <w:r>
                <w:rPr>
                  <w:rFonts w:ascii="Arial" w:cs="Arial" w:eastAsia="Arial" w:hAnsi="Arial"/>
                  <w:sz w:val="16"/>
                  <w:szCs w:val="16"/>
                  <w:color w:val="0000FF"/>
                </w:rPr>
                <w:t>dated August 25,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99"/>
              <w:spacing w:after="0"/>
              <w:rPr>
                <w:sz w:val="20"/>
                <w:szCs w:val="20"/>
                <w:color w:val="auto"/>
              </w:rPr>
            </w:pPr>
            <w:r>
              <w:rPr>
                <w:rFonts w:ascii="Arial" w:cs="Arial" w:eastAsia="Arial" w:hAnsi="Arial"/>
                <w:sz w:val="16"/>
                <w:szCs w:val="16"/>
                <w:color w:val="auto"/>
              </w:rPr>
              <w:t>10-K</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10.16</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2/24/2022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31"/>
          </w:tcPr>
          <w:p>
            <w:pPr>
              <w:spacing w:after="0" w:line="169" w:lineRule="exact"/>
              <w:rPr>
                <w:rFonts w:ascii="Arial" w:cs="Arial" w:eastAsia="Arial" w:hAnsi="Arial"/>
                <w:sz w:val="16"/>
                <w:szCs w:val="16"/>
                <w:color w:val="0000FF"/>
              </w:rPr>
            </w:pPr>
            <w:hyperlink r:id="rId364">
              <w:r>
                <w:rPr>
                  <w:rFonts w:ascii="Arial" w:cs="Arial" w:eastAsia="Arial" w:hAnsi="Arial"/>
                  <w:sz w:val="16"/>
                  <w:szCs w:val="16"/>
                  <w:color w:val="0000FF"/>
                </w:rPr>
                <w:t>Amendment No. 1 to Lease, by and between Ardenwood Ventures I, LLC</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4"/>
                <w:szCs w:val="14"/>
                <w:color w:val="auto"/>
              </w:rPr>
            </w:pPr>
          </w:p>
        </w:tc>
        <w:tc>
          <w:tcPr>
            <w:tcW w:w="530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364">
              <w:r>
                <w:rPr>
                  <w:rFonts w:ascii="Arial" w:cs="Arial" w:eastAsia="Arial" w:hAnsi="Arial"/>
                  <w:sz w:val="16"/>
                  <w:szCs w:val="16"/>
                  <w:color w:val="0000FF"/>
                </w:rPr>
                <w:t>and the Registrant, dated December 8,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rPr>
              <w:t>10-Q</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8/3/2022</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365">
              <w:r>
                <w:rPr>
                  <w:rFonts w:ascii="Arial" w:cs="Arial" w:eastAsia="Arial" w:hAnsi="Arial"/>
                  <w:sz w:val="16"/>
                  <w:szCs w:val="16"/>
                  <w:color w:val="0000FF"/>
                </w:rPr>
                <w:t>Amendment No. 2 to Lease, by and between</w:t>
              </w:r>
            </w:hyperlink>
          </w:p>
        </w:tc>
        <w:tc>
          <w:tcPr>
            <w:tcW w:w="2200" w:type="dxa"/>
            <w:vAlign w:val="bottom"/>
            <w:gridSpan w:val="21"/>
          </w:tcPr>
          <w:p>
            <w:pPr>
              <w:spacing w:after="0" w:line="169" w:lineRule="exact"/>
              <w:rPr>
                <w:rFonts w:ascii="Arial" w:cs="Arial" w:eastAsia="Arial" w:hAnsi="Arial"/>
                <w:sz w:val="16"/>
                <w:szCs w:val="16"/>
                <w:color w:val="0000FF"/>
              </w:rPr>
            </w:pPr>
            <w:hyperlink r:id="rId365">
              <w:r>
                <w:rPr>
                  <w:rFonts w:ascii="Arial" w:cs="Arial" w:eastAsia="Arial" w:hAnsi="Arial"/>
                  <w:sz w:val="16"/>
                  <w:szCs w:val="16"/>
                  <w:color w:val="0000FF"/>
                </w:rPr>
                <w:t>Ardenwood Ventures I, LLC</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10.25</w:t>
            </w:r>
          </w:p>
        </w:tc>
        <w:tc>
          <w:tcPr>
            <w:tcW w:w="2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365">
              <w:r>
                <w:rPr>
                  <w:rFonts w:ascii="Arial" w:cs="Arial" w:eastAsia="Arial" w:hAnsi="Arial"/>
                  <w:sz w:val="16"/>
                  <w:szCs w:val="16"/>
                  <w:color w:val="0000FF"/>
                </w:rPr>
                <w:t>and the Registrant, dated June 9, 2022.</w:t>
              </w:r>
            </w:hyperlink>
          </w:p>
        </w:tc>
        <w:tc>
          <w:tcPr>
            <w:tcW w:w="24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99"/>
              <w:spacing w:after="0"/>
              <w:rPr>
                <w:sz w:val="20"/>
                <w:szCs w:val="20"/>
                <w:color w:val="auto"/>
              </w:rPr>
            </w:pPr>
            <w:r>
              <w:rPr>
                <w:rFonts w:ascii="Arial" w:cs="Arial" w:eastAsia="Arial" w:hAnsi="Arial"/>
                <w:sz w:val="16"/>
                <w:szCs w:val="16"/>
                <w:color w:val="auto"/>
              </w:rPr>
              <w:t>10-K</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10.19</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2/23/2023</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31"/>
          </w:tcPr>
          <w:p>
            <w:pPr>
              <w:spacing w:after="0" w:line="169" w:lineRule="exact"/>
              <w:rPr>
                <w:rFonts w:ascii="Arial" w:cs="Arial" w:eastAsia="Arial" w:hAnsi="Arial"/>
                <w:sz w:val="16"/>
                <w:szCs w:val="16"/>
                <w:color w:val="0000FF"/>
              </w:rPr>
            </w:pPr>
            <w:hyperlink r:id="rId366">
              <w:r>
                <w:rPr>
                  <w:rFonts w:ascii="Arial" w:cs="Arial" w:eastAsia="Arial" w:hAnsi="Arial"/>
                  <w:sz w:val="16"/>
                  <w:szCs w:val="16"/>
                  <w:color w:val="0000FF"/>
                </w:rPr>
                <w:t>Amendment No. 3 to Lease, by and between Ardenwood Ventures I, LLC</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rPr>
              <w:t>10.26‡</w:t>
            </w:r>
          </w:p>
        </w:tc>
        <w:tc>
          <w:tcPr>
            <w:tcW w:w="530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366">
              <w:r>
                <w:rPr>
                  <w:rFonts w:ascii="Arial" w:cs="Arial" w:eastAsia="Arial" w:hAnsi="Arial"/>
                  <w:sz w:val="16"/>
                  <w:szCs w:val="16"/>
                  <w:color w:val="0000FF"/>
                </w:rPr>
                <w:t>and the Registrant, dated December 19, 2022.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119"/>
              <w:spacing w:after="0"/>
              <w:rPr>
                <w:sz w:val="20"/>
                <w:szCs w:val="20"/>
                <w:color w:val="auto"/>
              </w:rPr>
            </w:pPr>
            <w:r>
              <w:rPr>
                <w:rFonts w:ascii="Arial" w:cs="Arial" w:eastAsia="Arial" w:hAnsi="Arial"/>
                <w:sz w:val="16"/>
                <w:szCs w:val="16"/>
                <w:color w:val="auto"/>
              </w:rPr>
              <w:t>10-Q</w:t>
            </w:r>
          </w:p>
        </w:tc>
        <w:tc>
          <w:tcPr>
            <w:tcW w:w="1420" w:type="dxa"/>
            <w:vAlign w:val="bottom"/>
            <w:vMerge w:val="restart"/>
          </w:tcPr>
          <w:p>
            <w:pPr>
              <w:jc w:val="center"/>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11/2/2022</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3340" w:type="dxa"/>
            <w:vAlign w:val="bottom"/>
            <w:tcBorders>
              <w:top w:val="single" w:sz="8" w:color="0000FF"/>
            </w:tcBorders>
            <w:gridSpan w:val="11"/>
          </w:tcPr>
          <w:p>
            <w:pPr>
              <w:spacing w:after="0" w:line="169" w:lineRule="exact"/>
              <w:rPr>
                <w:rFonts w:ascii="Arial" w:cs="Arial" w:eastAsia="Arial" w:hAnsi="Arial"/>
                <w:sz w:val="16"/>
                <w:szCs w:val="16"/>
                <w:color w:val="0000FF"/>
                <w:w w:val="97"/>
              </w:rPr>
            </w:pPr>
            <w:hyperlink r:id="rId367">
              <w:r>
                <w:rPr>
                  <w:rFonts w:ascii="Arial" w:cs="Arial" w:eastAsia="Arial" w:hAnsi="Arial"/>
                  <w:sz w:val="16"/>
                  <w:szCs w:val="16"/>
                  <w:color w:val="0000FF"/>
                  <w:w w:val="97"/>
                </w:rPr>
                <w:t>Contract No. 36C24E22D0031, by and between</w:t>
              </w:r>
            </w:hyperlink>
          </w:p>
        </w:tc>
        <w:tc>
          <w:tcPr>
            <w:tcW w:w="2120" w:type="dxa"/>
            <w:vAlign w:val="bottom"/>
            <w:gridSpan w:val="20"/>
          </w:tcPr>
          <w:p>
            <w:pPr>
              <w:jc w:val="center"/>
              <w:ind w:right="180"/>
              <w:spacing w:after="0" w:line="169" w:lineRule="exact"/>
              <w:rPr>
                <w:rFonts w:ascii="Arial" w:cs="Arial" w:eastAsia="Arial" w:hAnsi="Arial"/>
                <w:sz w:val="16"/>
                <w:szCs w:val="16"/>
                <w:color w:val="0000FF"/>
              </w:rPr>
            </w:pPr>
            <w:hyperlink r:id="rId367">
              <w:r>
                <w:rPr>
                  <w:rFonts w:ascii="Arial" w:cs="Arial" w:eastAsia="Arial" w:hAnsi="Arial"/>
                  <w:sz w:val="16"/>
                  <w:szCs w:val="16"/>
                  <w:color w:val="0000FF"/>
                </w:rPr>
                <w:t>the U.S. Department of</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19.1*</w:t>
            </w:r>
          </w:p>
        </w:tc>
        <w:tc>
          <w:tcPr>
            <w:tcW w:w="20" w:type="dxa"/>
            <w:vAlign w:val="bottom"/>
          </w:tcPr>
          <w:p>
            <w:pPr>
              <w:spacing w:after="0"/>
              <w:rPr>
                <w:sz w:val="14"/>
                <w:szCs w:val="14"/>
                <w:color w:val="auto"/>
              </w:rPr>
            </w:pPr>
          </w:p>
        </w:tc>
        <w:tc>
          <w:tcPr>
            <w:tcW w:w="522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367">
              <w:r>
                <w:rPr>
                  <w:rFonts w:ascii="Arial" w:cs="Arial" w:eastAsia="Arial" w:hAnsi="Arial"/>
                  <w:sz w:val="16"/>
                  <w:szCs w:val="16"/>
                  <w:color w:val="0000FF"/>
                </w:rPr>
                <w:t>Veterans Affairs and the Registrant, dated September 30, 2022.</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Insider Trading Policy.</w:t>
            </w:r>
          </w:p>
        </w:tc>
        <w:tc>
          <w:tcPr>
            <w:tcW w:w="60" w:type="dxa"/>
            <w:vAlign w:val="bottom"/>
            <w:tcBorders>
              <w:top w:val="single" w:sz="8" w:color="0000FF"/>
              <w:bottom w:val="single" w:sz="8" w:color="0000EE"/>
            </w:tcBorders>
          </w:tcPr>
          <w:p>
            <w:pPr>
              <w:spacing w:after="0"/>
              <w:rPr>
                <w:sz w:val="14"/>
                <w:szCs w:val="14"/>
                <w:color w:val="auto"/>
              </w:rPr>
            </w:pPr>
          </w:p>
        </w:tc>
        <w:tc>
          <w:tcPr>
            <w:tcW w:w="2900" w:type="dxa"/>
            <w:vAlign w:val="bottom"/>
            <w:tcBorders>
              <w:top w:val="single" w:sz="8" w:color="0000FF"/>
            </w:tcBorders>
            <w:gridSpan w:val="9"/>
          </w:tcPr>
          <w:p>
            <w:pPr>
              <w:spacing w:after="0"/>
              <w:rPr>
                <w:sz w:val="14"/>
                <w:szCs w:val="14"/>
                <w:color w:val="auto"/>
              </w:rPr>
            </w:pPr>
          </w:p>
        </w:tc>
        <w:tc>
          <w:tcPr>
            <w:tcW w:w="200" w:type="dxa"/>
            <w:vAlign w:val="bottom"/>
            <w:gridSpan w:val="3"/>
          </w:tcPr>
          <w:p>
            <w:pPr>
              <w:spacing w:after="0"/>
              <w:rPr>
                <w:sz w:val="14"/>
                <w:szCs w:val="14"/>
                <w:color w:val="auto"/>
              </w:rPr>
            </w:pPr>
          </w:p>
        </w:tc>
        <w:tc>
          <w:tcPr>
            <w:tcW w:w="4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6"/>
                <w:szCs w:val="16"/>
                <w:color w:val="auto"/>
              </w:rPr>
              <w:t>21.1</w:t>
            </w:r>
          </w:p>
        </w:tc>
        <w:tc>
          <w:tcPr>
            <w:tcW w:w="20" w:type="dxa"/>
            <w:vAlign w:val="bottom"/>
          </w:tcPr>
          <w:p>
            <w:pPr>
              <w:spacing w:after="0"/>
              <w:rPr>
                <w:sz w:val="14"/>
                <w:szCs w:val="14"/>
                <w:color w:val="auto"/>
              </w:rPr>
            </w:pPr>
          </w:p>
        </w:tc>
        <w:tc>
          <w:tcPr>
            <w:tcW w:w="5460" w:type="dxa"/>
            <w:vAlign w:val="bottom"/>
            <w:gridSpan w:val="31"/>
          </w:tcPr>
          <w:p>
            <w:pPr>
              <w:spacing w:after="0" w:line="169" w:lineRule="exact"/>
              <w:rPr>
                <w:sz w:val="20"/>
                <w:szCs w:val="20"/>
                <w:color w:val="auto"/>
              </w:rPr>
            </w:pPr>
            <w:r>
              <w:rPr>
                <w:rFonts w:ascii="Arial" w:cs="Arial" w:eastAsia="Arial" w:hAnsi="Arial"/>
                <w:sz w:val="16"/>
                <w:szCs w:val="16"/>
                <w:color w:val="0000FF"/>
              </w:rPr>
              <w:t>Subsidiaries of the Registrant as of December 31, 2024.</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20" w:type="dxa"/>
            <w:vAlign w:val="bottom"/>
          </w:tcPr>
          <w:p>
            <w:pPr>
              <w:spacing w:after="0"/>
              <w:rPr>
                <w:sz w:val="14"/>
                <w:szCs w:val="14"/>
                <w:color w:val="auto"/>
              </w:rPr>
            </w:pPr>
          </w:p>
        </w:tc>
        <w:tc>
          <w:tcPr>
            <w:tcW w:w="404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Consent of Independent Registered Public Accounting</w:t>
            </w:r>
          </w:p>
        </w:tc>
        <w:tc>
          <w:tcPr>
            <w:tcW w:w="1420" w:type="dxa"/>
            <w:vAlign w:val="bottom"/>
            <w:gridSpan w:val="19"/>
          </w:tcPr>
          <w:p>
            <w:pPr>
              <w:spacing w:after="0" w:line="169" w:lineRule="exact"/>
              <w:rPr>
                <w:sz w:val="20"/>
                <w:szCs w:val="20"/>
                <w:color w:val="auto"/>
              </w:rPr>
            </w:pPr>
            <w:r>
              <w:rPr>
                <w:rFonts w:ascii="Arial" w:cs="Arial" w:eastAsia="Arial" w:hAnsi="Arial"/>
                <w:sz w:val="16"/>
                <w:szCs w:val="16"/>
                <w:color w:val="0000FF"/>
              </w:rPr>
              <w:t>Firm.</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20" w:type="dxa"/>
            <w:vAlign w:val="bottom"/>
          </w:tcPr>
          <w:p>
            <w:pPr>
              <w:spacing w:after="0"/>
              <w:rPr>
                <w:sz w:val="14"/>
                <w:szCs w:val="14"/>
                <w:color w:val="auto"/>
              </w:rPr>
            </w:pPr>
          </w:p>
        </w:tc>
        <w:tc>
          <w:tcPr>
            <w:tcW w:w="432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Power of Attorney (included on the Signatures page of this</w:t>
            </w:r>
          </w:p>
        </w:tc>
        <w:tc>
          <w:tcPr>
            <w:tcW w:w="1140" w:type="dxa"/>
            <w:vAlign w:val="bottom"/>
            <w:gridSpan w:val="17"/>
          </w:tcPr>
          <w:p>
            <w:pPr>
              <w:spacing w:after="0" w:line="169" w:lineRule="exact"/>
              <w:rPr>
                <w:sz w:val="20"/>
                <w:szCs w:val="20"/>
                <w:color w:val="auto"/>
              </w:rPr>
            </w:pPr>
            <w:r>
              <w:rPr>
                <w:rFonts w:ascii="Arial" w:cs="Arial" w:eastAsia="Arial" w:hAnsi="Arial"/>
                <w:sz w:val="16"/>
                <w:szCs w:val="16"/>
                <w:color w:val="0000FF"/>
              </w:rPr>
              <w:t>Annual Report</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20" w:type="dxa"/>
            <w:vAlign w:val="bottom"/>
          </w:tcPr>
          <w:p>
            <w:pPr>
              <w:spacing w:after="0"/>
              <w:rPr>
                <w:sz w:val="14"/>
                <w:szCs w:val="14"/>
                <w:color w:val="auto"/>
              </w:rPr>
            </w:pPr>
          </w:p>
        </w:tc>
        <w:tc>
          <w:tcPr>
            <w:tcW w:w="532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on Form 10-K).</w:t>
            </w: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Certification of</w:t>
            </w:r>
          </w:p>
        </w:tc>
        <w:tc>
          <w:tcPr>
            <w:tcW w:w="4340" w:type="dxa"/>
            <w:vAlign w:val="bottom"/>
            <w:gridSpan w:val="28"/>
          </w:tcPr>
          <w:p>
            <w:pPr>
              <w:spacing w:after="0" w:line="169" w:lineRule="exact"/>
              <w:rPr>
                <w:sz w:val="20"/>
                <w:szCs w:val="20"/>
                <w:color w:val="auto"/>
              </w:rPr>
            </w:pPr>
            <w:r>
              <w:rPr>
                <w:rFonts w:ascii="Arial" w:cs="Arial" w:eastAsia="Arial" w:hAnsi="Arial"/>
                <w:sz w:val="16"/>
                <w:szCs w:val="16"/>
                <w:color w:val="0000FF"/>
              </w:rPr>
              <w:t>Principal Executive Officer Pursuant to Rules 13a-14(a) and</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tcBorders>
            <w:gridSpan w:val="30"/>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14"/>
                <w:szCs w:val="14"/>
                <w:color w:val="auto"/>
              </w:rPr>
            </w:pPr>
          </w:p>
        </w:tc>
        <w:tc>
          <w:tcPr>
            <w:tcW w:w="47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4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Rules</w:t>
            </w:r>
          </w:p>
        </w:tc>
        <w:tc>
          <w:tcPr>
            <w:tcW w:w="1160" w:type="dxa"/>
            <w:vAlign w:val="bottom"/>
            <w:gridSpan w:val="18"/>
          </w:tcPr>
          <w:p>
            <w:pPr>
              <w:spacing w:after="0" w:line="169" w:lineRule="exact"/>
              <w:rPr>
                <w:sz w:val="20"/>
                <w:szCs w:val="20"/>
                <w:color w:val="auto"/>
              </w:rPr>
            </w:pPr>
            <w:r>
              <w:rPr>
                <w:rFonts w:ascii="Arial" w:cs="Arial" w:eastAsia="Arial" w:hAnsi="Arial"/>
                <w:sz w:val="16"/>
                <w:szCs w:val="16"/>
                <w:color w:val="0000FF"/>
              </w:rPr>
              <w:t>13a-14(a) and</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15d-14(a) under the Securities Exchange Act of 1934, as Adopted</w:t>
            </w:r>
          </w:p>
        </w:tc>
        <w:tc>
          <w:tcPr>
            <w:tcW w:w="10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rPr>
              <w:t>32.1†</w:t>
            </w:r>
          </w:p>
        </w:tc>
        <w:tc>
          <w:tcPr>
            <w:tcW w:w="478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4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6"/>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continue"/>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0" w:type="dxa"/>
            <w:vAlign w:val="bottom"/>
            <w:gridSpan w:val="7"/>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5460" w:type="dxa"/>
            <w:vAlign w:val="bottom"/>
            <w:gridSpan w:val="31"/>
          </w:tcPr>
          <w:p>
            <w:pPr>
              <w:spacing w:after="0" w:line="169" w:lineRule="exact"/>
              <w:rPr>
                <w:sz w:val="20"/>
                <w:szCs w:val="20"/>
                <w:color w:val="auto"/>
              </w:rPr>
            </w:pPr>
            <w:r>
              <w:rPr>
                <w:rFonts w:ascii="Arial" w:cs="Arial" w:eastAsia="Arial" w:hAnsi="Arial"/>
                <w:sz w:val="16"/>
                <w:szCs w:val="16"/>
                <w:color w:val="0000FF"/>
              </w:rPr>
              <w:t>Certification of Principal Executive Officer Pursuant to 18 U.S.C. Section</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Borders>
              <w:top w:val="single" w:sz="8" w:color="0000FF"/>
              <w:bottom w:val="single" w:sz="8" w:color="0000FF"/>
            </w:tcBorders>
            <w:gridSpan w:val="25"/>
          </w:tcPr>
          <w:p>
            <w:pPr>
              <w:spacing w:after="0" w:line="169" w:lineRule="exact"/>
              <w:rPr>
                <w:sz w:val="20"/>
                <w:szCs w:val="20"/>
                <w:color w:val="auto"/>
              </w:rPr>
            </w:pPr>
            <w:r>
              <w:rPr>
                <w:rFonts w:ascii="Arial" w:cs="Arial" w:eastAsia="Arial" w:hAnsi="Arial"/>
                <w:sz w:val="16"/>
                <w:szCs w:val="16"/>
                <w:color w:val="0000FF"/>
              </w:rPr>
              <w:t>1350, as Adopted Pursuant to Section 906 of the Sarbanes-Oxley Act of</w:t>
            </w:r>
          </w:p>
        </w:tc>
        <w:tc>
          <w:tcPr>
            <w:tcW w:w="220" w:type="dxa"/>
            <w:vAlign w:val="bottom"/>
            <w:gridSpan w:val="6"/>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rPr>
              <w:t>32.2†</w:t>
            </w:r>
          </w:p>
        </w:tc>
        <w:tc>
          <w:tcPr>
            <w:tcW w:w="4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9"/>
              </w:rPr>
              <w:t>2002.</w:t>
            </w:r>
          </w:p>
        </w:tc>
        <w:tc>
          <w:tcPr>
            <w:tcW w:w="20" w:type="dxa"/>
            <w:vAlign w:val="bottom"/>
            <w:tcBorders>
              <w:bottom w:val="single" w:sz="8" w:color="0000EE"/>
            </w:tcBorders>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5460" w:type="dxa"/>
            <w:vAlign w:val="bottom"/>
            <w:gridSpan w:val="31"/>
          </w:tcPr>
          <w:p>
            <w:pPr>
              <w:spacing w:after="0" w:line="169" w:lineRule="exact"/>
              <w:rPr>
                <w:sz w:val="20"/>
                <w:szCs w:val="20"/>
                <w:color w:val="auto"/>
              </w:rPr>
            </w:pPr>
            <w:r>
              <w:rPr>
                <w:rFonts w:ascii="Arial" w:cs="Arial" w:eastAsia="Arial" w:hAnsi="Arial"/>
                <w:sz w:val="16"/>
                <w:szCs w:val="16"/>
                <w:color w:val="0000FF"/>
              </w:rPr>
              <w:t>Certification of Principal Financial Officer Pursuant to 18 U.S.C. Section</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6"/>
                <w:szCs w:val="16"/>
                <w:color w:val="0000FF"/>
              </w:rPr>
              <w:t>1350, as Adopted Pursuant to Section 906 of the Sarbanes-Oxley Act of</w:t>
            </w:r>
          </w:p>
        </w:tc>
        <w:tc>
          <w:tcPr>
            <w:tcW w:w="280" w:type="dxa"/>
            <w:vAlign w:val="bottom"/>
            <w:gridSpan w:val="9"/>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9"/>
              </w:rPr>
              <w:t>2002.</w:t>
            </w:r>
          </w:p>
        </w:tc>
        <w:tc>
          <w:tcPr>
            <w:tcW w:w="20" w:type="dxa"/>
            <w:vAlign w:val="bottom"/>
            <w:tcBorders>
              <w:top w:val="single" w:sz="8" w:color="0000FF"/>
              <w:bottom w:val="single" w:sz="8" w:color="0000EE"/>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center"/>
              <w:ind w:left="99"/>
              <w:spacing w:after="0"/>
              <w:rPr>
                <w:sz w:val="20"/>
                <w:szCs w:val="20"/>
                <w:color w:val="auto"/>
              </w:rPr>
            </w:pPr>
            <w:r>
              <w:rPr>
                <w:rFonts w:ascii="Arial" w:cs="Arial" w:eastAsia="Arial" w:hAnsi="Arial"/>
                <w:sz w:val="16"/>
                <w:szCs w:val="16"/>
                <w:color w:val="auto"/>
              </w:rPr>
              <w:t>10-K</w:t>
            </w:r>
          </w:p>
        </w:tc>
        <w:tc>
          <w:tcPr>
            <w:tcW w:w="1420" w:type="dxa"/>
            <w:vAlign w:val="bottom"/>
            <w:vMerge w:val="restart"/>
          </w:tcPr>
          <w:p>
            <w:pPr>
              <w:jc w:val="right"/>
              <w:ind w:right="339"/>
              <w:spacing w:after="0"/>
              <w:rPr>
                <w:sz w:val="20"/>
                <w:szCs w:val="20"/>
                <w:color w:val="auto"/>
              </w:rPr>
            </w:pPr>
            <w:r>
              <w:rPr>
                <w:rFonts w:ascii="Arial" w:cs="Arial" w:eastAsia="Arial" w:hAnsi="Arial"/>
                <w:sz w:val="16"/>
                <w:szCs w:val="16"/>
                <w:color w:val="auto"/>
              </w:rPr>
              <w:t>001-38943</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97</w:t>
            </w:r>
          </w:p>
        </w:tc>
        <w:tc>
          <w:tcPr>
            <w:tcW w:w="1040" w:type="dxa"/>
            <w:vAlign w:val="bottom"/>
            <w:vMerge w:val="restart"/>
          </w:tcPr>
          <w:p>
            <w:pPr>
              <w:jc w:val="center"/>
              <w:ind w:left="239"/>
              <w:spacing w:after="0"/>
              <w:rPr>
                <w:sz w:val="20"/>
                <w:szCs w:val="20"/>
                <w:color w:val="auto"/>
              </w:rPr>
            </w:pPr>
            <w:r>
              <w:rPr>
                <w:rFonts w:ascii="Arial" w:cs="Arial" w:eastAsia="Arial" w:hAnsi="Arial"/>
                <w:sz w:val="16"/>
                <w:szCs w:val="16"/>
                <w:color w:val="auto"/>
              </w:rPr>
              <w:t>2/28/2024</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460" w:type="dxa"/>
            <w:vAlign w:val="bottom"/>
            <w:gridSpan w:val="31"/>
          </w:tcPr>
          <w:p>
            <w:pPr>
              <w:spacing w:after="0" w:line="169" w:lineRule="exact"/>
              <w:rPr>
                <w:rFonts w:ascii="Arial" w:cs="Arial" w:eastAsia="Arial" w:hAnsi="Arial"/>
                <w:sz w:val="16"/>
                <w:szCs w:val="16"/>
                <w:color w:val="0000FF"/>
              </w:rPr>
            </w:pPr>
            <w:hyperlink r:id="rId368">
              <w:r>
                <w:rPr>
                  <w:rFonts w:ascii="Arial" w:cs="Arial" w:eastAsia="Arial" w:hAnsi="Arial"/>
                  <w:sz w:val="16"/>
                  <w:szCs w:val="16"/>
                  <w:color w:val="0000FF"/>
                </w:rPr>
                <w:t>Incentive Compensation Recoupment Policy.</w:t>
              </w:r>
            </w:hyperlink>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20"/>
              <w:spacing w:after="0" w:line="182" w:lineRule="exact"/>
              <w:rPr>
                <w:sz w:val="20"/>
                <w:szCs w:val="20"/>
                <w:color w:val="auto"/>
              </w:rPr>
            </w:pPr>
            <w:r>
              <w:rPr>
                <w:rFonts w:ascii="Arial" w:cs="Arial" w:eastAsia="Arial" w:hAnsi="Arial"/>
                <w:sz w:val="16"/>
                <w:szCs w:val="16"/>
                <w:color w:val="auto"/>
              </w:rPr>
              <w:t>101*</w:t>
            </w:r>
          </w:p>
        </w:tc>
        <w:tc>
          <w:tcPr>
            <w:tcW w:w="20" w:type="dxa"/>
            <w:vAlign w:val="bottom"/>
          </w:tcPr>
          <w:p>
            <w:pPr>
              <w:spacing w:after="0"/>
              <w:rPr>
                <w:sz w:val="15"/>
                <w:szCs w:val="15"/>
                <w:color w:val="auto"/>
              </w:rPr>
            </w:pPr>
          </w:p>
        </w:tc>
        <w:tc>
          <w:tcPr>
            <w:tcW w:w="324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6"/>
                <w:szCs w:val="16"/>
                <w:color w:val="auto"/>
                <w:w w:val="96"/>
              </w:rPr>
              <w:t>Inline XBRL Document Set for the consolidated</w:t>
            </w:r>
          </w:p>
        </w:tc>
        <w:tc>
          <w:tcPr>
            <w:tcW w:w="2220" w:type="dxa"/>
            <w:vAlign w:val="bottom"/>
            <w:gridSpan w:val="22"/>
          </w:tcPr>
          <w:p>
            <w:pPr>
              <w:jc w:val="center"/>
              <w:ind w:right="80"/>
              <w:spacing w:after="0" w:line="182" w:lineRule="exact"/>
              <w:rPr>
                <w:sz w:val="20"/>
                <w:szCs w:val="20"/>
                <w:color w:val="auto"/>
              </w:rPr>
            </w:pPr>
            <w:r>
              <w:rPr>
                <w:rFonts w:ascii="Arial" w:cs="Arial" w:eastAsia="Arial" w:hAnsi="Arial"/>
                <w:sz w:val="16"/>
                <w:szCs w:val="16"/>
                <w:color w:val="auto"/>
              </w:rPr>
              <w:t>financial statements and</w:t>
            </w: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31"/>
          </w:tcPr>
          <w:p>
            <w:pPr>
              <w:spacing w:after="0"/>
              <w:rPr>
                <w:sz w:val="20"/>
                <w:szCs w:val="20"/>
                <w:color w:val="auto"/>
              </w:rPr>
            </w:pPr>
            <w:r>
              <w:rPr>
                <w:rFonts w:ascii="Arial" w:cs="Arial" w:eastAsia="Arial" w:hAnsi="Arial"/>
                <w:sz w:val="16"/>
                <w:szCs w:val="16"/>
                <w:color w:val="auto"/>
              </w:rPr>
              <w:t>accompanying notes in Part II, Item 8, “Financial Statements and</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gridSpan w:val="31"/>
          </w:tcPr>
          <w:p>
            <w:pPr>
              <w:spacing w:after="0"/>
              <w:rPr>
                <w:sz w:val="20"/>
                <w:szCs w:val="20"/>
                <w:color w:val="auto"/>
              </w:rPr>
            </w:pPr>
            <w:r>
              <w:rPr>
                <w:rFonts w:ascii="Arial" w:cs="Arial" w:eastAsia="Arial" w:hAnsi="Arial"/>
                <w:sz w:val="16"/>
                <w:szCs w:val="16"/>
                <w:color w:val="auto"/>
              </w:rPr>
              <w:t>Supplementary Data” of this Annual Report on Form 10-K.</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6"/>
                <w:szCs w:val="16"/>
                <w:color w:val="auto"/>
              </w:rPr>
            </w:pPr>
          </w:p>
        </w:tc>
        <w:tc>
          <w:tcPr>
            <w:tcW w:w="5460" w:type="dxa"/>
            <w:vAlign w:val="bottom"/>
            <w:gridSpan w:val="31"/>
          </w:tcPr>
          <w:p>
            <w:pPr>
              <w:spacing w:after="0"/>
              <w:rPr>
                <w:sz w:val="20"/>
                <w:szCs w:val="20"/>
                <w:color w:val="auto"/>
              </w:rPr>
            </w:pPr>
            <w:r>
              <w:rPr>
                <w:rFonts w:ascii="Arial" w:cs="Arial" w:eastAsia="Arial" w:hAnsi="Arial"/>
                <w:sz w:val="16"/>
                <w:szCs w:val="16"/>
                <w:color w:val="auto"/>
              </w:rPr>
              <w:t>Inline XBRL for the cover page of this Annual Report on Form 10-K,</w:t>
            </w:r>
          </w:p>
        </w:tc>
        <w:tc>
          <w:tcPr>
            <w:tcW w:w="1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31"/>
          </w:tcPr>
          <w:p>
            <w:pPr>
              <w:spacing w:after="0"/>
              <w:rPr>
                <w:sz w:val="20"/>
                <w:szCs w:val="20"/>
                <w:color w:val="auto"/>
              </w:rPr>
            </w:pPr>
            <w:r>
              <w:rPr>
                <w:rFonts w:ascii="Arial" w:cs="Arial" w:eastAsia="Arial" w:hAnsi="Arial"/>
                <w:sz w:val="16"/>
                <w:szCs w:val="16"/>
                <w:color w:val="auto"/>
              </w:rPr>
              <w:t>included in the Exhibit 101 Inline XBRL Document Set.</w:t>
            </w: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8770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48" w:lineRule="exact"/>
        <w:rPr>
          <w:sz w:val="20"/>
          <w:szCs w:val="20"/>
          <w:color w:val="auto"/>
        </w:rPr>
      </w:pPr>
    </w:p>
    <w:p>
      <w:pPr>
        <w:ind w:right="6420" w:firstLine="8"/>
        <w:spacing w:after="0" w:line="292"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 Filed herewith.</w:t>
      </w:r>
    </w:p>
    <w:p>
      <w:pPr>
        <w:ind w:left="520" w:hanging="509"/>
        <w:spacing w:after="0" w:line="257" w:lineRule="auto"/>
        <w:rPr>
          <w:rFonts w:ascii="Arial" w:cs="Arial" w:eastAsia="Arial" w:hAnsi="Arial"/>
          <w:sz w:val="14"/>
          <w:szCs w:val="14"/>
          <w:color w:val="auto"/>
        </w:rPr>
      </w:pPr>
      <w:r>
        <w:rPr>
          <w:rFonts w:ascii="Arial" w:cs="Arial" w:eastAsia="Arial" w:hAnsi="Arial"/>
          <w:sz w:val="14"/>
          <w:szCs w:val="14"/>
          <w:color w:val="auto"/>
        </w:rPr>
        <w:t>† 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0" w:lineRule="exact"/>
        <w:rPr>
          <w:sz w:val="20"/>
          <w:szCs w:val="20"/>
          <w:color w:val="auto"/>
        </w:rPr>
      </w:pPr>
    </w:p>
    <w:p>
      <w:pPr>
        <w:ind w:left="520" w:right="20" w:hanging="512"/>
        <w:spacing w:after="0" w:line="271" w:lineRule="auto"/>
        <w:tabs>
          <w:tab w:leader="none" w:pos="331"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1" w:lineRule="exact"/>
        <w:rPr>
          <w:sz w:val="20"/>
          <w:szCs w:val="20"/>
          <w:color w:val="auto"/>
        </w:rPr>
      </w:pPr>
    </w:p>
    <w:p>
      <w:pPr>
        <w:ind w:left="520" w:hanging="512"/>
        <w:spacing w:after="0" w:line="263" w:lineRule="auto"/>
        <w:tabs>
          <w:tab w:leader="none" w:pos="331"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because such schedules and exhibits do not contain information which is material to an investment or voting decision or which is not otherwise disclosed in the filed agreements. The Company will furnish the omitted schedules and exhibits to the SEC upon request by the SEC.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03"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8"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0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720725" cy="8255"/>
                    </a:xfrm>
                    <a:prstGeom prst="rect">
                      <a:avLst/>
                    </a:prstGeom>
                    <a:noFill/>
                  </pic:spPr>
                </pic:pic>
              </a:graphicData>
            </a:graphic>
          </wp:anchor>
        </w:drawing>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jc w:val="both"/>
        <w:ind w:right="20" w:firstLine="749"/>
        <w:spacing w:after="0" w:line="29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13"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Personalis, Inc.</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12065</wp:posOffset>
            </wp:positionV>
            <wp:extent cx="31800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Aaron Tachibana</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 OF ATTORNEY</w:t>
      </w:r>
    </w:p>
    <w:p>
      <w:pPr>
        <w:spacing w:after="0" w:line="22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Christopher Hall and Aaron Tachibana,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dates indicated:</w:t>
      </w:r>
    </w:p>
    <w:p>
      <w:pPr>
        <w:sectPr>
          <w:pgSz w:w="11900" w:h="16838" w:orient="portrait"/>
          <w:cols w:equalWidth="0" w:num="1">
            <w:col w:w="11240"/>
          </w:cols>
          <w:pgMar w:left="320" w:top="778" w:right="339" w:bottom="1440" w:gutter="0" w:footer="0" w:header="0"/>
        </w:sectPr>
      </w:pPr>
    </w:p>
    <w:p>
      <w:pPr>
        <w:spacing w:after="0" w:line="178"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Christopher Hall</w:t>
      </w:r>
    </w:p>
    <w:p>
      <w:pPr>
        <w:spacing w:after="0" w:line="18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Aaron Tachibana</w:t>
      </w:r>
    </w:p>
    <w:p>
      <w:pPr>
        <w:spacing w:after="0" w:line="18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Karin Eastham</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 Olivia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Olivia K. Bloom</w:t>
      </w:r>
    </w:p>
    <w:p>
      <w:pPr>
        <w:spacing w:after="0" w:line="18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A. Blaine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A. Blaine Bowman</w:t>
      </w:r>
    </w:p>
    <w:p>
      <w:pPr>
        <w:spacing w:after="0" w:line="18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Woodrow A. Myers,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Woodrow A. Myers, Jr., M.D.</w:t>
      </w:r>
    </w:p>
    <w:p>
      <w:pPr>
        <w:spacing w:after="0" w:line="182"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Lonnie Shoff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Lonnie Shoff</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 Kenneth Widder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3571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Kenneth J. Widder, M.D.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100" w:type="dxa"/>
            <w:vAlign w:val="bottom"/>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73"/>
        </w:trPr>
        <w:tc>
          <w:tcPr>
            <w:tcW w:w="4880" w:type="dxa"/>
            <w:vAlign w:val="bottom"/>
          </w:tcPr>
          <w:p>
            <w:pPr>
              <w:jc w:val="center"/>
              <w:spacing w:after="0"/>
              <w:rPr>
                <w:sz w:val="20"/>
                <w:szCs w:val="20"/>
                <w:color w:val="auto"/>
              </w:rPr>
            </w:pPr>
            <w:r>
              <w:rPr>
                <w:rFonts w:ascii="Arial" w:cs="Arial" w:eastAsia="Arial" w:hAnsi="Arial"/>
                <w:sz w:val="16"/>
                <w:szCs w:val="16"/>
                <w:color w:val="auto"/>
              </w:rPr>
              <w:t>President, 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213"/>
        </w:trPr>
        <w:tc>
          <w:tcPr>
            <w:tcW w:w="488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68"/>
        </w:trPr>
        <w:tc>
          <w:tcPr>
            <w:tcW w:w="4880" w:type="dxa"/>
            <w:vAlign w:val="bottom"/>
          </w:tcPr>
          <w:p>
            <w:pPr>
              <w:jc w:val="center"/>
              <w:spacing w:after="0"/>
              <w:rPr>
                <w:sz w:val="20"/>
                <w:szCs w:val="20"/>
                <w:color w:val="auto"/>
              </w:rPr>
            </w:pPr>
            <w:r>
              <w:rPr>
                <w:rFonts w:ascii="Arial" w:cs="Arial" w:eastAsia="Arial" w:hAnsi="Arial"/>
                <w:sz w:val="16"/>
                <w:szCs w:val="16"/>
                <w:color w:val="auto"/>
              </w:rPr>
              <w:t>Chief Financial Officer and Chief Operating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213"/>
        </w:trPr>
        <w:tc>
          <w:tcPr>
            <w:tcW w:w="48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9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580"/>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580"/>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580"/>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580"/>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r>
        <w:trPr>
          <w:trHeight w:val="581"/>
        </w:trPr>
        <w:tc>
          <w:tcPr>
            <w:tcW w:w="4880" w:type="dxa"/>
            <w:vAlign w:val="bottom"/>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rPr>
              <w:t>February 27, 2025</w:t>
            </w:r>
          </w:p>
        </w:tc>
      </w:tr>
    </w:tbl>
    <w:p>
      <w:pPr>
        <w:spacing w:after="0" w:line="370" w:lineRule="exact"/>
        <w:rPr>
          <w:sz w:val="20"/>
          <w:szCs w:val="20"/>
          <w:color w:val="auto"/>
        </w:rPr>
      </w:pPr>
    </w:p>
    <w:p>
      <w:pPr>
        <w:sectPr>
          <w:pgSz w:w="11900" w:h="16838" w:orient="portrait"/>
          <w:cols w:equalWidth="0" w:num="2">
            <w:col w:w="3120" w:space="720"/>
            <w:col w:w="7400"/>
          </w:cols>
          <w:pgMar w:left="320" w:top="778" w:right="339" w:bottom="1440" w:gutter="0" w:footer="0" w:header="0"/>
          <w:type w:val="continuous"/>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07" w:name="page108"/>
    <w:bookmarkEnd w:id="107"/>
    <w:p>
      <w:pPr>
        <w:ind w:left="10220"/>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In accordance with Item 601(b)(10)(iv) of Regulation S-K, information indicated with “[***]” has been redacted because it is both not material and is the type that the registrant treats as private or confidential.</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3 to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Commercialization and Reference Laboratory Agreement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Amendment No. 3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as of the date of the last signature below (“</w:t>
      </w:r>
      <w:r>
        <w:rPr>
          <w:rFonts w:ascii="Times New Roman" w:cs="Times New Roman" w:eastAsia="Times New Roman" w:hAnsi="Times New Roman"/>
          <w:sz w:val="20"/>
          <w:szCs w:val="20"/>
          <w:u w:val="single" w:color="auto"/>
          <w:color w:val="auto"/>
        </w:rPr>
        <w:t>Amendment Date</w:t>
      </w:r>
      <w:r>
        <w:rPr>
          <w:rFonts w:ascii="Times New Roman" w:cs="Times New Roman" w:eastAsia="Times New Roman" w:hAnsi="Times New Roman"/>
          <w:sz w:val="20"/>
          <w:szCs w:val="20"/>
          <w:color w:val="auto"/>
        </w:rPr>
        <w:t>”) between Personalis, Inc. (“</w:t>
      </w:r>
      <w:r>
        <w:rPr>
          <w:rFonts w:ascii="Times New Roman" w:cs="Times New Roman" w:eastAsia="Times New Roman" w:hAnsi="Times New Roman"/>
          <w:sz w:val="20"/>
          <w:szCs w:val="20"/>
          <w:u w:val="single" w:color="auto"/>
          <w:color w:val="auto"/>
        </w:rPr>
        <w:t>Personalis</w:t>
      </w:r>
      <w:r>
        <w:rPr>
          <w:rFonts w:ascii="Times New Roman" w:cs="Times New Roman" w:eastAsia="Times New Roman" w:hAnsi="Times New Roman"/>
          <w:sz w:val="20"/>
          <w:szCs w:val="20"/>
          <w:color w:val="auto"/>
        </w:rPr>
        <w:t>”) and Tempus AI, Inc. (“</w:t>
      </w:r>
      <w:r>
        <w:rPr>
          <w:rFonts w:ascii="Times New Roman" w:cs="Times New Roman" w:eastAsia="Times New Roman" w:hAnsi="Times New Roman"/>
          <w:sz w:val="20"/>
          <w:szCs w:val="20"/>
          <w:u w:val="single" w:color="auto"/>
          <w:color w:val="auto"/>
        </w:rPr>
        <w:t>Tempus</w:t>
      </w:r>
      <w:r>
        <w:rPr>
          <w:rFonts w:ascii="Times New Roman" w:cs="Times New Roman" w:eastAsia="Times New Roman" w:hAnsi="Times New Roman"/>
          <w:sz w:val="20"/>
          <w:szCs w:val="20"/>
          <w:color w:val="auto"/>
        </w:rPr>
        <w:t>”) and amends that certain Commercialization and Reference Laboratory Agreement with the effective date of November 25, 2023 (as previously amended,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Tempus and Personalis are each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together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Parties wish to modify the terms of the Agreement to expand the scope of Services provided by Personalis to include research services.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herein, the Parties, intending to be legally bound, hereby agree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203" w:lineRule="exact"/>
        <w:rPr>
          <w:sz w:val="20"/>
          <w:szCs w:val="20"/>
          <w:color w:val="auto"/>
        </w:rPr>
      </w:pPr>
    </w:p>
    <w:p>
      <w:pPr>
        <w:jc w:val="both"/>
        <w:ind w:right="20" w:firstLine="374"/>
        <w:spacing w:after="0" w:line="273" w:lineRule="auto"/>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u w:val="single" w:color="auto"/>
          <w:color w:val="auto"/>
        </w:rPr>
        <w:t>Research Services</w:t>
      </w:r>
      <w:r>
        <w:rPr>
          <w:rFonts w:ascii="Times New Roman" w:cs="Times New Roman" w:eastAsia="Times New Roman" w:hAnsi="Times New Roman"/>
          <w:sz w:val="20"/>
          <w:szCs w:val="20"/>
          <w:color w:val="auto"/>
        </w:rPr>
        <w:t>. The Agreement is amended add a new Exhibit H (Research Services), which is attached to this Amendment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Attachment 1.</w:t>
      </w:r>
    </w:p>
    <w:p>
      <w:pPr>
        <w:spacing w:after="0" w:line="165"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The definition of “Data” under Exhibit F (Mutual Security Obligations) is amended to include Personal Data (as defined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Exhibit H).</w:t>
      </w:r>
    </w:p>
    <w:p>
      <w:pPr>
        <w:spacing w:after="0" w:line="165"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u w:val="single" w:color="auto"/>
          <w:color w:val="auto"/>
        </w:rPr>
        <w:t>Incorporation</w:t>
      </w:r>
      <w:r>
        <w:rPr>
          <w:rFonts w:ascii="Times New Roman" w:cs="Times New Roman" w:eastAsia="Times New Roman" w:hAnsi="Times New Roman"/>
          <w:sz w:val="20"/>
          <w:szCs w:val="20"/>
          <w:color w:val="auto"/>
        </w:rPr>
        <w:t>. Except as otherwise provided in this Amendment, all terms and conditions previously set forth in the Agreement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remain in 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the Parties enter into this Amendment by signature of their authorized representatives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280" w:type="dxa"/>
            <w:vAlign w:val="bottom"/>
            <w:gridSpan w:val="7"/>
          </w:tcPr>
          <w:p>
            <w:pPr>
              <w:ind w:left="100"/>
              <w:spacing w:after="0"/>
              <w:rPr>
                <w:sz w:val="20"/>
                <w:szCs w:val="20"/>
                <w:color w:val="auto"/>
              </w:rPr>
            </w:pPr>
            <w:r>
              <w:rPr>
                <w:rFonts w:ascii="Times New Roman" w:cs="Times New Roman" w:eastAsia="Times New Roman" w:hAnsi="Times New Roman"/>
                <w:sz w:val="20"/>
                <w:szCs w:val="20"/>
                <w:b w:val="1"/>
                <w:bCs w:val="1"/>
                <w:color w:val="auto"/>
              </w:rPr>
              <w:t>Personalis, Inc.</w:t>
            </w:r>
          </w:p>
        </w:tc>
        <w:tc>
          <w:tcPr>
            <w:tcW w:w="6960" w:type="dxa"/>
            <w:vAlign w:val="bottom"/>
            <w:gridSpan w:val="7"/>
          </w:tcPr>
          <w:p>
            <w:pPr>
              <w:ind w:left="1000"/>
              <w:spacing w:after="0"/>
              <w:rPr>
                <w:sz w:val="20"/>
                <w:szCs w:val="20"/>
                <w:color w:val="auto"/>
              </w:rPr>
            </w:pPr>
            <w:r>
              <w:rPr>
                <w:rFonts w:ascii="Times New Roman" w:cs="Times New Roman" w:eastAsia="Times New Roman" w:hAnsi="Times New Roman"/>
                <w:sz w:val="20"/>
                <w:szCs w:val="20"/>
                <w:b w:val="1"/>
                <w:bCs w:val="1"/>
                <w:color w:val="auto"/>
              </w:rPr>
              <w:t>Tempus AI, Inc.</w:t>
            </w:r>
          </w:p>
        </w:tc>
      </w:tr>
      <w:tr>
        <w:trPr>
          <w:trHeight w:val="413"/>
        </w:trPr>
        <w:tc>
          <w:tcPr>
            <w:tcW w:w="42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By: /s/ Stephen Moore</w:t>
            </w:r>
          </w:p>
        </w:tc>
        <w:tc>
          <w:tcPr>
            <w:tcW w:w="6960" w:type="dxa"/>
            <w:vAlign w:val="bottom"/>
            <w:gridSpan w:val="7"/>
          </w:tcPr>
          <w:p>
            <w:pPr>
              <w:ind w:left="1000"/>
              <w:spacing w:after="0"/>
              <w:rPr>
                <w:sz w:val="20"/>
                <w:szCs w:val="20"/>
                <w:color w:val="auto"/>
              </w:rPr>
            </w:pPr>
            <w:r>
              <w:rPr>
                <w:rFonts w:ascii="Times New Roman" w:cs="Times New Roman" w:eastAsia="Times New Roman" w:hAnsi="Times New Roman"/>
                <w:sz w:val="20"/>
                <w:szCs w:val="20"/>
                <w:color w:val="auto"/>
              </w:rPr>
              <w:t>By: /s/ Ryan Bartolucci</w:t>
            </w:r>
          </w:p>
        </w:tc>
      </w:tr>
      <w:tr>
        <w:trPr>
          <w:trHeight w:val="20"/>
        </w:trPr>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9"/>
        </w:trPr>
        <w:tc>
          <w:tcPr>
            <w:tcW w:w="42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Name: Stephen Moore</w:t>
            </w:r>
          </w:p>
        </w:tc>
        <w:tc>
          <w:tcPr>
            <w:tcW w:w="178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Name:</w:t>
            </w:r>
          </w:p>
        </w:tc>
        <w:tc>
          <w:tcPr>
            <w:tcW w:w="51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Ryan Bartolucci</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9"/>
        </w:trPr>
        <w:tc>
          <w:tcPr>
            <w:tcW w:w="42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Title: SVP, CLO &amp; Corporate Secretary</w:t>
            </w:r>
          </w:p>
        </w:tc>
        <w:tc>
          <w:tcPr>
            <w:tcW w:w="178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Title:</w:t>
            </w:r>
          </w:p>
        </w:tc>
        <w:tc>
          <w:tcPr>
            <w:tcW w:w="51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CAO</w:t>
            </w:r>
          </w:p>
        </w:tc>
      </w:tr>
      <w:tr>
        <w:trPr>
          <w:trHeight w:val="20"/>
        </w:trPr>
        <w:tc>
          <w:tcPr>
            <w:tcW w:w="5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32"/>
        </w:trPr>
        <w:tc>
          <w:tcPr>
            <w:tcW w:w="428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Date: 12/13/2024</w:t>
            </w:r>
          </w:p>
        </w:tc>
        <w:tc>
          <w:tcPr>
            <w:tcW w:w="1780" w:type="dxa"/>
            <w:vAlign w:val="bottom"/>
            <w:gridSpan w:val="2"/>
          </w:tcPr>
          <w:p>
            <w:pPr>
              <w:ind w:left="1000"/>
              <w:spacing w:after="0"/>
              <w:rPr>
                <w:sz w:val="20"/>
                <w:szCs w:val="20"/>
                <w:color w:val="auto"/>
              </w:rPr>
            </w:pPr>
            <w:r>
              <w:rPr>
                <w:rFonts w:ascii="Times New Roman" w:cs="Times New Roman" w:eastAsia="Times New Roman" w:hAnsi="Times New Roman"/>
                <w:sz w:val="20"/>
                <w:szCs w:val="20"/>
                <w:color w:val="auto"/>
              </w:rPr>
              <w:t>Date:</w:t>
            </w: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12/13/2024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54"/>
        </w:trPr>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-1216660</wp:posOffset>
            </wp:positionV>
            <wp:extent cx="311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Attachment 1 to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Research Services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Parties wish for Personalis to perform Services in support of Tempus’ or its pharmaceutical, biotech, and academic research institution customers’ (each a “</w:t>
      </w:r>
      <w:r>
        <w:rPr>
          <w:rFonts w:ascii="Times New Roman" w:cs="Times New Roman" w:eastAsia="Times New Roman" w:hAnsi="Times New Roman"/>
          <w:sz w:val="20"/>
          <w:szCs w:val="20"/>
          <w:u w:val="single" w:color="auto"/>
          <w:color w:val="auto"/>
        </w:rPr>
        <w:t>Tempus Customer</w:t>
      </w:r>
      <w:r>
        <w:rPr>
          <w:rFonts w:ascii="Times New Roman" w:cs="Times New Roman" w:eastAsia="Times New Roman" w:hAnsi="Times New Roman"/>
          <w:sz w:val="20"/>
          <w:szCs w:val="20"/>
          <w:color w:val="auto"/>
        </w:rPr>
        <w:t>”) research projects. There are no [***] on the Services performed under this Exhibit. Tempus Customers may be located, and Specimens and Personal Data may originate from, [***].</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jc w:val="both"/>
        <w:ind w:left="380" w:hanging="372"/>
        <w:spacing w:after="0" w:line="256" w:lineRule="auto"/>
        <w:tabs>
          <w:tab w:leader="none" w:pos="38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Research Services. </w:t>
      </w:r>
      <w:r>
        <w:rPr>
          <w:rFonts w:ascii="Times New Roman" w:cs="Times New Roman" w:eastAsia="Times New Roman" w:hAnsi="Times New Roman"/>
          <w:sz w:val="19"/>
          <w:szCs w:val="19"/>
          <w:color w:val="auto"/>
        </w:rPr>
        <w:t>Personalis will perform the Personalis Assay and/or such other mutually agreed upon Services in support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Tempus’ and Tempus Customers’ research projects as described in a mutually executed statement of work between Personalis and Tempus (each, as amended from time to time by the Parties, a “</w:t>
      </w:r>
      <w:r>
        <w:rPr>
          <w:rFonts w:ascii="Times New Roman" w:cs="Times New Roman" w:eastAsia="Times New Roman" w:hAnsi="Times New Roman"/>
          <w:sz w:val="19"/>
          <w:szCs w:val="19"/>
          <w:u w:val="single" w:color="auto"/>
          <w:color w:val="auto"/>
        </w:rPr>
        <w:t>SOW</w:t>
      </w:r>
      <w:r>
        <w:rPr>
          <w:rFonts w:ascii="Times New Roman" w:cs="Times New Roman" w:eastAsia="Times New Roman" w:hAnsi="Times New Roman"/>
          <w:sz w:val="19"/>
          <w:szCs w:val="19"/>
          <w:color w:val="auto"/>
        </w:rPr>
        <w:t>”). Each SOW will be in a form substantially similar to the template attached to this Exhibit as Appendix 1. For clarity, Services provided pursuant to this Exhibit H shall not be considered Services provided under Exhibit B (</w:t>
      </w:r>
      <w:r>
        <w:rPr>
          <w:rFonts w:ascii="Times New Roman" w:cs="Times New Roman" w:eastAsia="Times New Roman" w:hAnsi="Times New Roman"/>
          <w:sz w:val="19"/>
          <w:szCs w:val="19"/>
          <w:i w:val="1"/>
          <w:iCs w:val="1"/>
          <w:color w:val="auto"/>
        </w:rPr>
        <w:t>Reference Laboratory Services</w:t>
      </w:r>
      <w:r>
        <w:rPr>
          <w:rFonts w:ascii="Times New Roman" w:cs="Times New Roman" w:eastAsia="Times New Roman" w:hAnsi="Times New Roman"/>
          <w:sz w:val="19"/>
          <w:szCs w:val="19"/>
          <w:color w:val="auto"/>
        </w:rPr>
        <w:t>) to the Agreement, and the terms and conditions of Exhibit B (including, without limitation, with respect to requisition forms, results delivery, technical integration, reimbursement from third party payors, compensation for Tempus Services, turnaround time or QNS rates) shall not apply to Services provided pursuant to this Exhibit H except for (x) Section 1(a)(iii) (Representations, Warranties, and Covenants) (provided that subsections (a) and (h) of such Section shall apply only to the extent the particular Personalis Services as set forth in the applicable SOW necessitate that Personalis’ facilities be accredited by the CAP and compliant with the licensing and certification requirements of CLIA, and subsections (b), (c), (f), and (i) of such Section shall apply only to the extent the particular Personalis Services as set forth in the applicable SOW call for the non-RUO version of the Personalis Assay defined in Section 4(f)(i) of the agreement), and (y) Attachment 1 to Exhibit B (</w:t>
      </w:r>
      <w:r>
        <w:rPr>
          <w:rFonts w:ascii="Times New Roman" w:cs="Times New Roman" w:eastAsia="Times New Roman" w:hAnsi="Times New Roman"/>
          <w:sz w:val="19"/>
          <w:szCs w:val="19"/>
          <w:i w:val="1"/>
          <w:iCs w:val="1"/>
          <w:color w:val="auto"/>
        </w:rPr>
        <w:t>Personalis Specimen Requirements</w:t>
      </w:r>
      <w:r>
        <w:rPr>
          <w:rFonts w:ascii="Times New Roman" w:cs="Times New Roman" w:eastAsia="Times New Roman" w:hAnsi="Times New Roman"/>
          <w:sz w:val="19"/>
          <w:szCs w:val="19"/>
          <w:color w:val="auto"/>
        </w:rPr>
        <w:t>).</w:t>
      </w:r>
    </w:p>
    <w:p>
      <w:pPr>
        <w:spacing w:after="0" w:line="187" w:lineRule="exact"/>
        <w:rPr>
          <w:rFonts w:ascii="Times New Roman" w:cs="Times New Roman" w:eastAsia="Times New Roman" w:hAnsi="Times New Roman"/>
          <w:sz w:val="19"/>
          <w:szCs w:val="19"/>
          <w:b w:val="1"/>
          <w:bCs w:val="1"/>
          <w:color w:val="auto"/>
        </w:rPr>
      </w:pPr>
    </w:p>
    <w:p>
      <w:pPr>
        <w:jc w:val="both"/>
        <w:ind w:left="760" w:hanging="378"/>
        <w:spacing w:after="0" w:line="227" w:lineRule="auto"/>
        <w:tabs>
          <w:tab w:leader="none" w:pos="7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Personalis Assay</w:t>
      </w:r>
      <w:r>
        <w:rPr>
          <w:rFonts w:ascii="Times New Roman" w:cs="Times New Roman" w:eastAsia="Times New Roman" w:hAnsi="Times New Roman"/>
          <w:sz w:val="20"/>
          <w:szCs w:val="20"/>
          <w:color w:val="auto"/>
        </w:rPr>
        <w:t>. For Services provided pursuant to this Exhibit H, the “Personalis Assay” shall mean the clinical version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Personalis’ NeXT Personal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Dx assay performed in a CAP/CLIA laboratory environment in Personalis’ facilities unless the applicable SOW specifies the Personalis Assay is the research use only (RUO) version of Personalis’ NeXT Personal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assay performed in a RUO laboratory environment in Personalis’ facilities.</w:t>
      </w:r>
    </w:p>
    <w:p>
      <w:pPr>
        <w:spacing w:after="0" w:line="200" w:lineRule="exact"/>
        <w:rPr>
          <w:rFonts w:ascii="Times New Roman" w:cs="Times New Roman" w:eastAsia="Times New Roman" w:hAnsi="Times New Roman"/>
          <w:sz w:val="20"/>
          <w:szCs w:val="20"/>
          <w:color w:val="auto"/>
        </w:rPr>
      </w:pPr>
    </w:p>
    <w:p>
      <w:pPr>
        <w:jc w:val="both"/>
        <w:ind w:left="760" w:hanging="378"/>
        <w:spacing w:after="0" w:line="244" w:lineRule="auto"/>
        <w:tabs>
          <w:tab w:leader="none" w:pos="76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Standards</w:t>
      </w:r>
      <w:r>
        <w:rPr>
          <w:rFonts w:ascii="Times New Roman" w:cs="Times New Roman" w:eastAsia="Times New Roman" w:hAnsi="Times New Roman"/>
          <w:sz w:val="20"/>
          <w:szCs w:val="20"/>
          <w:color w:val="auto"/>
        </w:rPr>
        <w:t>. Personalis will perform the Services in (i) a professional, workmanlike manner in accordance with (x)</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accepted industry best practices using personnel appropriately skilled and trained in the art of the Services described in this Exhibit H, and, as necessary, holding all required credentials to perform the Services, (y) applicable federal, state, and local laws and regulations, and (z) Tempus’ or Tempus Customer’s written instructions (provided that such instructions are consistent with the foregoing (x) and (y), the accreditation, licensing and certification requirements described in (ii) below and the applicable SOW, and provided further that such instructions do not expand the scope of the Personalis Services beyond what is set forth in the applicable SOW), and (ii) facilities that, unless set forth otherwise in the applicable SOW, are accredited by the CAP and compliant with the licensing and certification requirements of CLIA.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ind w:left="752" w:hanging="378"/>
        <w:spacing w:after="0" w:line="245" w:lineRule="auto"/>
        <w:tabs>
          <w:tab w:leader="none" w:pos="7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Fees; Discount for Research Services</w:t>
      </w:r>
      <w:r>
        <w:rPr>
          <w:rFonts w:ascii="Times New Roman" w:cs="Times New Roman" w:eastAsia="Times New Roman" w:hAnsi="Times New Roman"/>
          <w:sz w:val="20"/>
          <w:szCs w:val="20"/>
          <w:color w:val="auto"/>
        </w:rPr>
        <w:t>. Tempus agrees to pay Personalis for all Services provided by Personalis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Exhibit H as set forth in each applicable SOW and, unless otherwise set forth in the applicable SOW, in accordance with Section 2(a) (</w:t>
      </w:r>
      <w:r>
        <w:rPr>
          <w:rFonts w:ascii="Times New Roman" w:cs="Times New Roman" w:eastAsia="Times New Roman" w:hAnsi="Times New Roman"/>
          <w:sz w:val="20"/>
          <w:szCs w:val="20"/>
          <w:i w:val="1"/>
          <w:iCs w:val="1"/>
          <w:color w:val="auto"/>
        </w:rPr>
        <w:t>Fees and Invoicing</w:t>
      </w:r>
      <w:r>
        <w:rPr>
          <w:rFonts w:ascii="Times New Roman" w:cs="Times New Roman" w:eastAsia="Times New Roman" w:hAnsi="Times New Roman"/>
          <w:sz w:val="20"/>
          <w:szCs w:val="20"/>
          <w:color w:val="auto"/>
        </w:rPr>
        <w:t>) of the Agreement. Personalis will provide a [***] for Services provided by Personalis pursuant to this Exhibit H. For clarity, without limitation to Section 1 above, and except as otherwise set forth in the applicable SOW, Section 4 (</w:t>
      </w:r>
      <w:r>
        <w:rPr>
          <w:rFonts w:ascii="Times New Roman" w:cs="Times New Roman" w:eastAsia="Times New Roman" w:hAnsi="Times New Roman"/>
          <w:sz w:val="20"/>
          <w:szCs w:val="20"/>
          <w:i w:val="1"/>
          <w:iCs w:val="1"/>
          <w:color w:val="auto"/>
        </w:rPr>
        <w:t>Compensation for Tempus Services</w:t>
      </w:r>
      <w:r>
        <w:rPr>
          <w:rFonts w:ascii="Times New Roman" w:cs="Times New Roman" w:eastAsia="Times New Roman" w:hAnsi="Times New Roman"/>
          <w:sz w:val="20"/>
          <w:szCs w:val="20"/>
          <w:color w:val="auto"/>
        </w:rPr>
        <w:t>) of Exhibit B to the Agreement shall not apply to any Services provided pursuant to this Exhibit H, and Tempus will not be entitled to any compensation from Personalis for its Services or other activities performed by it under any SOW.</w:t>
      </w:r>
    </w:p>
    <w:p>
      <w:pPr>
        <w:spacing w:after="0" w:line="192" w:lineRule="exact"/>
        <w:rPr>
          <w:rFonts w:ascii="Times New Roman" w:cs="Times New Roman" w:eastAsia="Times New Roman" w:hAnsi="Times New Roman"/>
          <w:sz w:val="20"/>
          <w:szCs w:val="20"/>
          <w:color w:val="auto"/>
        </w:rPr>
      </w:pPr>
    </w:p>
    <w:p>
      <w:pPr>
        <w:jc w:val="both"/>
        <w:ind w:left="752" w:hanging="378"/>
        <w:spacing w:after="0" w:line="250" w:lineRule="auto"/>
        <w:tabs>
          <w:tab w:leader="none" w:pos="7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Specimens</w:t>
      </w:r>
      <w:r>
        <w:rPr>
          <w:rFonts w:ascii="Times New Roman" w:cs="Times New Roman" w:eastAsia="Times New Roman" w:hAnsi="Times New Roman"/>
          <w:sz w:val="20"/>
          <w:szCs w:val="20"/>
          <w:color w:val="auto"/>
        </w:rPr>
        <w:t>. Tempus will coordinate Specimen (including manifest or requisition form) shipment and delivery to Personalis.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Personalis will use the Specimens solely to provide the Services and will not make the Specimens available to third parties without Tempus’ prior written consent. Except as otherwise set forth in the applicable SOW, Specimens may be destroyed only with Tempus’ prior written consent.</w:t>
      </w:r>
    </w:p>
    <w:p>
      <w:pPr>
        <w:spacing w:after="0" w:line="189" w:lineRule="exact"/>
        <w:rPr>
          <w:rFonts w:ascii="Times New Roman" w:cs="Times New Roman" w:eastAsia="Times New Roman" w:hAnsi="Times New Roman"/>
          <w:sz w:val="20"/>
          <w:szCs w:val="20"/>
          <w:color w:val="auto"/>
        </w:rPr>
      </w:pPr>
    </w:p>
    <w:p>
      <w:pPr>
        <w:jc w:val="both"/>
        <w:ind w:left="752" w:hanging="378"/>
        <w:spacing w:after="0" w:line="250" w:lineRule="auto"/>
        <w:tabs>
          <w:tab w:leader="none" w:pos="7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Project Management</w:t>
      </w:r>
      <w:r>
        <w:rPr>
          <w:rFonts w:ascii="Times New Roman" w:cs="Times New Roman" w:eastAsia="Times New Roman" w:hAnsi="Times New Roman"/>
          <w:sz w:val="20"/>
          <w:szCs w:val="20"/>
          <w:color w:val="auto"/>
        </w:rPr>
        <w:t>. Personalis will be available to troubleshoot and promptly resolve any issues or questions arising under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SOW or related to the Services. If any issues, errors, or unforeseen events occur that may affect the quality, integrity, cost, or timelines of the Services, Personalis will promptly notify Tempus without undue delay and cooperate in good faith with Tempus or applicable Tempus Customer in remediating the situation.</w:t>
      </w:r>
    </w:p>
    <w:p>
      <w:pPr>
        <w:spacing w:after="0" w:line="189" w:lineRule="exact"/>
        <w:rPr>
          <w:rFonts w:ascii="Times New Roman" w:cs="Times New Roman" w:eastAsia="Times New Roman" w:hAnsi="Times New Roman"/>
          <w:sz w:val="20"/>
          <w:szCs w:val="20"/>
          <w:color w:val="auto"/>
        </w:rPr>
      </w:pPr>
    </w:p>
    <w:p>
      <w:pPr>
        <w:jc w:val="both"/>
        <w:ind w:left="752" w:hanging="378"/>
        <w:spacing w:after="0" w:line="250" w:lineRule="auto"/>
        <w:tabs>
          <w:tab w:leader="none" w:pos="7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Deliverables</w:t>
      </w:r>
      <w:r>
        <w:rPr>
          <w:rFonts w:ascii="Times New Roman" w:cs="Times New Roman" w:eastAsia="Times New Roman" w:hAnsi="Times New Roman"/>
          <w:sz w:val="20"/>
          <w:szCs w:val="20"/>
          <w:color w:val="auto"/>
        </w:rPr>
        <w:t>. Personalis will provide Deliverables (defined below) as set forth in the applicable SOW. Personalis will cooperate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reasonable requests by Tempus or a Tempus Customer to document the technical aspects of Deliverable transmission (sometimes referred to as data transfer specifications or data transfer agreement), including, upon request, documenting Deliverable transmission directly with the applicable Tempus Customer.</w:t>
      </w:r>
    </w:p>
    <w:p>
      <w:pPr>
        <w:spacing w:after="0" w:line="193" w:lineRule="exact"/>
        <w:rPr>
          <w:rFonts w:ascii="Times New Roman" w:cs="Times New Roman" w:eastAsia="Times New Roman" w:hAnsi="Times New Roman"/>
          <w:sz w:val="20"/>
          <w:szCs w:val="20"/>
          <w:color w:val="auto"/>
        </w:rPr>
      </w:pPr>
    </w:p>
    <w:p>
      <w:pPr>
        <w:jc w:val="both"/>
        <w:ind w:left="752" w:hanging="378"/>
        <w:spacing w:after="0" w:line="254" w:lineRule="auto"/>
        <w:tabs>
          <w:tab w:leader="none" w:pos="7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Personalis acknowledges that additional or different terms or conditions may be necessary or required for a particular project (for example, due to Tempus Customer requirements). The terms and conditions of any fully executed SOW will supersede the body of the Agreement, including this Exhibit, to the extent necessary to address a direct conflict.</w:t>
      </w:r>
    </w:p>
    <w:p>
      <w:pPr>
        <w:spacing w:after="0" w:line="183" w:lineRule="exact"/>
        <w:rPr>
          <w:rFonts w:ascii="Times New Roman" w:cs="Times New Roman" w:eastAsia="Times New Roman" w:hAnsi="Times New Roman"/>
          <w:sz w:val="20"/>
          <w:szCs w:val="20"/>
          <w:color w:val="auto"/>
        </w:rPr>
      </w:pPr>
    </w:p>
    <w:p>
      <w:pPr>
        <w:ind w:left="372" w:hanging="372"/>
        <w:spacing w:after="0"/>
        <w:tabs>
          <w:tab w:leader="none" w:pos="372"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Tempus Customers.</w:t>
      </w:r>
    </w:p>
    <w:p>
      <w:pPr>
        <w:spacing w:after="0" w:line="25" w:lineRule="exact"/>
        <w:rPr>
          <w:rFonts w:ascii="Times New Roman" w:cs="Times New Roman" w:eastAsia="Times New Roman" w:hAnsi="Times New Roman"/>
          <w:sz w:val="20"/>
          <w:szCs w:val="20"/>
          <w:b w:val="1"/>
          <w:bCs w:val="1"/>
          <w:color w:val="auto"/>
        </w:rPr>
      </w:pPr>
    </w:p>
    <w:p>
      <w:pPr>
        <w:jc w:val="both"/>
        <w:ind w:left="752" w:hanging="378"/>
        <w:spacing w:after="0"/>
        <w:tabs>
          <w:tab w:leader="none" w:pos="75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Tempus may offer Personalis’ Services under this Exhibit to Tempus Customers bundled with Tempus’ products and services on a study-by-study basis provided that, in each case, such Tempus Customer has expressed a preference to contract for Personalis’ Services for such study only through Tempus and the Parties have mutually agreed that Tempus should offer Personalis’ Services under this Exhibit to such Tempus Customer for such study, and excluding any study for which Personalis previously marketed or sold performance of the Personalis Assay (each an “</w:t>
      </w:r>
      <w:r>
        <w:rPr>
          <w:rFonts w:ascii="Times New Roman" w:cs="Times New Roman" w:eastAsia="Times New Roman" w:hAnsi="Times New Roman"/>
          <w:sz w:val="20"/>
          <w:szCs w:val="20"/>
          <w:u w:val="single" w:color="auto"/>
          <w:color w:val="auto"/>
        </w:rPr>
        <w:t>Excluded Study</w:t>
      </w:r>
      <w:r>
        <w:rPr>
          <w:rFonts w:ascii="Times New Roman" w:cs="Times New Roman" w:eastAsia="Times New Roman" w:hAnsi="Times New Roman"/>
          <w:sz w:val="20"/>
          <w:szCs w:val="20"/>
          <w:color w:val="auto"/>
        </w:rPr>
        <w:t>”). Personalis will provide Tempus with a list of Excluded Studies on a quarterly basis and notify Tempus on an ad hoc basis throughout each quarter of new Excluded Studies. If a Tempus Customer sponsoring an Excluded Study wishes to contract for Personalis’ Services only through Tempus, the Parties will work in good faith to find a mutually acceptable solution.</w:t>
      </w:r>
    </w:p>
    <w:p>
      <w:pPr>
        <w:spacing w:after="0" w:line="203" w:lineRule="exact"/>
        <w:rPr>
          <w:rFonts w:ascii="Times New Roman" w:cs="Times New Roman" w:eastAsia="Times New Roman" w:hAnsi="Times New Roman"/>
          <w:sz w:val="20"/>
          <w:szCs w:val="20"/>
          <w:color w:val="auto"/>
        </w:rPr>
      </w:pPr>
    </w:p>
    <w:p>
      <w:pPr>
        <w:jc w:val="both"/>
        <w:ind w:left="752" w:hanging="378"/>
        <w:spacing w:after="0" w:line="246" w:lineRule="auto"/>
        <w:tabs>
          <w:tab w:leader="none" w:pos="75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Tempus will be responsible for the preparation and negotiation of statements of work with Tempus Customers. Upon request, Personalis will assist Tempus by providing a quote for the requested Services, any templates relevant to the Services, sample guidelines, and technical support. Tempus agrees not to charge Tempus Customers [***] for the Personalis Assay. Nothing in the Agreement (including this Exhibit) prohibits Tempus from charging Tempus Customers any other customary or standard fees, costs, or expenses, including but not limited to project management fees, or 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873760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10" w:name="page111"/>
    <w:bookmarkEnd w:id="110"/>
    <w:p>
      <w:pPr>
        <w:jc w:val="both"/>
        <w:ind w:left="752" w:right="20"/>
        <w:spacing w:after="0" w:line="254" w:lineRule="auto"/>
        <w:rPr>
          <w:sz w:val="20"/>
          <w:szCs w:val="20"/>
          <w:color w:val="auto"/>
        </w:rPr>
      </w:pPr>
      <w:r>
        <w:rPr>
          <w:rFonts w:ascii="Times New Roman" w:cs="Times New Roman" w:eastAsia="Times New Roman" w:hAnsi="Times New Roman"/>
          <w:sz w:val="20"/>
          <w:szCs w:val="20"/>
          <w:color w:val="auto"/>
        </w:rPr>
        <w:t>through costs. Where the Tempus Customer is an academic research institution requesting Personalis’ Services be provided [***], Tempus will direct such Tempus Customer to Personalis who will be responsible for evaluating such study and opportunity directly with the academic research institution and study investigator.</w:t>
      </w:r>
    </w:p>
    <w:p>
      <w:pPr>
        <w:spacing w:after="0" w:line="184" w:lineRule="exact"/>
        <w:rPr>
          <w:sz w:val="20"/>
          <w:szCs w:val="20"/>
          <w:color w:val="auto"/>
        </w:rPr>
      </w:pPr>
    </w:p>
    <w:p>
      <w:pPr>
        <w:jc w:val="both"/>
        <w:ind w:left="372" w:right="20" w:hanging="372"/>
        <w:spacing w:after="0" w:line="256" w:lineRule="auto"/>
        <w:tabs>
          <w:tab w:leader="none" w:pos="372"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Forecasting. </w:t>
      </w:r>
      <w:r>
        <w:rPr>
          <w:rFonts w:ascii="Times New Roman" w:cs="Times New Roman" w:eastAsia="Times New Roman" w:hAnsi="Times New Roman"/>
          <w:sz w:val="20"/>
          <w:szCs w:val="20"/>
          <w:color w:val="auto"/>
        </w:rPr>
        <w:t>On [***], Tempus will provide in good faith a rolling, non-binding [***] forecast of Tempus’ expected demand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under this Exhibit. The Parties will use reasonable efforts to ensure each SOW provides a forecast of the expected Services sufficient to enable Personalis to conduct capacity planning and manage its inventory.</w:t>
      </w:r>
    </w:p>
    <w:p>
      <w:pPr>
        <w:spacing w:after="0" w:line="182" w:lineRule="exact"/>
        <w:rPr>
          <w:rFonts w:ascii="Times New Roman" w:cs="Times New Roman" w:eastAsia="Times New Roman" w:hAnsi="Times New Roman"/>
          <w:sz w:val="20"/>
          <w:szCs w:val="20"/>
          <w:b w:val="1"/>
          <w:bCs w:val="1"/>
          <w:color w:val="auto"/>
        </w:rPr>
      </w:pPr>
    </w:p>
    <w:p>
      <w:pPr>
        <w:jc w:val="both"/>
        <w:ind w:left="372" w:hanging="372"/>
        <w:spacing w:after="0" w:line="242" w:lineRule="auto"/>
        <w:tabs>
          <w:tab w:leader="none" w:pos="372"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Deliverables. </w:t>
      </w:r>
      <w:r>
        <w:rPr>
          <w:rFonts w:ascii="Times New Roman" w:cs="Times New Roman" w:eastAsia="Times New Roman" w:hAnsi="Times New Roman"/>
          <w:sz w:val="20"/>
          <w:szCs w:val="20"/>
          <w:color w:val="auto"/>
        </w:rPr>
        <w:t>Notwithstanding Section 4(e) of the Agreement, any results, data, information, documentation, reports, and/or other items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materials identified as a deliverable in the applicable SOW and any deliverables specified in Tempus’ agreement with an applicable Tempus Customer, with all associated intellectual property rights (subject, and without prejudice or limitation, to Section 4(f) of the Agreement, which shall control in the event of any conflict with the provisions of this Section H or any SOW), are (as between the Parties) “</w:t>
      </w:r>
      <w:r>
        <w:rPr>
          <w:rFonts w:ascii="Times New Roman" w:cs="Times New Roman" w:eastAsia="Times New Roman" w:hAnsi="Times New Roman"/>
          <w:sz w:val="20"/>
          <w:szCs w:val="20"/>
          <w:u w:val="single" w:color="auto"/>
          <w:color w:val="auto"/>
        </w:rPr>
        <w:t>Deliverables</w:t>
      </w:r>
      <w:r>
        <w:rPr>
          <w:rFonts w:ascii="Times New Roman" w:cs="Times New Roman" w:eastAsia="Times New Roman" w:hAnsi="Times New Roman"/>
          <w:sz w:val="20"/>
          <w:szCs w:val="20"/>
          <w:color w:val="auto"/>
        </w:rPr>
        <w:t>” belonging to Tempus. For clarity, such “Deliverables” shall exclude (and Personalis shall own) any and all (i) Background Intellectual Property of Personalis (notwithstanding, and without regard to, the exclusion of “Deliverables” in the definition of “Background Intellectual Property” in Section 4(f) of the Agreement), (ii) replacements, improvements, updates, enhancements, derivative works, and other modifications to Personalis’ Background Intellectual Property and/or the Personalis Assay, and (iii) operational and quality metrics related to Personalis’ Services. Personalis will assign and does assign to Tempus all right, title and interest in and to all such Deliverables. If Tempus has rights to data generated from the Personalis Assay, Tempus will also share the Personalis Assay data rights with Personalis at no charge.</w:t>
      </w:r>
    </w:p>
    <w:p>
      <w:pPr>
        <w:spacing w:after="0" w:line="203" w:lineRule="exact"/>
        <w:rPr>
          <w:rFonts w:ascii="Times New Roman" w:cs="Times New Roman" w:eastAsia="Times New Roman" w:hAnsi="Times New Roman"/>
          <w:sz w:val="20"/>
          <w:szCs w:val="20"/>
          <w:b w:val="1"/>
          <w:bCs w:val="1"/>
          <w:color w:val="auto"/>
        </w:rPr>
      </w:pPr>
    </w:p>
    <w:p>
      <w:pPr>
        <w:jc w:val="both"/>
        <w:ind w:left="372" w:hanging="372"/>
        <w:spacing w:after="0" w:line="264" w:lineRule="auto"/>
        <w:tabs>
          <w:tab w:leader="none" w:pos="372"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Personal Data. </w:t>
      </w:r>
      <w:r>
        <w:rPr>
          <w:rFonts w:ascii="Times New Roman" w:cs="Times New Roman" w:eastAsia="Times New Roman" w:hAnsi="Times New Roman"/>
          <w:sz w:val="19"/>
          <w:szCs w:val="19"/>
          <w:color w:val="auto"/>
        </w:rPr>
        <w:t>Each Party agrees to comply with all applicable laws and regulations relating to the collection, storage, handling,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processing, protection, security, and transfer of non-public information capable of identifying a natural person provided to or obtained by Personalis on Tempus’ or a Tempus Customer’s behalf in the course of providing Services (“</w:t>
      </w:r>
      <w:r>
        <w:rPr>
          <w:rFonts w:ascii="Times New Roman" w:cs="Times New Roman" w:eastAsia="Times New Roman" w:hAnsi="Times New Roman"/>
          <w:sz w:val="19"/>
          <w:szCs w:val="19"/>
          <w:u w:val="single" w:color="auto"/>
          <w:color w:val="auto"/>
        </w:rPr>
        <w:t>Personal Data</w:t>
      </w:r>
      <w:r>
        <w:rPr>
          <w:rFonts w:ascii="Times New Roman" w:cs="Times New Roman" w:eastAsia="Times New Roman" w:hAnsi="Times New Roman"/>
          <w:sz w:val="19"/>
          <w:szCs w:val="19"/>
          <w:color w:val="auto"/>
        </w:rPr>
        <w:t>”). Personalis will use Personal Data only as necessary for the provision of Services. Upon request, Personalis will negotiate in good faith and enter into a Data Protection Agreement, Standard Contractual Clauses, or such other agreement as may be necessary to comply with applicable law.</w:t>
      </w:r>
    </w:p>
    <w:p>
      <w:pPr>
        <w:spacing w:after="0" w:line="175" w:lineRule="exact"/>
        <w:rPr>
          <w:rFonts w:ascii="Times New Roman" w:cs="Times New Roman" w:eastAsia="Times New Roman" w:hAnsi="Times New Roman"/>
          <w:sz w:val="19"/>
          <w:szCs w:val="19"/>
          <w:b w:val="1"/>
          <w:bCs w:val="1"/>
          <w:color w:val="auto"/>
        </w:rPr>
      </w:pPr>
    </w:p>
    <w:p>
      <w:pPr>
        <w:jc w:val="both"/>
        <w:ind w:left="372" w:hanging="372"/>
        <w:spacing w:after="0" w:line="256" w:lineRule="auto"/>
        <w:tabs>
          <w:tab w:leader="none" w:pos="372"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w:t>
      </w:r>
      <w:r>
        <w:rPr>
          <w:rFonts w:ascii="Times New Roman" w:cs="Times New Roman" w:eastAsia="Times New Roman" w:hAnsi="Times New Roman"/>
          <w:sz w:val="20"/>
          <w:szCs w:val="20"/>
          <w:color w:val="auto"/>
        </w:rPr>
        <w:t>Either Party may terminate a SOW if the other has committed a material breach that is not cured to the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satisfaction of the non-breaching Party within [***] of receipt of written notice from the non-breaching Party. Tempus may terminate a SOW by providing [***] written notice to Personalis.</w:t>
      </w:r>
    </w:p>
    <w:p>
      <w:pPr>
        <w:spacing w:after="0" w:line="182" w:lineRule="exact"/>
        <w:rPr>
          <w:rFonts w:ascii="Times New Roman" w:cs="Times New Roman" w:eastAsia="Times New Roman" w:hAnsi="Times New Roman"/>
          <w:sz w:val="20"/>
          <w:szCs w:val="20"/>
          <w:b w:val="1"/>
          <w:bCs w:val="1"/>
          <w:color w:val="auto"/>
        </w:rPr>
      </w:pPr>
    </w:p>
    <w:p>
      <w:pPr>
        <w:jc w:val="both"/>
        <w:ind w:left="372" w:hanging="372"/>
        <w:spacing w:after="0" w:line="256" w:lineRule="auto"/>
        <w:tabs>
          <w:tab w:leader="none" w:pos="37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 xml:space="preserve">Third Party Beneficiaries. </w:t>
      </w:r>
      <w:r>
        <w:rPr>
          <w:rFonts w:ascii="Times New Roman" w:cs="Times New Roman" w:eastAsia="Times New Roman" w:hAnsi="Times New Roman"/>
          <w:sz w:val="20"/>
          <w:szCs w:val="20"/>
          <w:color w:val="auto"/>
        </w:rPr>
        <w:t>Notwithstanding Section 9(d) of the Agreement, each Tempus Customer who is identified in a fully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SOW is an intended and express third-party beneficiary to the SOW and Agreement solely with regard to Services provided by Personalis under the applicable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865505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Appendix 1 to Exhibit 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Work Template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Work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Research Services - [Project Title]</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Statement of Work (“</w:t>
      </w:r>
      <w:r>
        <w:rPr>
          <w:rFonts w:ascii="Times New Roman" w:cs="Times New Roman" w:eastAsia="Times New Roman" w:hAnsi="Times New Roman"/>
          <w:sz w:val="20"/>
          <w:szCs w:val="20"/>
          <w:u w:val="single" w:color="auto"/>
          <w:color w:val="auto"/>
        </w:rPr>
        <w:t>SOW</w:t>
      </w:r>
      <w:r>
        <w:rPr>
          <w:rFonts w:ascii="Times New Roman" w:cs="Times New Roman" w:eastAsia="Times New Roman" w:hAnsi="Times New Roman"/>
          <w:sz w:val="20"/>
          <w:szCs w:val="20"/>
          <w:color w:val="auto"/>
        </w:rPr>
        <w:t>”) is effective as of the date of the last signature below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between Personalis, Inc. (“</w:t>
      </w:r>
      <w:r>
        <w:rPr>
          <w:rFonts w:ascii="Times New Roman" w:cs="Times New Roman" w:eastAsia="Times New Roman" w:hAnsi="Times New Roman"/>
          <w:sz w:val="20"/>
          <w:szCs w:val="20"/>
          <w:u w:val="single" w:color="auto"/>
          <w:color w:val="auto"/>
        </w:rPr>
        <w:t>Personalis</w:t>
      </w:r>
      <w:r>
        <w:rPr>
          <w:rFonts w:ascii="Times New Roman" w:cs="Times New Roman" w:eastAsia="Times New Roman" w:hAnsi="Times New Roman"/>
          <w:sz w:val="20"/>
          <w:szCs w:val="20"/>
          <w:color w:val="auto"/>
        </w:rPr>
        <w:t>”) and Tempus AI, Inc. (“</w:t>
      </w:r>
      <w:r>
        <w:rPr>
          <w:rFonts w:ascii="Times New Roman" w:cs="Times New Roman" w:eastAsia="Times New Roman" w:hAnsi="Times New Roman"/>
          <w:sz w:val="20"/>
          <w:szCs w:val="20"/>
          <w:u w:val="single" w:color="auto"/>
          <w:color w:val="auto"/>
        </w:rPr>
        <w:t>Tempus</w:t>
      </w:r>
      <w:r>
        <w:rPr>
          <w:rFonts w:ascii="Times New Roman" w:cs="Times New Roman" w:eastAsia="Times New Roman" w:hAnsi="Times New Roman"/>
          <w:sz w:val="20"/>
          <w:szCs w:val="20"/>
          <w:color w:val="auto"/>
        </w:rPr>
        <w:t>”). This SOW is incorporated as part of, and is governed by the terms and conditions of, that certain Commercialization and Reference Laboratory Agreement with the effective date of November 25, 2023 between Tempus and Personalis (as previously amended,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Any capitalized undefined terms used in this SOW will have the meaning set forth in the Agreement. In the event of a conflict between this SOW and the Agreement, this SOW will supersede solely to the extent necessary to resolve the conflict.</w:t>
      </w:r>
    </w:p>
    <w:p>
      <w:pPr>
        <w:spacing w:after="0" w:line="194"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Project Description.</w:t>
      </w:r>
    </w:p>
    <w:p>
      <w:pPr>
        <w:spacing w:after="0" w:line="25" w:lineRule="exact"/>
        <w:rPr>
          <w:rFonts w:ascii="Times New Roman" w:cs="Times New Roman" w:eastAsia="Times New Roman" w:hAnsi="Times New Roman"/>
          <w:sz w:val="20"/>
          <w:szCs w:val="20"/>
          <w:b w:val="1"/>
          <w:bCs w:val="1"/>
          <w:color w:val="auto"/>
        </w:rPr>
      </w:pPr>
    </w:p>
    <w:p>
      <w:pPr>
        <w:ind w:left="38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Tempus engages Personalis to provide the Services described in this SOW in support of Tempus’ study with protocol title [Study title] (“</w:t>
      </w:r>
      <w:r>
        <w:rPr>
          <w:rFonts w:ascii="Times New Roman" w:cs="Times New Roman" w:eastAsia="Times New Roman" w:hAnsi="Times New Roman"/>
          <w:sz w:val="20"/>
          <w:szCs w:val="20"/>
          <w:u w:val="single" w:color="auto"/>
          <w:color w:val="auto"/>
        </w:rPr>
        <w:t>Study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[Instruction: Delete if this is a subcontractor arrangement]</w:t>
      </w: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or</w:t>
      </w:r>
    </w:p>
    <w:p>
      <w:pPr>
        <w:jc w:val="both"/>
        <w:ind w:left="3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Tempus wishes to engage Personalis as a subcontractor to provide the Services described in this SOW in support of [Study title] (“</w:t>
      </w:r>
      <w:r>
        <w:rPr>
          <w:rFonts w:ascii="Times New Roman" w:cs="Times New Roman" w:eastAsia="Times New Roman" w:hAnsi="Times New Roman"/>
          <w:sz w:val="20"/>
          <w:szCs w:val="20"/>
          <w:u w:val="single" w:color="auto"/>
          <w:color w:val="auto"/>
        </w:rPr>
        <w:t>Study</w:t>
      </w:r>
      <w:r>
        <w:rPr>
          <w:rFonts w:ascii="Times New Roman" w:cs="Times New Roman" w:eastAsia="Times New Roman" w:hAnsi="Times New Roman"/>
          <w:sz w:val="20"/>
          <w:szCs w:val="20"/>
          <w:color w:val="auto"/>
        </w:rPr>
        <w:t>”) sponsored by Tempus’ customer, [Insert customer name] (the “</w:t>
      </w:r>
      <w:r>
        <w:rPr>
          <w:rFonts w:ascii="Times New Roman" w:cs="Times New Roman" w:eastAsia="Times New Roman" w:hAnsi="Times New Roman"/>
          <w:sz w:val="20"/>
          <w:szCs w:val="20"/>
          <w:u w:val="single" w:color="auto"/>
          <w:color w:val="auto"/>
        </w:rPr>
        <w:t>Tempus Customer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[Instruction: Delete if this is not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subcontractor arrangement]</w:t>
      </w:r>
    </w:p>
    <w:p>
      <w:pPr>
        <w:spacing w:after="0" w:line="196"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Services Description.</w:t>
      </w:r>
    </w:p>
    <w:p>
      <w:pPr>
        <w:spacing w:after="0" w:line="32" w:lineRule="exact"/>
        <w:rPr>
          <w:rFonts w:ascii="Times New Roman" w:cs="Times New Roman" w:eastAsia="Times New Roman" w:hAnsi="Times New Roman"/>
          <w:sz w:val="20"/>
          <w:szCs w:val="20"/>
          <w:b w:val="1"/>
          <w:bCs w:val="1"/>
          <w:color w:val="auto"/>
        </w:rPr>
      </w:pPr>
    </w:p>
    <w:p>
      <w:pPr>
        <w:ind w:left="380" w:right="20"/>
        <w:spacing w:after="0" w:line="23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Personalis Assay Version: [RUO version of NeXT Personal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assay in a RUO laboratory environment in Personalis’ facilities or clinical version of NeXT Personal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assay in CAP/CLIA Facilities]</w:t>
      </w:r>
    </w:p>
    <w:p>
      <w:pPr>
        <w:spacing w:after="0" w:line="111"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Personalis will provide the following Services:</w:t>
      </w:r>
    </w:p>
    <w:p>
      <w:pPr>
        <w:spacing w:after="0" w:line="229" w:lineRule="exact"/>
        <w:rPr>
          <w:rFonts w:ascii="Times New Roman" w:cs="Times New Roman" w:eastAsia="Times New Roman" w:hAnsi="Times New Roman"/>
          <w:sz w:val="20"/>
          <w:szCs w:val="20"/>
          <w:b w:val="1"/>
          <w:bCs w:val="1"/>
          <w:color w:val="auto"/>
        </w:rPr>
      </w:pPr>
    </w:p>
    <w:p>
      <w:pPr>
        <w:ind w:left="380" w:right="1900"/>
        <w:spacing w:after="0" w:line="47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[Insert description, including any ancillary services such as project management, and timelines/turnaround times] [Identify sample retention, return, destruction requirements]</w:t>
      </w:r>
    </w:p>
    <w:p>
      <w:pPr>
        <w:spacing w:after="0" w:line="1"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Deliverables.</w:t>
      </w:r>
    </w:p>
    <w:p>
      <w:pPr>
        <w:spacing w:after="0" w:line="25"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the Services performed under this SOW, Personalis will provide the following Deliverables:</w:t>
      </w:r>
    </w:p>
    <w:p>
      <w:pPr>
        <w:ind w:left="380" w:right="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[List deliverables</w:t>
      </w:r>
      <w:r>
        <w:rPr>
          <w:rFonts w:ascii="Times New Roman" w:cs="Times New Roman" w:eastAsia="Times New Roman" w:hAnsi="Times New Roman"/>
          <w:sz w:val="20"/>
          <w:szCs w:val="20"/>
          <w:i w:val="1"/>
          <w:iCs w:val="1"/>
          <w:color w:val="auto"/>
        </w:rPr>
        <w:t>. Note: Depending on the project, Personalis’ standard deliverables typically include a Test report, quality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 and data output (such as BAM/FASTQ/VCF file)</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b w:val="1"/>
          <w:bCs w:val="1"/>
          <w:color w:val="auto"/>
        </w:rPr>
      </w:pPr>
    </w:p>
    <w:p>
      <w:pPr>
        <w:ind w:left="3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Personalis will deliver Deliverables to [Identify recipient (Tempus/Tempus Customer), delivery timeline/turnaround time, and delivery method].</w:t>
      </w:r>
    </w:p>
    <w:p>
      <w:pPr>
        <w:spacing w:after="0" w:line="16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Pricing.</w:t>
      </w:r>
    </w:p>
    <w:p>
      <w:pPr>
        <w:spacing w:after="0" w:line="25"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Tempus will pay the amounts set forth below for the Services in accordance with the payment terms in the Agreement.</w:t>
      </w:r>
    </w:p>
    <w:p>
      <w:pPr>
        <w:spacing w:after="0" w:line="207"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[Insert]</w:t>
      </w:r>
    </w:p>
    <w:p>
      <w:pPr>
        <w:spacing w:after="0" w:line="21"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fees set forth above are reflective of [***] for the Personalis Assay.</w:t>
      </w:r>
    </w:p>
    <w:p>
      <w:pPr>
        <w:spacing w:after="0" w:line="203"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Terms and Conditions.</w:t>
      </w:r>
    </w:p>
    <w:p>
      <w:pPr>
        <w:spacing w:after="0" w:line="25" w:lineRule="exact"/>
        <w:rPr>
          <w:rFonts w:ascii="Times New Roman" w:cs="Times New Roman" w:eastAsia="Times New Roman" w:hAnsi="Times New Roman"/>
          <w:sz w:val="20"/>
          <w:szCs w:val="20"/>
          <w:b w:val="1"/>
          <w:bCs w:val="1"/>
          <w:color w:val="auto"/>
        </w:rPr>
      </w:pPr>
    </w:p>
    <w:p>
      <w:pPr>
        <w:ind w:left="3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Parties agree to the terms and conditions set forth in this Section, which are applicable only to this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[add any flow down obligations or additional terms and conditions applicable to the project, including any from the applicable Tempus customer (including if the Tempus customer contract grants them broader ownership rights than only the deliverables is listed in this SOW)]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SOW through their duly authorized representatives.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Personalis, Inc.</w:t>
            </w:r>
          </w:p>
        </w:tc>
        <w:tc>
          <w:tcPr>
            <w:tcW w:w="8760" w:type="dxa"/>
            <w:vAlign w:val="bottom"/>
            <w:gridSpan w:val="3"/>
          </w:tcPr>
          <w:p>
            <w:pPr>
              <w:ind w:left="2800"/>
              <w:spacing w:after="0"/>
              <w:rPr>
                <w:sz w:val="20"/>
                <w:szCs w:val="20"/>
                <w:color w:val="auto"/>
              </w:rPr>
            </w:pPr>
            <w:r>
              <w:rPr>
                <w:rFonts w:ascii="Times New Roman" w:cs="Times New Roman" w:eastAsia="Times New Roman" w:hAnsi="Times New Roman"/>
                <w:sz w:val="20"/>
                <w:szCs w:val="20"/>
                <w:b w:val="1"/>
                <w:bCs w:val="1"/>
                <w:color w:val="auto"/>
              </w:rPr>
              <w:t>Tempus AI, Inc.</w:t>
            </w:r>
          </w:p>
        </w:tc>
      </w:tr>
      <w:tr>
        <w:trPr>
          <w:trHeight w:val="45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8760" w:type="dxa"/>
            <w:vAlign w:val="bottom"/>
            <w:gridSpan w:val="3"/>
          </w:tcPr>
          <w:p>
            <w:pPr>
              <w:ind w:left="2800"/>
              <w:spacing w:after="0"/>
              <w:rPr>
                <w:sz w:val="20"/>
                <w:szCs w:val="20"/>
                <w:color w:val="auto"/>
              </w:rPr>
            </w:pPr>
            <w:r>
              <w:rPr>
                <w:rFonts w:ascii="Times New Roman" w:cs="Times New Roman" w:eastAsia="Times New Roman" w:hAnsi="Times New Roman"/>
                <w:sz w:val="20"/>
                <w:szCs w:val="20"/>
                <w:color w:val="auto"/>
              </w:rPr>
              <w:t>By:</w:t>
            </w:r>
          </w:p>
        </w:tc>
      </w:tr>
      <w:tr>
        <w:trPr>
          <w:trHeight w:val="459"/>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Name:</w:t>
            </w:r>
          </w:p>
        </w:tc>
        <w:tc>
          <w:tcPr>
            <w:tcW w:w="8760" w:type="dxa"/>
            <w:vAlign w:val="bottom"/>
            <w:gridSpan w:val="3"/>
          </w:tcPr>
          <w:p>
            <w:pPr>
              <w:ind w:left="2800"/>
              <w:spacing w:after="0"/>
              <w:rPr>
                <w:sz w:val="20"/>
                <w:szCs w:val="20"/>
                <w:color w:val="auto"/>
              </w:rPr>
            </w:pPr>
            <w:r>
              <w:rPr>
                <w:rFonts w:ascii="Times New Roman" w:cs="Times New Roman" w:eastAsia="Times New Roman" w:hAnsi="Times New Roman"/>
                <w:sz w:val="20"/>
                <w:szCs w:val="20"/>
                <w:color w:val="auto"/>
              </w:rPr>
              <w:t>Name:</w:t>
            </w:r>
          </w:p>
        </w:tc>
      </w:tr>
      <w:tr>
        <w:trPr>
          <w:trHeight w:val="413"/>
        </w:trPr>
        <w:tc>
          <w:tcPr>
            <w:tcW w:w="9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Title:</w:t>
            </w:r>
          </w:p>
        </w:tc>
        <w:tc>
          <w:tcPr>
            <w:tcW w:w="1580" w:type="dxa"/>
            <w:vAlign w:val="bottom"/>
            <w:tcBorders>
              <w:bottom w:val="single" w:sz="8" w:color="auto"/>
            </w:tcBorders>
          </w:tcPr>
          <w:p>
            <w:pPr>
              <w:spacing w:after="0"/>
              <w:rPr>
                <w:sz w:val="24"/>
                <w:szCs w:val="24"/>
                <w:color w:val="auto"/>
              </w:rPr>
            </w:pPr>
          </w:p>
        </w:tc>
        <w:tc>
          <w:tcPr>
            <w:tcW w:w="3580" w:type="dxa"/>
            <w:vAlign w:val="bottom"/>
          </w:tcPr>
          <w:p>
            <w:pPr>
              <w:ind w:left="2800"/>
              <w:spacing w:after="0"/>
              <w:rPr>
                <w:sz w:val="20"/>
                <w:szCs w:val="20"/>
                <w:color w:val="auto"/>
              </w:rPr>
            </w:pPr>
            <w:r>
              <w:rPr>
                <w:rFonts w:ascii="Times New Roman" w:cs="Times New Roman" w:eastAsia="Times New Roman" w:hAnsi="Times New Roman"/>
                <w:sz w:val="20"/>
                <w:szCs w:val="20"/>
                <w:color w:val="auto"/>
              </w:rPr>
              <w:t>Title:</w:t>
            </w:r>
          </w:p>
        </w:tc>
        <w:tc>
          <w:tcPr>
            <w:tcW w:w="1580" w:type="dxa"/>
            <w:vAlign w:val="bottom"/>
            <w:tcBorders>
              <w:bottom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486"/>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8760" w:type="dxa"/>
            <w:vAlign w:val="bottom"/>
            <w:gridSpan w:val="3"/>
          </w:tcPr>
          <w:p>
            <w:pPr>
              <w:ind w:left="2800"/>
              <w:spacing w:after="0"/>
              <w:rPr>
                <w:sz w:val="20"/>
                <w:szCs w:val="20"/>
                <w:color w:val="auto"/>
              </w:rPr>
            </w:pPr>
            <w:r>
              <w:rPr>
                <w:rFonts w:ascii="Times New Roman" w:cs="Times New Roman" w:eastAsia="Times New Roman" w:hAnsi="Times New Roman"/>
                <w:sz w:val="20"/>
                <w:szCs w:val="20"/>
                <w:color w:val="auto"/>
              </w:rPr>
              <w:t>Date:</w:t>
            </w:r>
          </w:p>
        </w:tc>
      </w:tr>
      <w:tr>
        <w:trPr>
          <w:trHeight w:val="1621"/>
        </w:trPr>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-1216660</wp:posOffset>
            </wp:positionV>
            <wp:extent cx="311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-1216660</wp:posOffset>
            </wp:positionV>
            <wp:extent cx="311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19.1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ersonalis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by the Audit Committee of the Board of Directors: May 23, 2019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Last Amended by the Board of Directors: August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hanging="432"/>
        <w:spacing w:after="0"/>
        <w:tabs>
          <w:tab w:leader="none" w:pos="4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ntroduction</w:t>
      </w:r>
    </w:p>
    <w:p>
      <w:pPr>
        <w:spacing w:after="0" w:line="204"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During the course of your relationship with Personalis, Inc. (together with its consolidated subsidiaries, “</w:t>
      </w:r>
      <w:r>
        <w:rPr>
          <w:rFonts w:ascii="Times New Roman" w:cs="Times New Roman" w:eastAsia="Times New Roman" w:hAnsi="Times New Roman"/>
          <w:sz w:val="22"/>
          <w:szCs w:val="22"/>
          <w:b w:val="1"/>
          <w:bCs w:val="1"/>
          <w:i w:val="1"/>
          <w:iCs w:val="1"/>
          <w:color w:val="auto"/>
        </w:rPr>
        <w:t>Personalis</w:t>
      </w:r>
      <w:r>
        <w:rPr>
          <w:rFonts w:ascii="Times New Roman" w:cs="Times New Roman" w:eastAsia="Times New Roman" w:hAnsi="Times New Roman"/>
          <w:sz w:val="22"/>
          <w:szCs w:val="22"/>
          <w:color w:val="auto"/>
        </w:rPr>
        <w:t>”), you may receive material information that is not yet publicly available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about Personalis or other publicly traded companies that Personalis has business relationships with. Material nonpublic information may give you, or someone you pass that information on to, a leg up over others when deciding whether to buy, sell or otherwise transact in Personalis’ securities or the securities of another publicly traded company. This policy sets forth guidelines with respect to transactions in Personalis securities by our employees, directors, and consultants who are advised that they are subject to this policy (“</w:t>
      </w:r>
      <w:r>
        <w:rPr>
          <w:rFonts w:ascii="Times New Roman" w:cs="Times New Roman" w:eastAsia="Times New Roman" w:hAnsi="Times New Roman"/>
          <w:sz w:val="22"/>
          <w:szCs w:val="22"/>
          <w:b w:val="1"/>
          <w:bCs w:val="1"/>
          <w:i w:val="1"/>
          <w:iCs w:val="1"/>
          <w:color w:val="auto"/>
        </w:rPr>
        <w:t>designated consultants</w:t>
      </w:r>
      <w:r>
        <w:rPr>
          <w:rFonts w:ascii="Times New Roman" w:cs="Times New Roman" w:eastAsia="Times New Roman" w:hAnsi="Times New Roman"/>
          <w:sz w:val="22"/>
          <w:szCs w:val="22"/>
          <w:color w:val="auto"/>
        </w:rPr>
        <w:t>”) and the other persons subject to this policy as described below.</w:t>
      </w:r>
    </w:p>
    <w:p>
      <w:pPr>
        <w:spacing w:after="0" w:line="178" w:lineRule="exact"/>
        <w:rPr>
          <w:sz w:val="20"/>
          <w:szCs w:val="20"/>
          <w:color w:val="auto"/>
        </w:rPr>
      </w:pPr>
    </w:p>
    <w:p>
      <w:pPr>
        <w:ind w:left="440" w:hanging="432"/>
        <w:spacing w:after="0"/>
        <w:tabs>
          <w:tab w:leader="none" w:pos="44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22"/>
          <w:szCs w:val="22"/>
          <w:color w:val="auto"/>
        </w:rPr>
        <w:t xml:space="preserve">It is the policy of Personalis that an employee, director or designated consultant of Personalis (or any other person subject to this policy) who is aware of material nonpublic information relating to Personalis </w:t>
      </w:r>
      <w:r>
        <w:rPr>
          <w:rFonts w:ascii="Times New Roman" w:cs="Times New Roman" w:eastAsia="Times New Roman" w:hAnsi="Times New Roman"/>
          <w:sz w:val="22"/>
          <w:szCs w:val="22"/>
          <w:b w:val="1"/>
          <w:bCs w:val="1"/>
          <w:color w:val="auto"/>
        </w:rPr>
        <w:t>may not</w:t>
      </w:r>
      <w:r>
        <w:rPr>
          <w:rFonts w:ascii="Times New Roman" w:cs="Times New Roman" w:eastAsia="Times New Roman" w:hAnsi="Times New Roman"/>
          <w:sz w:val="22"/>
          <w:szCs w:val="22"/>
          <w:color w:val="auto"/>
        </w:rPr>
        <w:t>, directly or indirectly:</w:t>
      </w:r>
    </w:p>
    <w:p>
      <w:pPr>
        <w:spacing w:after="0" w:line="158" w:lineRule="exact"/>
        <w:rPr>
          <w:sz w:val="20"/>
          <w:szCs w:val="20"/>
          <w:color w:val="auto"/>
        </w:rPr>
      </w:pPr>
    </w:p>
    <w:p>
      <w:pPr>
        <w:ind w:left="1220" w:hanging="374"/>
        <w:spacing w:after="0" w:line="258" w:lineRule="auto"/>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transactions in Personalis’ securities, except as otherwise specified under the heading “Exceptions to this Policy” below;</w:t>
      </w:r>
    </w:p>
    <w:p>
      <w:pPr>
        <w:spacing w:after="0" w:line="50" w:lineRule="exact"/>
        <w:rPr>
          <w:rFonts w:ascii="Times New Roman" w:cs="Times New Roman" w:eastAsia="Times New Roman" w:hAnsi="Times New Roman"/>
          <w:sz w:val="22"/>
          <w:szCs w:val="22"/>
          <w:color w:val="auto"/>
        </w:rPr>
      </w:pPr>
    </w:p>
    <w:p>
      <w:pPr>
        <w:ind w:left="1220" w:hanging="374"/>
        <w:spacing w:after="0"/>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of any Personalis’ securities;</w:t>
      </w:r>
    </w:p>
    <w:p>
      <w:pPr>
        <w:spacing w:after="0" w:line="98" w:lineRule="exact"/>
        <w:rPr>
          <w:rFonts w:ascii="Times New Roman" w:cs="Times New Roman" w:eastAsia="Times New Roman" w:hAnsi="Times New Roman"/>
          <w:sz w:val="22"/>
          <w:szCs w:val="22"/>
          <w:color w:val="auto"/>
        </w:rPr>
      </w:pPr>
    </w:p>
    <w:p>
      <w:pPr>
        <w:jc w:val="both"/>
        <w:ind w:left="1220" w:hanging="374"/>
        <w:spacing w:after="0" w:line="239" w:lineRule="auto"/>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nonpublic information to persons within Personalis whose jobs do not require them to have that information, or outside of Personalis to other persons, such as family, friends, business associates and investors, unless the disclosure is made in accordance with Personalis’ policies regarding the protection or authorized external disclosure of information regarding Personalis; or</w:t>
      </w:r>
    </w:p>
    <w:p>
      <w:pPr>
        <w:spacing w:after="0" w:line="72" w:lineRule="exact"/>
        <w:rPr>
          <w:rFonts w:ascii="Times New Roman" w:cs="Times New Roman" w:eastAsia="Times New Roman" w:hAnsi="Times New Roman"/>
          <w:sz w:val="22"/>
          <w:szCs w:val="22"/>
          <w:color w:val="auto"/>
        </w:rPr>
      </w:pPr>
    </w:p>
    <w:p>
      <w:pPr>
        <w:ind w:left="1220" w:hanging="374"/>
        <w:spacing w:after="0"/>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00"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22"/>
          <w:szCs w:val="22"/>
          <w:color w:val="auto"/>
        </w:rPr>
        <w:t xml:space="preserve">The prohibition against insider trading is absolute. It applies </w:t>
      </w:r>
      <w:r>
        <w:rPr>
          <w:rFonts w:ascii="Times New Roman" w:cs="Times New Roman" w:eastAsia="Times New Roman" w:hAnsi="Times New Roman"/>
          <w:sz w:val="22"/>
          <w:szCs w:val="22"/>
          <w:b w:val="1"/>
          <w:bCs w:val="1"/>
          <w:i w:val="1"/>
          <w:iCs w:val="1"/>
          <w:color w:val="auto"/>
        </w:rPr>
        <w:t>even if</w:t>
      </w:r>
      <w:r>
        <w:rPr>
          <w:rFonts w:ascii="Times New Roman" w:cs="Times New Roman" w:eastAsia="Times New Roman" w:hAnsi="Times New Roman"/>
          <w:sz w:val="22"/>
          <w:szCs w:val="22"/>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cs="Times New Roman" w:eastAsia="Times New Roman" w:hAnsi="Times New Roman"/>
          <w:sz w:val="22"/>
          <w:szCs w:val="22"/>
          <w:b w:val="1"/>
          <w:bCs w:val="1"/>
          <w:color w:val="auto"/>
        </w:rPr>
        <w:t>any</w:t>
      </w:r>
      <w:r>
        <w:rPr>
          <w:rFonts w:ascii="Times New Roman" w:cs="Times New Roman" w:eastAsia="Times New Roman" w:hAnsi="Times New Roman"/>
          <w:sz w:val="22"/>
          <w:szCs w:val="22"/>
          <w:color w:val="auto"/>
        </w:rPr>
        <w:t xml:space="preserve"> material nonpublic information relating to Personalis at the time of the transaction.</w:t>
      </w:r>
    </w:p>
    <w:p>
      <w:pPr>
        <w:spacing w:after="0" w:line="178" w:lineRule="exact"/>
        <w:rPr>
          <w:sz w:val="20"/>
          <w:szCs w:val="20"/>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22"/>
          <w:szCs w:val="22"/>
          <w:color w:val="auto"/>
        </w:rPr>
        <w:t>The U.S. federal securities laws do not recognize any mitigating circumstances to insider trading. In addition, even the appearance of an improper transaction must be avoided to preserve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jc w:val="both"/>
        <w:spacing w:after="0" w:line="244" w:lineRule="auto"/>
        <w:rPr>
          <w:sz w:val="20"/>
          <w:szCs w:val="20"/>
          <w:color w:val="auto"/>
        </w:rPr>
      </w:pPr>
      <w:r>
        <w:rPr>
          <w:rFonts w:ascii="Times New Roman" w:cs="Times New Roman" w:eastAsia="Times New Roman" w:hAnsi="Times New Roman"/>
          <w:sz w:val="22"/>
          <w:szCs w:val="22"/>
          <w:color w:val="auto"/>
        </w:rPr>
        <w:t>Personalis’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3"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Personalis that no employee, director or designated consultant of Personalis (or any other person subject to this policy) may either (a) recommend to another person that they buy, hold or sell Personalis’ securities </w:t>
      </w:r>
      <w:r>
        <w:rPr>
          <w:rFonts w:ascii="Times New Roman" w:cs="Times New Roman" w:eastAsia="Times New Roman" w:hAnsi="Times New Roman"/>
          <w:sz w:val="22"/>
          <w:szCs w:val="22"/>
          <w:b w:val="1"/>
          <w:bCs w:val="1"/>
          <w:color w:val="auto"/>
        </w:rPr>
        <w:t>at any time</w:t>
      </w:r>
      <w:r>
        <w:rPr>
          <w:rFonts w:ascii="Times New Roman" w:cs="Times New Roman" w:eastAsia="Times New Roman" w:hAnsi="Times New Roman"/>
          <w:sz w:val="22"/>
          <w:szCs w:val="22"/>
          <w:color w:val="auto"/>
        </w:rPr>
        <w:t xml:space="preserve"> or (b) disclose material nonpublic information to persons within Personalis whose jobs do not require them to have that information, or outside of Personalis to other persons (unless the disclosure is made in accordance with Personalis’ policies regarding the protection or authorized external disclosure of information regarding Personalis).</w:t>
      </w:r>
    </w:p>
    <w:p>
      <w:pPr>
        <w:spacing w:after="0" w:line="179" w:lineRule="exact"/>
        <w:rPr>
          <w:sz w:val="20"/>
          <w:szCs w:val="20"/>
          <w:color w:val="auto"/>
        </w:rPr>
      </w:pPr>
    </w:p>
    <w:p>
      <w:pPr>
        <w:jc w:val="both"/>
        <w:ind w:firstLine="469"/>
        <w:spacing w:after="0" w:line="238" w:lineRule="auto"/>
        <w:rPr>
          <w:sz w:val="20"/>
          <w:szCs w:val="20"/>
          <w:color w:val="auto"/>
        </w:rPr>
      </w:pPr>
      <w:r>
        <w:rPr>
          <w:rFonts w:ascii="Times New Roman" w:cs="Times New Roman" w:eastAsia="Times New Roman" w:hAnsi="Times New Roman"/>
          <w:sz w:val="22"/>
          <w:szCs w:val="22"/>
          <w:color w:val="auto"/>
        </w:rPr>
        <w:t>In addition, it is the policy of Personalis that no employee, director or designated consultant of Personalis (or any other person subject to this policy) who, in the course of working for Personalis, learns of or is otherwise aware of material nonpublic information about another publicly traded company with which Personalis does business, including a customer, supplier, partner or collaborator of Personalis or an economically linked company such as a competitor of Personalis, may trade in that company’s securities until the information becomes public or is no longer material.</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There are no exceptions to this policy, except as specifically noted above or below.</w:t>
      </w:r>
    </w:p>
    <w:p>
      <w:pPr>
        <w:spacing w:after="0" w:line="202"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This policy applies to all transactions in securities issued by Personalis, as well as derivative securities that are not issued by Personalis, such as exchange-traded put or call options or swaps relating to Personalis’ securities. Accordingly, for purposes of this policy, the terms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trading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 include not only purchases and sales of Personalis’ common stock in the public market but also any other purchases, sales, transfers or other acquisitions and dispositions of common or preferred equity, options, warrants and other securities (including debt securities), gifts or other contributions of securities, and other arrangements or transactions that affect economic exposure to changes in the prices of these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IV. P</w:t>
      </w:r>
      <w:r>
        <w:rPr>
          <w:rFonts w:ascii="Times New Roman" w:cs="Times New Roman" w:eastAsia="Times New Roman" w:hAnsi="Times New Roman"/>
          <w:sz w:val="14"/>
          <w:szCs w:val="14"/>
          <w:b w:val="1"/>
          <w:bCs w:val="1"/>
          <w:color w:val="auto"/>
        </w:rPr>
        <w:t>ersons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ubject to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This policy applies to you and all other employees, directors and designated consultants of Personalis and its subsidiaries. This policy also applies to members of your immediate family who reside with you, persons with whom you share a household, persons who are your economic dependents and any other individuals or entities whose transactions in securities you influence,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direct or control (including, e.g., a venture or other investment fund, </w:t>
      </w:r>
      <w:r>
        <w:rPr>
          <w:rFonts w:ascii="Times New Roman" w:cs="Times New Roman" w:eastAsia="Times New Roman" w:hAnsi="Times New Roman"/>
          <w:sz w:val="22"/>
          <w:szCs w:val="22"/>
          <w:u w:val="single" w:color="auto"/>
          <w:color w:val="auto"/>
        </w:rPr>
        <w:t>if</w:t>
      </w:r>
      <w:r>
        <w:rPr>
          <w:rFonts w:ascii="Times New Roman" w:cs="Times New Roman" w:eastAsia="Times New Roman" w:hAnsi="Times New Roman"/>
          <w:sz w:val="22"/>
          <w:szCs w:val="22"/>
          <w:color w:val="auto"/>
        </w:rPr>
        <w:t xml:space="preserve"> you influence, direct or control transactions by the fund). The foregoing persons who are deemed subject to this policy are referred to in this policy as “</w:t>
      </w:r>
      <w:r>
        <w:rPr>
          <w:rFonts w:ascii="Times New Roman" w:cs="Times New Roman" w:eastAsia="Times New Roman" w:hAnsi="Times New Roman"/>
          <w:sz w:val="22"/>
          <w:szCs w:val="22"/>
          <w:b w:val="1"/>
          <w:bCs w:val="1"/>
          <w:i w:val="1"/>
          <w:iCs w:val="1"/>
          <w:color w:val="auto"/>
        </w:rPr>
        <w:t>Related Persons</w:t>
      </w:r>
      <w:r>
        <w:rPr>
          <w:rFonts w:ascii="Times New Roman" w:cs="Times New Roman" w:eastAsia="Times New Roman" w:hAnsi="Times New Roman"/>
          <w:sz w:val="22"/>
          <w:szCs w:val="22"/>
          <w:color w:val="auto"/>
        </w:rPr>
        <w:t>.” You are responsible for making sure that your Related Persons comply with this policy.</w:t>
      </w:r>
    </w:p>
    <w:p>
      <w:pPr>
        <w:spacing w:after="0" w:line="169"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aterial</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onpublic</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04" w:lineRule="exact"/>
        <w:rPr>
          <w:rFonts w:ascii="Times New Roman" w:cs="Times New Roman" w:eastAsia="Times New Roman" w:hAnsi="Times New Roman"/>
          <w:sz w:val="22"/>
          <w:szCs w:val="22"/>
          <w:b w:val="1"/>
          <w:bCs w:val="1"/>
          <w:color w:val="auto"/>
        </w:rPr>
      </w:pPr>
    </w:p>
    <w:p>
      <w:pPr>
        <w:ind w:left="820" w:hanging="438"/>
        <w:spacing w:after="0"/>
        <w:tabs>
          <w:tab w:leader="none" w:pos="820" w:val="left"/>
        </w:tabs>
        <w:numPr>
          <w:ilvl w:val="1"/>
          <w:numId w:val="5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Material information</w:t>
      </w:r>
    </w:p>
    <w:p>
      <w:pPr>
        <w:spacing w:after="0" w:line="212"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7" w:lineRule="exact"/>
        <w:rPr>
          <w:sz w:val="20"/>
          <w:szCs w:val="20"/>
          <w:color w:val="auto"/>
        </w:rPr>
      </w:pPr>
    </w:p>
    <w:p>
      <w:pPr>
        <w:jc w:val="both"/>
        <w:ind w:firstLine="374"/>
        <w:spacing w:after="0" w:line="238" w:lineRule="auto"/>
        <w:rPr>
          <w:sz w:val="20"/>
          <w:szCs w:val="20"/>
          <w:color w:val="auto"/>
        </w:rPr>
      </w:pPr>
      <w:r>
        <w:rPr>
          <w:rFonts w:ascii="Times New Roman" w:cs="Times New Roman" w:eastAsia="Times New Roman" w:hAnsi="Times New Roman"/>
          <w:sz w:val="22"/>
          <w:szCs w:val="22"/>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77" w:lineRule="exact"/>
        <w:rPr>
          <w:sz w:val="20"/>
          <w:szCs w:val="20"/>
          <w:color w:val="auto"/>
        </w:rPr>
      </w:pPr>
    </w:p>
    <w:p>
      <w:pPr>
        <w:ind w:left="1180" w:hanging="423"/>
        <w:spacing w:after="0"/>
        <w:tabs>
          <w:tab w:leader="none" w:pos="11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financial results or forecasts;</w:t>
      </w:r>
    </w:p>
    <w:p>
      <w:pPr>
        <w:spacing w:after="0" w:line="206" w:lineRule="exact"/>
        <w:rPr>
          <w:rFonts w:ascii="Times New Roman" w:cs="Times New Roman" w:eastAsia="Times New Roman" w:hAnsi="Times New Roman"/>
          <w:sz w:val="22"/>
          <w:szCs w:val="22"/>
          <w:b w:val="1"/>
          <w:bCs w:val="1"/>
          <w:color w:val="auto"/>
        </w:rPr>
      </w:pPr>
    </w:p>
    <w:p>
      <w:pPr>
        <w:ind w:left="1240" w:hanging="430"/>
        <w:spacing w:after="0"/>
        <w:tabs>
          <w:tab w:leader="none" w:pos="1240" w:val="left"/>
        </w:tabs>
        <w:numPr>
          <w:ilvl w:val="1"/>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status of current or planned services, tests, assays or products or regulatory approvals;</w:t>
      </w:r>
    </w:p>
    <w:p>
      <w:pPr>
        <w:spacing w:after="0" w:line="206" w:lineRule="exact"/>
        <w:rPr>
          <w:sz w:val="20"/>
          <w:szCs w:val="20"/>
          <w:color w:val="auto"/>
        </w:rPr>
      </w:pPr>
    </w:p>
    <w:p>
      <w:pPr>
        <w:ind w:left="1180" w:hanging="423"/>
        <w:spacing w:after="0"/>
        <w:tabs>
          <w:tab w:leader="none" w:pos="1180" w:val="left"/>
        </w:tabs>
        <w:numPr>
          <w:ilvl w:val="1"/>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clinical data relating to current or planned services, tests, assays or products;</w:t>
      </w:r>
    </w:p>
    <w:p>
      <w:pPr>
        <w:spacing w:after="0" w:line="206" w:lineRule="exact"/>
        <w:rPr>
          <w:rFonts w:ascii="Times New Roman" w:cs="Times New Roman" w:eastAsia="Times New Roman" w:hAnsi="Times New Roman"/>
          <w:sz w:val="22"/>
          <w:szCs w:val="22"/>
          <w:b w:val="1"/>
          <w:bCs w:val="1"/>
          <w:color w:val="auto"/>
        </w:rPr>
      </w:pPr>
    </w:p>
    <w:p>
      <w:pPr>
        <w:ind w:left="1100" w:hanging="381"/>
        <w:spacing w:after="0"/>
        <w:tabs>
          <w:tab w:leader="none" w:pos="11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acquisitions or dispositions of assets, divisions or companies;</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public or private sales of debt or equity securities;</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stock splits, dividends or changes in dividend policy;</w:t>
      </w:r>
    </w:p>
    <w:p>
      <w:pPr>
        <w:spacing w:after="0" w:line="206" w:lineRule="exact"/>
        <w:rPr>
          <w:rFonts w:ascii="Times New Roman" w:cs="Times New Roman" w:eastAsia="Times New Roman" w:hAnsi="Times New Roman"/>
          <w:sz w:val="22"/>
          <w:szCs w:val="22"/>
          <w:b w:val="1"/>
          <w:bCs w:val="1"/>
          <w:color w:val="auto"/>
        </w:rPr>
      </w:pPr>
    </w:p>
    <w:p>
      <w:pPr>
        <w:ind w:left="1240" w:hanging="430"/>
        <w:spacing w:after="0"/>
        <w:tabs>
          <w:tab w:leader="none" w:pos="1240" w:val="left"/>
        </w:tabs>
        <w:numPr>
          <w:ilvl w:val="2"/>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establishment of a repurchase program for Personalis’ securities;</w:t>
      </w:r>
    </w:p>
    <w:p>
      <w:pPr>
        <w:spacing w:after="0" w:line="206" w:lineRule="exact"/>
        <w:rPr>
          <w:sz w:val="20"/>
          <w:szCs w:val="20"/>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gain or loss of a significant licensor, licensee or supplier;</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changes to or new corporate partner relationships or collaborations;</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notice of issuance or denial of patents;</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regulatory developments;</w:t>
      </w:r>
    </w:p>
    <w:p>
      <w:pPr>
        <w:spacing w:after="0" w:line="206"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management or control changes;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ind w:left="1180" w:hanging="423"/>
        <w:spacing w:after="0"/>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employee layoffs;</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65"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disruption in Personalis’ operations or breach or unauthorized access of its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property or assets, including its facilities and information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tender offers or proxy fights;</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65"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accounting restatements;</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65"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litigation or settlements; and</w:t>
      </w:r>
    </w:p>
    <w:p>
      <w:pPr>
        <w:spacing w:after="0" w:line="200" w:lineRule="exact"/>
        <w:rPr>
          <w:rFonts w:ascii="Times New Roman" w:cs="Times New Roman" w:eastAsia="Times New Roman" w:hAnsi="Times New Roman"/>
          <w:sz w:val="22"/>
          <w:szCs w:val="22"/>
          <w:b w:val="1"/>
          <w:bCs w:val="1"/>
          <w:color w:val="auto"/>
        </w:rPr>
      </w:pPr>
    </w:p>
    <w:p>
      <w:pPr>
        <w:spacing w:after="0" w:line="200" w:lineRule="exact"/>
        <w:rPr>
          <w:rFonts w:ascii="Times New Roman" w:cs="Times New Roman" w:eastAsia="Times New Roman" w:hAnsi="Times New Roman"/>
          <w:sz w:val="22"/>
          <w:szCs w:val="22"/>
          <w:b w:val="1"/>
          <w:bCs w:val="1"/>
          <w:color w:val="auto"/>
        </w:rPr>
      </w:pPr>
    </w:p>
    <w:p>
      <w:pPr>
        <w:spacing w:after="0" w:line="265"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impending bankruptcy.</w:t>
      </w:r>
    </w:p>
    <w:p>
      <w:pPr>
        <w:spacing w:after="0" w:line="200" w:lineRule="exact"/>
        <w:rPr>
          <w:sz w:val="20"/>
          <w:szCs w:val="20"/>
          <w:color w:val="auto"/>
        </w:rPr>
      </w:pPr>
    </w:p>
    <w:p>
      <w:pPr>
        <w:spacing w:after="0" w:line="243" w:lineRule="exact"/>
        <w:rPr>
          <w:sz w:val="20"/>
          <w:szCs w:val="20"/>
          <w:color w:val="auto"/>
        </w:rPr>
      </w:pPr>
    </w:p>
    <w:p>
      <w:pPr>
        <w:ind w:left="820" w:hanging="438"/>
        <w:spacing w:after="0"/>
        <w:tabs>
          <w:tab w:leader="none" w:pos="820" w:val="left"/>
        </w:tabs>
        <w:numPr>
          <w:ilvl w:val="0"/>
          <w:numId w:val="6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When information is considered public</w:t>
      </w:r>
    </w:p>
    <w:p>
      <w:pPr>
        <w:spacing w:after="0" w:line="212" w:lineRule="exact"/>
        <w:rPr>
          <w:sz w:val="20"/>
          <w:szCs w:val="20"/>
          <w:color w:val="auto"/>
        </w:rPr>
      </w:pPr>
    </w:p>
    <w:p>
      <w:pPr>
        <w:jc w:val="both"/>
        <w:ind w:firstLine="374"/>
        <w:spacing w:after="0" w:line="234" w:lineRule="auto"/>
        <w:rPr>
          <w:sz w:val="20"/>
          <w:szCs w:val="20"/>
          <w:color w:val="auto"/>
        </w:rPr>
      </w:pPr>
      <w:r>
        <w:rPr>
          <w:rFonts w:ascii="Times New Roman" w:cs="Times New Roman" w:eastAsia="Times New Roman" w:hAnsi="Times New Roman"/>
          <w:sz w:val="22"/>
          <w:szCs w:val="22"/>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full trading day has elapsed since the information was publicly disclosed.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Depending on the particular circumstances, Personalis may determine that a longer or shorter waiting period should apply to the release of specific material nonpublic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 Q</w:t>
      </w:r>
      <w:r>
        <w:rPr>
          <w:rFonts w:ascii="Times New Roman" w:cs="Times New Roman" w:eastAsia="Times New Roman" w:hAnsi="Times New Roman"/>
          <w:sz w:val="14"/>
          <w:szCs w:val="14"/>
          <w:b w:val="1"/>
          <w:bCs w:val="1"/>
          <w:color w:val="auto"/>
        </w:rPr>
        <w:t>uarterly</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lackouts</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Because our workplace culture tends to be open, odds are that the vast majority of our employees, directors and designated consultants will possess material nonpublic information at certain points during the year. To minimize even the appearance of insider trading among our employees, directors and designated consultants, we have established “quarterly trading blackout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periods” during which Personalis officers, directors, employees, designated consultants and their Related Persons—regardless of whether they are aware of material nonpublic information or not—may not conduct any trades in Personalis securities. That means that, except as described in this policy, </w:t>
      </w:r>
      <w:r>
        <w:rPr>
          <w:rFonts w:ascii="Times New Roman" w:cs="Times New Roman" w:eastAsia="Times New Roman" w:hAnsi="Times New Roman"/>
          <w:sz w:val="22"/>
          <w:szCs w:val="22"/>
          <w:u w:val="single" w:color="auto"/>
          <w:color w:val="auto"/>
        </w:rPr>
        <w:t>all</w:t>
      </w:r>
      <w:r>
        <w:rPr>
          <w:rFonts w:ascii="Times New Roman" w:cs="Times New Roman" w:eastAsia="Times New Roman" w:hAnsi="Times New Roman"/>
          <w:sz w:val="22"/>
          <w:szCs w:val="22"/>
          <w:color w:val="auto"/>
        </w:rPr>
        <w:t xml:space="preserve"> Personalis officers and directors, </w:t>
      </w:r>
      <w:r>
        <w:rPr>
          <w:rFonts w:ascii="Times New Roman" w:cs="Times New Roman" w:eastAsia="Times New Roman" w:hAnsi="Times New Roman"/>
          <w:sz w:val="22"/>
          <w:szCs w:val="22"/>
          <w:u w:val="single" w:color="auto"/>
          <w:color w:val="auto"/>
        </w:rPr>
        <w:t>certain</w:t>
      </w:r>
      <w:r>
        <w:rPr>
          <w:rFonts w:ascii="Times New Roman" w:cs="Times New Roman" w:eastAsia="Times New Roman" w:hAnsi="Times New Roman"/>
          <w:sz w:val="22"/>
          <w:szCs w:val="22"/>
          <w:color w:val="auto"/>
        </w:rPr>
        <w:t xml:space="preserve"> specified employees and designated consultants and their Related Persons will be able to trade in Personalis securities </w:t>
      </w:r>
      <w:r>
        <w:rPr>
          <w:rFonts w:ascii="Times New Roman" w:cs="Times New Roman" w:eastAsia="Times New Roman" w:hAnsi="Times New Roman"/>
          <w:sz w:val="22"/>
          <w:szCs w:val="22"/>
          <w:u w:val="single" w:color="auto"/>
          <w:color w:val="auto"/>
        </w:rPr>
        <w:t>only</w:t>
      </w:r>
      <w:r>
        <w:rPr>
          <w:rFonts w:ascii="Times New Roman" w:cs="Times New Roman" w:eastAsia="Times New Roman" w:hAnsi="Times New Roman"/>
          <w:sz w:val="22"/>
          <w:szCs w:val="22"/>
          <w:color w:val="auto"/>
        </w:rPr>
        <w:t xml:space="preserve"> during limited open trading window periods that generally will begin after one full trading day has elapsed since the public dissemination of Personalis’ annual or quarterly financial results and end at the beginning of the next quarterly trading blackout period. Of course, even during an open trading window period, you may not (unless an exception applies) conduct any trades in Personalis securities if you are otherwise in possession of material nonpublic information.</w:t>
      </w:r>
    </w:p>
    <w:p>
      <w:pPr>
        <w:spacing w:after="0" w:line="172"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For purposes of this policy, each “</w:t>
      </w:r>
      <w:r>
        <w:rPr>
          <w:rFonts w:ascii="Times New Roman" w:cs="Times New Roman" w:eastAsia="Times New Roman" w:hAnsi="Times New Roman"/>
          <w:sz w:val="22"/>
          <w:szCs w:val="22"/>
          <w:b w:val="1"/>
          <w:bCs w:val="1"/>
          <w:i w:val="1"/>
          <w:iCs w:val="1"/>
          <w:color w:val="auto"/>
        </w:rPr>
        <w:t>quarterly trading blackout period</w:t>
      </w:r>
      <w:r>
        <w:rPr>
          <w:rFonts w:ascii="Times New Roman" w:cs="Times New Roman" w:eastAsia="Times New Roman" w:hAnsi="Times New Roman"/>
          <w:sz w:val="22"/>
          <w:szCs w:val="22"/>
          <w:color w:val="auto"/>
        </w:rPr>
        <w:t>” will generally begin at the end of the day that is one week before the end of each fiscal quarter and end after one full trading day has elapsed since the public dissemination of Personalis’ financial results for that quarter. Please note that the quarterly trading blackout period may commence early or may be extended if, in the judgment of the Chief Executive Officer, Chief Financial Officer or General Counsel, there exists undisclosed information that would make trades by Personalis employees, directors and designated consultants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2"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A Personalis officer, director, employee or designated consultant who believes that special circumstances require him or her to trade during a quarterly trading blackout period should consult the Chief Financial Officer and/or General Counsel, each of whom are referred to in this policy as a “</w:t>
      </w:r>
      <w:r>
        <w:rPr>
          <w:rFonts w:ascii="Times New Roman" w:cs="Times New Roman" w:eastAsia="Times New Roman" w:hAnsi="Times New Roman"/>
          <w:sz w:val="22"/>
          <w:szCs w:val="22"/>
          <w:b w:val="1"/>
          <w:bCs w:val="1"/>
          <w:i w:val="1"/>
          <w:iCs w:val="1"/>
          <w:color w:val="auto"/>
        </w:rPr>
        <w:t>Clearing Officer</w:t>
      </w:r>
      <w:r>
        <w:rPr>
          <w:rFonts w:ascii="Times New Roman" w:cs="Times New Roman" w:eastAsia="Times New Roman" w:hAnsi="Times New Roman"/>
          <w:sz w:val="22"/>
          <w:szCs w:val="22"/>
          <w:color w:val="auto"/>
        </w:rPr>
        <w:t>”. Permission to trade during a quarterly trading blackout period will be granted only where the circumstances are extenuating, a Clearing Officer concludes that the person is not in fact aware of any material nonpublic information relating to Personalis or its securities, and there appears to be no significant risk that the trade may subsequently be questioned.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VII. E</w:t>
      </w:r>
      <w:r>
        <w:rPr>
          <w:rFonts w:ascii="Times New Roman" w:cs="Times New Roman" w:eastAsia="Times New Roman" w:hAnsi="Times New Roman"/>
          <w:sz w:val="14"/>
          <w:szCs w:val="14"/>
          <w:b w:val="1"/>
          <w:bCs w:val="1"/>
          <w:color w:val="auto"/>
        </w:rPr>
        <w:t>vent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pecific</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lackouts</w:t>
      </w:r>
    </w:p>
    <w:p>
      <w:pPr>
        <w:spacing w:after="0" w:line="210"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From time to time, an event may occur that is material to Personalis and is known by only a few directors, officers and/or employees. So long as the event remains material and nonpublic, the persons designated by a Clearing Officer may not trade in Personalis’ securities. In that situation, Personalis will notify the designated individuals that neither they nor their Related Persons may trade in the Personalis’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22"/>
          <w:szCs w:val="22"/>
          <w:color w:val="auto"/>
        </w:rPr>
        <w:t>The quarterly and event-driven trading blackouts do not apply to those transactions to which this policy does not apply, as described under the heading “Exceptions to this Policy” below.</w:t>
      </w:r>
    </w:p>
    <w:p>
      <w:pPr>
        <w:spacing w:after="0" w:line="1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xceptions to this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left="380"/>
        <w:spacing w:after="0"/>
        <w:rPr>
          <w:sz w:val="20"/>
          <w:szCs w:val="20"/>
          <w:color w:val="auto"/>
        </w:rPr>
      </w:pPr>
      <w:r>
        <w:rPr>
          <w:rFonts w:ascii="Times New Roman" w:cs="Times New Roman" w:eastAsia="Times New Roman" w:hAnsi="Times New Roman"/>
          <w:sz w:val="22"/>
          <w:szCs w:val="22"/>
          <w:color w:val="auto"/>
        </w:rPr>
        <w:t>This policy does not apply in the case of the following transactions, except as specifically noted:</w:t>
      </w:r>
    </w:p>
    <w:p>
      <w:pPr>
        <w:spacing w:after="0" w:line="227"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b w:val="1"/>
          <w:bCs w:val="1"/>
          <w:i w:val="1"/>
          <w:iCs w:val="1"/>
          <w:color w:val="auto"/>
        </w:rPr>
        <w:t>. Option Exercises</w:t>
      </w:r>
      <w:r>
        <w:rPr>
          <w:rFonts w:ascii="Times New Roman" w:cs="Times New Roman" w:eastAsia="Times New Roman" w:hAnsi="Times New Roman"/>
          <w:sz w:val="22"/>
          <w:szCs w:val="22"/>
          <w:color w:val="auto"/>
        </w:rPr>
        <w:t>. This policy does not apply to the exercise of options granted under Personalis’ equity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for cash or, where permitted under the option, by a net exercise transaction with the Company or by delivery to Personalis of already-owned Personalis stock. This policy does, however, apply to any sale of stock as part of a broker-assisted cashless exercise or any other market sale, whether or not for the purpose of generating the cash needed to pay the exercise price or pay taxes.</w:t>
      </w:r>
    </w:p>
    <w:p>
      <w:pPr>
        <w:spacing w:after="0" w:line="171" w:lineRule="exact"/>
        <w:rPr>
          <w:sz w:val="20"/>
          <w:szCs w:val="20"/>
          <w:color w:val="auto"/>
        </w:rPr>
      </w:pPr>
    </w:p>
    <w:p>
      <w:pPr>
        <w:jc w:val="both"/>
        <w:ind w:firstLine="382"/>
        <w:spacing w:after="0" w:line="235" w:lineRule="auto"/>
        <w:tabs>
          <w:tab w:leader="none" w:pos="80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Tax Withholding Transactions</w:t>
      </w:r>
      <w:r>
        <w:rPr>
          <w:rFonts w:ascii="Times New Roman" w:cs="Times New Roman" w:eastAsia="Times New Roman" w:hAnsi="Times New Roman"/>
          <w:sz w:val="22"/>
          <w:szCs w:val="22"/>
          <w:color w:val="auto"/>
        </w:rPr>
        <w:t>. This policy does not apply to the surrender of shares directly to Personalis to satisfy tax</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withholding obligations as a result of the issuance of shares upon vesting or exercise of restricted stock units, options or other equity awards granted under Personalis’ equity compensation plans. Of course, any market sale of the stock received upon exercise or vesting of any such equity awards remains subject to all provisions of this policy whether or not for the purpose of generating the cash needed to pay the exercise price or pay taxes. However, the trading restrictions under this policy do not apply to the sale of shares of common stock issued upon vesting of restricted stock units for the limited purpose of covering tax withholding obligations (and any associated broker or other fees), provided that, prior to such sale, you irrevocably elect to sell such shares to cover tax withholding obligations in a manner approved by a Clearing Officer.</w:t>
      </w:r>
    </w:p>
    <w:p>
      <w:pPr>
        <w:spacing w:after="0" w:line="205" w:lineRule="exact"/>
        <w:rPr>
          <w:rFonts w:ascii="Times New Roman" w:cs="Times New Roman" w:eastAsia="Times New Roman" w:hAnsi="Times New Roman"/>
          <w:sz w:val="22"/>
          <w:szCs w:val="22"/>
          <w:b w:val="1"/>
          <w:bCs w:val="1"/>
          <w:color w:val="auto"/>
        </w:rPr>
      </w:pPr>
    </w:p>
    <w:p>
      <w:pPr>
        <w:jc w:val="both"/>
        <w:ind w:firstLine="440"/>
        <w:spacing w:after="0" w:line="247" w:lineRule="auto"/>
        <w:tabs>
          <w:tab w:leader="none" w:pos="891" w:val="left"/>
        </w:tabs>
        <w:numPr>
          <w:ilvl w:val="1"/>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This policy does not apply to the purchase of stock by employees under Personalis’ Employee Stock Purchase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on periodic designated dates in accordance with the ESPP. This policy does, however, apply to any sale of stock acquired pursuant to the ESPP.</w:t>
      </w:r>
    </w:p>
    <w:p>
      <w:pPr>
        <w:spacing w:after="0" w:line="163" w:lineRule="exact"/>
        <w:rPr>
          <w:rFonts w:ascii="Times New Roman" w:cs="Times New Roman" w:eastAsia="Times New Roman" w:hAnsi="Times New Roman"/>
          <w:sz w:val="22"/>
          <w:szCs w:val="22"/>
          <w:b w:val="1"/>
          <w:bCs w:val="1"/>
          <w:color w:val="auto"/>
        </w:rPr>
      </w:pPr>
    </w:p>
    <w:p>
      <w:pPr>
        <w:jc w:val="both"/>
        <w:ind w:firstLine="480"/>
        <w:spacing w:after="0" w:line="233" w:lineRule="auto"/>
        <w:tabs>
          <w:tab w:leader="none" w:pos="945" w:val="left"/>
        </w:tabs>
        <w:numPr>
          <w:ilvl w:val="2"/>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10b5-1 Automatic Trading Programs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Rule 10b5-1 of the Securities Exchange Act of 1934, as amended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as permitted by Personalis, officers, directors, employees at or above the Vice President level and certain non-employee advisors and consultants may establish a trading plan under which a broker is instructed to buy and sell Personalis securities based on pre-determined criteria (a “</w:t>
      </w:r>
      <w:r>
        <w:rPr>
          <w:rFonts w:ascii="Times New Roman" w:cs="Times New Roman" w:eastAsia="Times New Roman" w:hAnsi="Times New Roman"/>
          <w:sz w:val="22"/>
          <w:szCs w:val="22"/>
          <w:b w:val="1"/>
          <w:bCs w:val="1"/>
          <w:i w:val="1"/>
          <w:iCs w:val="1"/>
          <w:color w:val="auto"/>
        </w:rPr>
        <w:t>Trading Plan</w:t>
      </w:r>
      <w:r>
        <w:rPr>
          <w:rFonts w:ascii="Times New Roman" w:cs="Times New Roman" w:eastAsia="Times New Roman" w:hAnsi="Times New Roman"/>
          <w:sz w:val="22"/>
          <w:szCs w:val="22"/>
          <w:color w:val="auto"/>
        </w:rPr>
        <w:t>”). Any director and any “officer” for the purpose of Section 16 of the Exchange Act as determined by the board of directors may only sell Personalis securities in the open market under a Trading Plan; as a result, if any such person wishes to sell Personalis securities in the open market, they must establish a Trading Plan pursuant to this policy. So long as a Trading Plan is properly established, sales of Personalis securities pursuant to that Trading Plan are not subject to this policy. To be properly established, an eligible person’s Trading Plan must be established in compliance with the requirements of Rule 10b5-1 of the Exchange Act and any applicable 10b5-1 trading plan guidelines of Personalis at a time when they were unaware of any material nonpublic information relating to Personalis and when Personalis was not otherwise in a trading blackout period. Moreover, all Trading Plans must be reviewed and approved by a Clearing Officer before being established to confirm that the Trading Plan complies with all pertinent company policies and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IX. S</w:t>
      </w:r>
      <w:r>
        <w:rPr>
          <w:rFonts w:ascii="Times New Roman" w:cs="Times New Roman" w:eastAsia="Times New Roman" w:hAnsi="Times New Roman"/>
          <w:sz w:val="14"/>
          <w:szCs w:val="14"/>
          <w:b w:val="1"/>
          <w:bCs w:val="1"/>
          <w:color w:val="auto"/>
        </w:rPr>
        <w:t>pecial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both"/>
        <w:ind w:firstLine="374"/>
        <w:spacing w:after="0" w:line="247"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i w:val="1"/>
          <w:iCs w:val="1"/>
          <w:color w:val="auto"/>
        </w:rPr>
        <w:t>Inherently Speculative Transactions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 Personalis employee, director or designated consultant may engage in short sales, transactions in put options, call options or other derivative securities on an exchange or in any other organized market, or in any other inherently speculative transactions (e.g., “day-trading”) with respect to Personalis’ stock.</w:t>
      </w:r>
    </w:p>
    <w:p>
      <w:pPr>
        <w:spacing w:after="0" w:line="164"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b w:val="1"/>
          <w:bCs w:val="1"/>
          <w:i w:val="1"/>
          <w:iCs w:val="1"/>
          <w:color w:val="auto"/>
        </w:rPr>
        <w:t>Hedging Transactions.</w:t>
      </w:r>
      <w:r>
        <w:rPr>
          <w:rFonts w:ascii="Times New Roman" w:cs="Times New Roman" w:eastAsia="Times New Roman" w:hAnsi="Times New Roman"/>
          <w:sz w:val="22"/>
          <w:szCs w:val="22"/>
          <w:color w:val="auto"/>
        </w:rPr>
        <w:t xml:space="preserve"> Hedging or monetization transactions can be accomplished through a number of possible mechanisms, including through the use of financial instruments such as prepaid variable forwards, equity swaps, collars and exchange funds. Such hedging transactions may permit a Personalis employee, director or designated consultant to continue to own Personalis’ securities obtained through employee benefit plans or otherwise, but without the full risks and rewards of ownership. When that occurs, the Personalis employee, director or consultant may no longer have the same objectives as Personalis’ other shareholders. Therefore, Personalis employees, directors and designated consultants are prohibited from engaging in any such transactions.</w:t>
      </w:r>
    </w:p>
    <w:p>
      <w:pPr>
        <w:spacing w:after="0" w:line="176" w:lineRule="exact"/>
        <w:rPr>
          <w:sz w:val="20"/>
          <w:szCs w:val="20"/>
          <w:color w:val="auto"/>
        </w:rPr>
      </w:pPr>
    </w:p>
    <w:p>
      <w:pPr>
        <w:jc w:val="both"/>
        <w:ind w:firstLine="374"/>
        <w:spacing w:after="0" w:line="237" w:lineRule="auto"/>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b w:val="1"/>
          <w:bCs w:val="1"/>
          <w:i w:val="1"/>
          <w:iCs w:val="1"/>
          <w:color w:val="auto"/>
        </w:rPr>
        <w:t>Margin Accounts and Pledged Securities</w:t>
      </w:r>
      <w:r>
        <w:rPr>
          <w:rFonts w:ascii="Times New Roman" w:cs="Times New Roman" w:eastAsia="Times New Roman" w:hAnsi="Times New Roman"/>
          <w:sz w:val="22"/>
          <w:szCs w:val="22"/>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Personalis’ securities, employees, directors and designated consultants are prohibited from holding Company Securities in a margin account or otherwise pledging Personalis’ securities as collateral for a loan.</w:t>
      </w:r>
    </w:p>
    <w:p>
      <w:pPr>
        <w:spacing w:after="0" w:line="175" w:lineRule="exact"/>
        <w:rPr>
          <w:sz w:val="20"/>
          <w:szCs w:val="20"/>
          <w:color w:val="auto"/>
        </w:rPr>
      </w:pPr>
    </w:p>
    <w:p>
      <w:pPr>
        <w:jc w:val="both"/>
        <w:ind w:firstLine="374"/>
        <w:spacing w:after="0" w:line="235" w:lineRule="auto"/>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b w:val="1"/>
          <w:bCs w:val="1"/>
          <w:i w:val="1"/>
          <w:iCs w:val="1"/>
          <w:color w:val="auto"/>
        </w:rPr>
        <w:t>Standing and Limit Orders</w:t>
      </w:r>
      <w:r>
        <w:rPr>
          <w:rFonts w:ascii="Times New Roman" w:cs="Times New Roman" w:eastAsia="Times New Roman" w:hAnsi="Times New Roman"/>
          <w:sz w:val="22"/>
          <w:szCs w:val="22"/>
          <w:color w:val="auto"/>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Personalis employee, director or designated consultant is in possession of material nonpublic information. Personalis therefore discourages placing standing or limit orders on Personalis’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4" w:lineRule="exact"/>
        <w:rPr>
          <w:sz w:val="20"/>
          <w:szCs w:val="20"/>
          <w:color w:val="auto"/>
        </w:rPr>
      </w:pPr>
    </w:p>
    <w:p>
      <w:pPr>
        <w:jc w:val="both"/>
        <w:ind w:firstLine="374"/>
        <w:spacing w:after="0" w:line="288" w:lineRule="auto"/>
        <w:rPr>
          <w:sz w:val="20"/>
          <w:szCs w:val="20"/>
          <w:color w:val="auto"/>
        </w:rPr>
      </w:pPr>
      <w:r>
        <w:rPr>
          <w:rFonts w:ascii="Times New Roman" w:cs="Times New Roman" w:eastAsia="Times New Roman" w:hAnsi="Times New Roman"/>
          <w:sz w:val="21"/>
          <w:szCs w:val="21"/>
          <w:color w:val="auto"/>
        </w:rPr>
        <w:t>5.</w:t>
      </w:r>
      <w:r>
        <w:rPr>
          <w:rFonts w:ascii="Times New Roman" w:cs="Times New Roman" w:eastAsia="Times New Roman" w:hAnsi="Times New Roman"/>
          <w:sz w:val="21"/>
          <w:szCs w:val="21"/>
          <w:b w:val="1"/>
          <w:bCs w:val="1"/>
          <w:i w:val="1"/>
          <w:iCs w:val="1"/>
          <w:color w:val="auto"/>
        </w:rPr>
        <w:t>Managed Accounts</w:t>
      </w:r>
      <w:r>
        <w:rPr>
          <w:rFonts w:ascii="Times New Roman" w:cs="Times New Roman" w:eastAsia="Times New Roman" w:hAnsi="Times New Roman"/>
          <w:sz w:val="21"/>
          <w:szCs w:val="21"/>
          <w:color w:val="auto"/>
        </w:rPr>
        <w:t>. If you have a managed account (where another person has been given discretion or authority to trade without your prior approval), you should advise your broker or investment advisor not to trade in Company securities at any time.</w:t>
      </w:r>
    </w:p>
    <w:p>
      <w:pPr>
        <w:spacing w:after="0" w:line="124" w:lineRule="exact"/>
        <w:rPr>
          <w:sz w:val="20"/>
          <w:szCs w:val="20"/>
          <w:color w:val="auto"/>
        </w:rPr>
      </w:pPr>
    </w:p>
    <w:p>
      <w:pPr>
        <w:ind w:left="440" w:hanging="432"/>
        <w:spacing w:after="0"/>
        <w:tabs>
          <w:tab w:leader="none" w:pos="4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learance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dvance</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21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20" w:name="page121"/>
    <w:bookmarkEnd w:id="120"/>
    <w:p>
      <w:pPr>
        <w:jc w:val="both"/>
        <w:spacing w:after="0" w:line="233" w:lineRule="auto"/>
        <w:rPr>
          <w:sz w:val="20"/>
          <w:szCs w:val="20"/>
          <w:color w:val="auto"/>
        </w:rPr>
      </w:pPr>
      <w:r>
        <w:rPr>
          <w:rFonts w:ascii="Times New Roman" w:cs="Times New Roman" w:eastAsia="Times New Roman" w:hAnsi="Times New Roman"/>
          <w:sz w:val="22"/>
          <w:szCs w:val="22"/>
          <w:color w:val="auto"/>
        </w:rPr>
        <w:t>in Personalis’ securities without first obtaining pre-clearance of the transaction from a Clearing Officer or his or her designee at least two business days in advance of the proposed transaction. A Clearing Officer or his or her designee will then determine whether the transaction may proceed and, if so, will direct a Compliance Officer (as identified in Personalis’ Section 16 Compliance Program) to help comply with any required reporting requirements under Section 16(a) of the Exchange Act. So long as directors and Section 16 officers have established a Trading Plan, then trades pursuant to such Trading Plan do not need to be pre-cleared. Pre-cleared transactions not completed within five business days will require new pre-clearance. Personalis may choose to shorten this period. Persons subject to pre-clearance (including directors and Section 16 officers) must also give advance notice of their plans to exercise an outstanding stock option to the Clearing Officer (as identified in Personalis’ Section 16 Compliance Program) Once any transaction takes place, the officer, director or applicable member of management must immediately notify a Compliance Officer (as identified in Personalis’ Section 16 Compliance Program) and any other individuals identified under the heading “Notification of Execution of Transaction” in Personalis’ Section 16 Compliance Program so that Personalis may assist in any Section 16 reporting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XI. S</w:t>
      </w:r>
      <w:r>
        <w:rPr>
          <w:rFonts w:ascii="Times New Roman" w:cs="Times New Roman" w:eastAsia="Times New Roman" w:hAnsi="Times New Roman"/>
          <w:sz w:val="14"/>
          <w:szCs w:val="14"/>
          <w:b w:val="1"/>
          <w:bCs w:val="1"/>
          <w:color w:val="auto"/>
        </w:rPr>
        <w:t>hort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wing</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 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16 R</w:t>
      </w:r>
      <w:r>
        <w:rPr>
          <w:rFonts w:ascii="Times New Roman" w:cs="Times New Roman" w:eastAsia="Times New Roman" w:hAnsi="Times New Roman"/>
          <w:sz w:val="14"/>
          <w:szCs w:val="14"/>
          <w:b w:val="1"/>
          <w:bCs w:val="1"/>
          <w:color w:val="auto"/>
        </w:rPr>
        <w:t>eports</w:t>
      </w:r>
    </w:p>
    <w:p>
      <w:pPr>
        <w:spacing w:after="0" w:line="210"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Personalis’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XII. P</w:t>
      </w:r>
      <w:r>
        <w:rPr>
          <w:rFonts w:ascii="Times New Roman" w:cs="Times New Roman" w:eastAsia="Times New Roman" w:hAnsi="Times New Roman"/>
          <w:sz w:val="14"/>
          <w:szCs w:val="14"/>
          <w:b w:val="1"/>
          <w:bCs w:val="1"/>
          <w:color w:val="auto"/>
        </w:rPr>
        <w:t>rohibition of</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uring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ension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lackouts</w:t>
      </w:r>
    </w:p>
    <w:p>
      <w:pPr>
        <w:spacing w:after="0" w:line="210" w:lineRule="exact"/>
        <w:rPr>
          <w:sz w:val="20"/>
          <w:szCs w:val="20"/>
          <w:color w:val="auto"/>
        </w:rPr>
      </w:pPr>
    </w:p>
    <w:p>
      <w:pPr>
        <w:jc w:val="both"/>
        <w:ind w:firstLine="374"/>
        <w:spacing w:after="0" w:line="233" w:lineRule="auto"/>
        <w:rPr>
          <w:sz w:val="20"/>
          <w:szCs w:val="20"/>
          <w:color w:val="auto"/>
        </w:rPr>
      </w:pPr>
      <w:r>
        <w:rPr>
          <w:rFonts w:ascii="Times New Roman" w:cs="Times New Roman" w:eastAsia="Times New Roman" w:hAnsi="Times New Roman"/>
          <w:sz w:val="22"/>
          <w:szCs w:val="22"/>
          <w:color w:val="auto"/>
        </w:rPr>
        <w:t>No director or executive officer of Personalis may, directly or indirectly, purchase, sell or otherwise transfer any equity security of Personalis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Personalis’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Personalis will notify each director and executive officer of any blackout periods in accordance with the provisions of Regulation BTR. Because Regulation BTR is very complex, no director or executive officer of Personalis should engage in any transactions in Personalis’ securities, even if believed to be exempt from Regulation BTR, without first consulting with a Clearing Officer.</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XIII.</w:t>
      </w:r>
      <w:r>
        <w:rPr>
          <w:sz w:val="20"/>
          <w:szCs w:val="20"/>
          <w:color w:val="auto"/>
        </w:rPr>
        <w:tab/>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esignated</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roker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jc w:val="both"/>
        <w:ind w:firstLine="374"/>
        <w:spacing w:after="0" w:line="244" w:lineRule="auto"/>
        <w:rPr>
          <w:sz w:val="20"/>
          <w:szCs w:val="20"/>
          <w:color w:val="auto"/>
        </w:rPr>
      </w:pPr>
      <w:r>
        <w:rPr>
          <w:rFonts w:ascii="Times New Roman" w:cs="Times New Roman" w:eastAsia="Times New Roman" w:hAnsi="Times New Roman"/>
          <w:sz w:val="22"/>
          <w:szCs w:val="22"/>
          <w:color w:val="auto"/>
        </w:rPr>
        <w:t>Except as otherwise approved by a Clearing Officer or his or her designee, securities issued to service providers from the Company’s equity incentive plans, inducement plans or other similar equity plans may only be traded through the Company’s designated broker, which is currently E*TRADE.</w:t>
      </w:r>
    </w:p>
    <w:p>
      <w:pPr>
        <w:spacing w:after="0" w:line="16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XIV.</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olicy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uration</w:t>
      </w:r>
    </w:p>
    <w:p>
      <w:pPr>
        <w:spacing w:after="0" w:line="210" w:lineRule="exact"/>
        <w:rPr>
          <w:sz w:val="20"/>
          <w:szCs w:val="20"/>
          <w:color w:val="auto"/>
        </w:rPr>
      </w:pPr>
    </w:p>
    <w:p>
      <w:pPr>
        <w:jc w:val="both"/>
        <w:ind w:firstLine="374"/>
        <w:spacing w:after="0" w:line="236" w:lineRule="auto"/>
        <w:rPr>
          <w:sz w:val="20"/>
          <w:szCs w:val="20"/>
          <w:color w:val="auto"/>
        </w:rPr>
      </w:pPr>
      <w:r>
        <w:rPr>
          <w:rFonts w:ascii="Times New Roman" w:cs="Times New Roman" w:eastAsia="Times New Roman" w:hAnsi="Times New Roman"/>
          <w:sz w:val="22"/>
          <w:szCs w:val="22"/>
          <w:color w:val="auto"/>
        </w:rPr>
        <w:t>This policy continues to apply to your transactions in Personalis’ securities or the securities of other public companies engaged in business transactions with Personalis even after your relationship with Personalis has ended. If you are aware of material nonpublic information when your relationship with Personalis ends, you may not trade Personalis’ securities or the securities of other applicable companies until the material nonpublic information has been publicly disseminated or is no longer material. Further, if you leave Personalis during a trading blackout period, then you may not trade Personalis’ securities or the securities of other applicable companies until the trading blackout period has ended.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XV. I</w:t>
      </w:r>
      <w:r>
        <w:rPr>
          <w:rFonts w:ascii="Times New Roman" w:cs="Times New Roman" w:eastAsia="Times New Roman" w:hAnsi="Times New Roman"/>
          <w:sz w:val="14"/>
          <w:szCs w:val="14"/>
          <w:b w:val="1"/>
          <w:bCs w:val="1"/>
          <w:color w:val="auto"/>
        </w:rPr>
        <w:t>ndividual</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esponsibility</w:t>
      </w:r>
    </w:p>
    <w:p>
      <w:pPr>
        <w:spacing w:after="0" w:line="210" w:lineRule="exact"/>
        <w:rPr>
          <w:sz w:val="20"/>
          <w:szCs w:val="20"/>
          <w:color w:val="auto"/>
        </w:rPr>
      </w:pPr>
    </w:p>
    <w:p>
      <w:pPr>
        <w:jc w:val="both"/>
        <w:ind w:firstLine="469"/>
        <w:spacing w:after="0" w:line="234"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Personalis and to not engage in transactions in Personalis’ securities while aware of material nonpublic information.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complies with this policy. In all cases, the responsibility for determining whether an individual is aware of material nonpublic information rests with that individual, and any action on the part of Personalis or any employee or director of Personalis pursuant to this policy (or otherwise) does not in any way constitute legal advice or insulate an individual from liability under applicable securities laws. You could be subject to severe legal penalties and disciplinary action by Personalis for any conduct prohibited by this policy or applicable securities laws. See “Penalties” below.</w:t>
      </w:r>
    </w:p>
    <w:p>
      <w:pPr>
        <w:spacing w:after="0" w:line="1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XVI.</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enalties</w:t>
      </w:r>
    </w:p>
    <w:p>
      <w:pPr>
        <w:spacing w:after="0" w:line="210"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22"/>
          <w:szCs w:val="22"/>
          <w:color w:val="auto"/>
        </w:rPr>
        <w:t xml:space="preserve">Anyone who engages in insider trading or otherwise violates this policy may be subject to both civil liability and criminal penalties. Violators also risk disciplinary action by Personalis, including termination of employment. Anyone who has questions about this policy should contact their own attorney or a Compliance Officer, at compliance@personalis.com. Please also see Frequently Asked Questions, which are attached as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XVII.</w:t>
        <w:tab/>
        <w:t>A</w:t>
      </w:r>
      <w:r>
        <w:rPr>
          <w:rFonts w:ascii="Times New Roman" w:cs="Times New Roman" w:eastAsia="Times New Roman" w:hAnsi="Times New Roman"/>
          <w:sz w:val="14"/>
          <w:szCs w:val="14"/>
          <w:b w:val="1"/>
          <w:bCs w:val="1"/>
          <w:color w:val="auto"/>
        </w:rPr>
        <w:t>mendments</w:t>
      </w:r>
    </w:p>
    <w:p>
      <w:pPr>
        <w:spacing w:after="0" w:line="210" w:lineRule="exact"/>
        <w:rPr>
          <w:sz w:val="20"/>
          <w:szCs w:val="20"/>
          <w:color w:val="auto"/>
        </w:rPr>
      </w:pPr>
    </w:p>
    <w:p>
      <w:pPr>
        <w:ind w:right="40" w:firstLine="374"/>
        <w:spacing w:after="0" w:line="244" w:lineRule="auto"/>
        <w:rPr>
          <w:sz w:val="20"/>
          <w:szCs w:val="20"/>
          <w:color w:val="auto"/>
        </w:rPr>
      </w:pPr>
      <w:r>
        <w:rPr>
          <w:rFonts w:ascii="Times New Roman" w:cs="Times New Roman" w:eastAsia="Times New Roman" w:hAnsi="Times New Roman"/>
          <w:sz w:val="22"/>
          <w:szCs w:val="22"/>
          <w:color w:val="auto"/>
        </w:rPr>
        <w:t>Personalis is committed to continuously reviewing and updating its policies and procedures. Personalis therefore reserves the right to amend, alter or terminate this policy at any time and for any reason. A current copy of the Personalis’ policies regarding insider trading may be obtained by contacting a Clearing Officer or by visiting our intranet 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https://sites.google.com/personalis.com/intranet/departments/hr/handbooks-policies-new-hire-brochures.</w:t>
      </w:r>
    </w:p>
    <w:p>
      <w:pPr>
        <w:sectPr>
          <w:pgSz w:w="11900" w:h="16838" w:orient="portrait"/>
          <w:cols w:equalWidth="0" w:num="1">
            <w:col w:w="10139"/>
          </w:cols>
          <w:pgMar w:left="320" w:top="1408" w:right="1440" w:bottom="1440" w:gutter="0" w:footer="0" w:header="0"/>
        </w:sectPr>
      </w:pP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rading</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requently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sked</w:t>
      </w:r>
      <w:r>
        <w:rPr>
          <w:rFonts w:ascii="Times New Roman" w:cs="Times New Roman" w:eastAsia="Times New Roman" w:hAnsi="Times New Roman"/>
          <w:sz w:val="22"/>
          <w:szCs w:val="22"/>
          <w:b w:val="1"/>
          <w:bCs w:val="1"/>
          <w:color w:val="auto"/>
        </w:rPr>
        <w:t xml:space="preserve"> Q</w:t>
      </w:r>
      <w:r>
        <w:rPr>
          <w:rFonts w:ascii="Times New Roman" w:cs="Times New Roman" w:eastAsia="Times New Roman" w:hAnsi="Times New Roman"/>
          <w:sz w:val="14"/>
          <w:szCs w:val="14"/>
          <w:b w:val="1"/>
          <w:bCs w:val="1"/>
          <w:color w:val="auto"/>
        </w:rPr>
        <w:t>uestions</w:t>
      </w:r>
    </w:p>
    <w:p>
      <w:pPr>
        <w:spacing w:after="0" w:line="203"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is insider trading?</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9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Personalis or another publicly traded company that Personalis has business relationships with and you trade in Personalis’ or such other company’s securities, you have broken the law.</w:t>
      </w:r>
    </w:p>
    <w:p>
      <w:pPr>
        <w:spacing w:after="0" w:line="17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Why is insider trading illegal?</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9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6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152"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w:t>
      </w:r>
    </w:p>
    <w:p>
      <w:pPr>
        <w:spacing w:after="0" w:line="174"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Who can be guilty of insider trading?</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9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Personalis. Regardless of who you are, if you know something material about the value of a security that not everyone knows and you trade (or convince someone else to trade) in that security, you may be found guilty of insider trading.</w:t>
      </w:r>
    </w:p>
    <w:p>
      <w:pPr>
        <w:spacing w:after="0" w:line="17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Does Personalis have an insider trading policy?</w:t>
      </w:r>
    </w:p>
    <w:p>
      <w:pPr>
        <w:spacing w:after="0" w:line="212"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692"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Yes, the insider trading policy is available to read on our website at https://sites.google.com/personalis.com/intranet/departments/hr/handbooks-policies-new-hire-brochures.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4" w:name="page125"/>
    <w:bookmarkEnd w:id="124"/>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if I work in a foreign office?</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152"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same rules apply to U.S. and foreign employees and designated consultants.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Personalis director, employee or designated consultant, our policies apply to you no matter where you work.</w:t>
      </w:r>
    </w:p>
    <w:p>
      <w:pPr>
        <w:spacing w:after="0" w:line="170"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if I don’t buy or sell anything, but I tell someone else material nonpublic information and they buy or sell?</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98"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Personalis, including spouses, family members, friends or business associates (unless the disclosure is made in accordance with Personalis’ policies regarding the protection or authorized external disclosure of information regarding Personalis). This includes anonymous discussions on the internet about Personalis or companies with which Personalis does business.</w:t>
      </w:r>
    </w:p>
    <w:p>
      <w:pPr>
        <w:spacing w:after="0" w:line="172"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if I don’t tell them the information itself; I just tell them whether they should buy or sell?</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85"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That is still tipping, and you can still be responsible for insider trading. You may never recommend to another person that they buy, hold or sell Personalis’ common stock or any derivative security related to Personalis’ common stock, since that could be a form of tipping.</w:t>
      </w:r>
    </w:p>
    <w:p>
      <w:pPr>
        <w:spacing w:after="0" w:line="16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are the sanctions if I trade on material nonpublic information or tip off someone else?</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85"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disciplinary action by Personalis—which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25" w:name="page126"/>
    <w:bookmarkEnd w:id="125"/>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is “loss avoided”?</w:t>
      </w:r>
    </w:p>
    <w:p>
      <w:pPr>
        <w:spacing w:after="0" w:line="212"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085"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2"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Am I restricted from trading securities of any companies other than Personalis, for example a customer, partner or competitor of Personalis?</w:t>
      </w:r>
    </w:p>
    <w:p>
      <w:pPr>
        <w:spacing w:after="0" w:line="151" w:lineRule="exact"/>
        <w:rPr>
          <w:rFonts w:ascii="Times New Roman" w:cs="Times New Roman" w:eastAsia="Times New Roman" w:hAnsi="Times New Roman"/>
          <w:sz w:val="22"/>
          <w:szCs w:val="22"/>
          <w:b w:val="1"/>
          <w:bCs w:val="1"/>
          <w:color w:val="auto"/>
        </w:rPr>
      </w:pPr>
    </w:p>
    <w:p>
      <w:pPr>
        <w:jc w:val="both"/>
        <w:ind w:firstLine="757"/>
        <w:spacing w:after="0" w:line="251" w:lineRule="auto"/>
        <w:tabs>
          <w:tab w:leader="none" w:pos="1152" w:val="left"/>
        </w:tabs>
        <w:numPr>
          <w:ilvl w:val="1"/>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Personalis, you sometimes obtain sensitive, material information about other companies and their business dealings with Personalis.</w:t>
      </w:r>
    </w:p>
    <w:p>
      <w:pPr>
        <w:spacing w:after="0" w:line="162" w:lineRule="exact"/>
        <w:rPr>
          <w:rFonts w:ascii="Times New Roman" w:cs="Times New Roman" w:eastAsia="Times New Roman" w:hAnsi="Times New Roman"/>
          <w:sz w:val="21"/>
          <w:szCs w:val="21"/>
          <w:b w:val="1"/>
          <w:bCs w:val="1"/>
          <w:color w:val="auto"/>
        </w:rPr>
      </w:pPr>
    </w:p>
    <w:p>
      <w:pPr>
        <w:ind w:firstLine="8"/>
        <w:spacing w:after="0" w:line="264"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So if I do not trade Personalis securities when I have material nonpublic information, and I don’t “tip” other people, I am in the clear, right?</w:t>
      </w:r>
    </w:p>
    <w:p>
      <w:pPr>
        <w:spacing w:after="0" w:line="151"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085"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 necessarily. Even if you do not violate U.S. law, you may still violate our policies. For example, employees and consultants may violate our policies by breaching their confidentiality obligations or by recommending Personalis stock as an investment, even if these actions do not violate securities laws. Our policies are stricter than the law requires so that we and our employees, directors and designated consultants can avoid even the appearance of wrongdoing. Therefore, please review the entire policy carefully.</w:t>
      </w:r>
    </w:p>
    <w:p>
      <w:pPr>
        <w:spacing w:after="0" w:line="17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So when can I buy or sell my Personalis securities?</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085"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you are aware of material nonpublic information, you may not buy or sell our common stock until one full trading day has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Thursday; if we announce material nonpublic information after trading ends on Wednesday, then you may execute a transaction in our securities on Friday. </w:t>
      </w:r>
      <w:r>
        <w:rPr>
          <w:rFonts w:ascii="Times New Roman" w:cs="Times New Roman" w:eastAsia="Times New Roman" w:hAnsi="Times New Roman"/>
          <w:sz w:val="22"/>
          <w:szCs w:val="22"/>
          <w:b w:val="1"/>
          <w:bCs w:val="1"/>
          <w:color w:val="auto"/>
        </w:rPr>
        <w:t>Even if you are not aware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any material nonpublic information, you may not trade our common stock during any trading “blackout” period</w:t>
      </w:r>
      <w:r>
        <w:rPr>
          <w:rFonts w:ascii="Times New Roman" w:cs="Times New Roman" w:eastAsia="Times New Roman" w:hAnsi="Times New Roman"/>
          <w:sz w:val="22"/>
          <w:szCs w:val="22"/>
          <w:color w:val="auto"/>
        </w:rPr>
        <w:t>.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trading policy describes the quarterly trading blackout period, and additional event-driven trading blackout periods may be announced by email.</w:t>
      </w:r>
    </w:p>
    <w:p>
      <w:pPr>
        <w:spacing w:after="0" w:line="172"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If I have an open order to buy or sell Personalis securities on the date a blackout period commences, can I leave it to my broker to cancel the open order and avoid executing the trade?</w:t>
      </w:r>
    </w:p>
    <w:p>
      <w:pPr>
        <w:spacing w:after="0" w:line="151"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85"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unless it is in connection with a 10b5-1 trading plan (see Question 26 below). If you have any open orders when a blackout period commences other than in connection with a 10b5-1 trading plan, it is your responsibility to cancel these orders with your broker. If you have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26" w:name="page127"/>
    <w:bookmarkEnd w:id="126"/>
    <w:p>
      <w:pPr>
        <w:spacing w:after="0" w:line="258" w:lineRule="auto"/>
        <w:rPr>
          <w:sz w:val="20"/>
          <w:szCs w:val="20"/>
          <w:color w:val="auto"/>
        </w:rPr>
      </w:pPr>
      <w:r>
        <w:rPr>
          <w:rFonts w:ascii="Times New Roman" w:cs="Times New Roman" w:eastAsia="Times New Roman" w:hAnsi="Times New Roman"/>
          <w:sz w:val="22"/>
          <w:szCs w:val="22"/>
          <w:color w:val="auto"/>
        </w:rPr>
        <w:t>an open order and it executes after a blackout period commences not in connection with a 10b5-1 trading plan, you will have violated our insider trading policy and may also have violated insider trading laws.</w:t>
      </w:r>
    </w:p>
    <w:p>
      <w:pPr>
        <w:spacing w:after="0" w:line="15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Am I allowed to trade derivative securities of Personalis’ common stock?</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139"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67"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Why does Personalis prohibit trading in derivative securities and short selling?</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112"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74"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Can I purchase Personalis securities on margin or hold them in a margin account?</w:t>
      </w:r>
    </w:p>
    <w:p>
      <w:pPr>
        <w:spacing w:after="0" w:line="212" w:lineRule="exact"/>
        <w:rPr>
          <w:rFonts w:ascii="Times New Roman" w:cs="Times New Roman" w:eastAsia="Times New Roman" w:hAnsi="Times New Roman"/>
          <w:sz w:val="22"/>
          <w:szCs w:val="22"/>
          <w:b w:val="1"/>
          <w:bCs w:val="1"/>
          <w:color w:val="auto"/>
        </w:rPr>
      </w:pPr>
    </w:p>
    <w:p>
      <w:pPr>
        <w:ind w:left="1100" w:hanging="343"/>
        <w:spacing w:after="0"/>
        <w:tabs>
          <w:tab w:leader="none" w:pos="1100" w:val="left"/>
        </w:tabs>
        <w:numPr>
          <w:ilvl w:val="1"/>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Under our policies, you may not purchase our common stock on margin or hold it in a margin account at any time.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67" w:lineRule="exact"/>
        <w:rPr>
          <w:sz w:val="20"/>
          <w:szCs w:val="20"/>
          <w:color w:val="auto"/>
        </w:rPr>
      </w:pPr>
    </w:p>
    <w:p>
      <w:pPr>
        <w:ind w:firstLine="8"/>
        <w:spacing w:after="0" w:line="264" w:lineRule="auto"/>
        <w:tabs>
          <w:tab w:leader="none" w:pos="509"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Why does Personalis prohibit me from purchasing Personalis securities on margin or holding them in a margin account?</w:t>
      </w:r>
    </w:p>
    <w:p>
      <w:pPr>
        <w:spacing w:after="0" w:line="151"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98"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22"/>
          <w:szCs w:val="22"/>
          <w:color w:val="auto"/>
        </w:rPr>
        <w:t>sell. The U.S. Securities and Exchange Commission takes the view that you made the determination to not supply the additional collateral and you are therefore responsible for the sale.</w:t>
      </w:r>
    </w:p>
    <w:p>
      <w:pPr>
        <w:spacing w:after="0" w:line="152"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Can I pledge my Personalis shares as collateral for a personal loan?</w:t>
      </w:r>
    </w:p>
    <w:p>
      <w:pPr>
        <w:spacing w:after="0" w:line="212" w:lineRule="exact"/>
        <w:rPr>
          <w:rFonts w:ascii="Times New Roman" w:cs="Times New Roman" w:eastAsia="Times New Roman" w:hAnsi="Times New Roman"/>
          <w:sz w:val="22"/>
          <w:szCs w:val="22"/>
          <w:b w:val="1"/>
          <w:bCs w:val="1"/>
          <w:color w:val="auto"/>
        </w:rPr>
      </w:pPr>
    </w:p>
    <w:p>
      <w:pPr>
        <w:jc w:val="both"/>
        <w:ind w:firstLine="440"/>
        <w:spacing w:after="0" w:line="244" w:lineRule="auto"/>
        <w:tabs>
          <w:tab w:leader="none" w:pos="71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94"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Can I hedge my ownership position in Personalis?</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129" w:val="left"/>
        </w:tabs>
        <w:numPr>
          <w:ilvl w:val="2"/>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Personalis’ securities obtained through employee benefit plans or otherwise, but without the full risks and rewards of ownership, you may no longer have the same objectives as Personalis’ other shareholders. Therefore, our insider trading policy prohibits you from engaging in any such transactions.</w:t>
      </w:r>
    </w:p>
    <w:p>
      <w:pPr>
        <w:spacing w:after="0" w:line="170" w:lineRule="exact"/>
        <w:rPr>
          <w:rFonts w:ascii="Times New Roman" w:cs="Times New Roman" w:eastAsia="Times New Roman" w:hAnsi="Times New Roman"/>
          <w:sz w:val="22"/>
          <w:szCs w:val="22"/>
          <w:b w:val="1"/>
          <w:bCs w:val="1"/>
          <w:color w:val="auto"/>
        </w:rPr>
      </w:pPr>
    </w:p>
    <w:p>
      <w:pPr>
        <w:ind w:left="760" w:hanging="752"/>
        <w:spacing w:after="0" w:line="264" w:lineRule="auto"/>
        <w:tabs>
          <w:tab w:leader="none" w:pos="7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Can I exercise options granted to me under Personalis’ equity compensation plans during a trading blackout period or when I possess material nonpublic information?</w:t>
      </w:r>
    </w:p>
    <w:p>
      <w:pPr>
        <w:spacing w:after="0" w:line="151"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112" w:val="left"/>
        </w:tabs>
        <w:numPr>
          <w:ilvl w:val="2"/>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effect a broker-assisted cashless exercise (these cashless exercise transactions include a market sale) during a trading blackout period or any time that you are aware of material nonpublic information</w:t>
      </w:r>
    </w:p>
    <w:p>
      <w:pPr>
        <w:spacing w:after="0" w:line="17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Am I subject to trading blackout periods if I am no longer an employee or designated consultant of Personalis?</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139" w:val="left"/>
        </w:tabs>
        <w:numPr>
          <w:ilvl w:val="2"/>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It depends. If your employment with or service to Personalis ends during a trading blackout period, you will be subject to the remainder of that trading blackout period. If your employment with or service to Personalis ends on a day that the trading window is open, you will not be subject to the next trading blackout period. However, even if you are not subject to our trading blackout period after you leave Personalis, you should not trade in Personalis securities if you are aware of material nonpublic information. That restriction stays with you as long as the information you possess is material and not publicly disseminated within the meaning of our insider trading policy.</w:t>
      </w:r>
    </w:p>
    <w:p>
      <w:pPr>
        <w:spacing w:after="0" w:line="175" w:lineRule="exact"/>
        <w:rPr>
          <w:rFonts w:ascii="Times New Roman" w:cs="Times New Roman" w:eastAsia="Times New Roman" w:hAnsi="Times New Roman"/>
          <w:sz w:val="22"/>
          <w:szCs w:val="22"/>
          <w:b w:val="1"/>
          <w:bCs w:val="1"/>
          <w:color w:val="auto"/>
        </w:rPr>
      </w:pPr>
    </w:p>
    <w:p>
      <w:pPr>
        <w:ind w:firstLine="8"/>
        <w:spacing w:after="0" w:line="264" w:lineRule="auto"/>
        <w:tabs>
          <w:tab w:leader="none" w:pos="509"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if I purchased publicly traded options or other derivative securities before I became a Personalis employee or designated consultant?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jc w:val="both"/>
        <w:ind w:firstLine="757"/>
        <w:spacing w:after="0" w:line="244" w:lineRule="auto"/>
        <w:tabs>
          <w:tab w:leader="none" w:pos="1098" w:val="left"/>
        </w:tabs>
        <w:numPr>
          <w:ilvl w:val="1"/>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67"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May I own shares of a mutual fund that invests in Personalis?</w:t>
      </w:r>
    </w:p>
    <w:p>
      <w:pPr>
        <w:spacing w:after="0" w:line="212" w:lineRule="exact"/>
        <w:rPr>
          <w:rFonts w:ascii="Times New Roman" w:cs="Times New Roman" w:eastAsia="Times New Roman" w:hAnsi="Times New Roman"/>
          <w:sz w:val="22"/>
          <w:szCs w:val="22"/>
          <w:b w:val="1"/>
          <w:bCs w:val="1"/>
          <w:color w:val="auto"/>
        </w:rPr>
      </w:pPr>
    </w:p>
    <w:p>
      <w:pPr>
        <w:ind w:left="1100" w:hanging="343"/>
        <w:spacing w:after="0"/>
        <w:tabs>
          <w:tab w:leader="none" w:pos="110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Yes.</w:t>
      </w:r>
    </w:p>
    <w:p>
      <w:pPr>
        <w:spacing w:after="0" w:line="20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Are mutual fund shares holding Personalis common stock subject to the trading blackout periods?</w:t>
      </w:r>
    </w:p>
    <w:p>
      <w:pPr>
        <w:spacing w:after="0" w:line="212" w:lineRule="exact"/>
        <w:rPr>
          <w:rFonts w:ascii="Times New Roman" w:cs="Times New Roman" w:eastAsia="Times New Roman" w:hAnsi="Times New Roman"/>
          <w:sz w:val="22"/>
          <w:szCs w:val="22"/>
          <w:b w:val="1"/>
          <w:bCs w:val="1"/>
          <w:color w:val="auto"/>
        </w:rPr>
      </w:pPr>
    </w:p>
    <w:p>
      <w:pPr>
        <w:ind w:left="1100" w:hanging="343"/>
        <w:spacing w:after="0"/>
        <w:tabs>
          <w:tab w:leader="none" w:pos="110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You may trade in mutual funds holding Personalis common stock at any time.</w:t>
      </w:r>
    </w:p>
    <w:p>
      <w:pPr>
        <w:spacing w:after="0" w:line="200"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May I use a “routine trading program” or “10b5-1 plan”?</w:t>
      </w:r>
    </w:p>
    <w:p>
      <w:pPr>
        <w:spacing w:after="0" w:line="212" w:lineRule="exact"/>
        <w:rPr>
          <w:rFonts w:ascii="Times New Roman" w:cs="Times New Roman" w:eastAsia="Times New Roman" w:hAnsi="Times New Roman"/>
          <w:sz w:val="22"/>
          <w:szCs w:val="22"/>
          <w:b w:val="1"/>
          <w:bCs w:val="1"/>
          <w:color w:val="auto"/>
        </w:rPr>
      </w:pPr>
    </w:p>
    <w:p>
      <w:pPr>
        <w:jc w:val="both"/>
        <w:ind w:firstLine="757"/>
        <w:spacing w:after="0" w:line="238" w:lineRule="auto"/>
        <w:tabs>
          <w:tab w:leader="none" w:pos="1139"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Yes, subject to the requirements discussed in our insider trading policy and any 10b5-1 trading plan guidelines, eligible persons may use a routine trading program. A routine trading program, also known as a 10b5-1 plan, allows you to set up a highly structured program with your stock broker where you specify ahead of time the date, price, and amount of securities to be traded. If you wish to create a 10b5-1 plan, please contact our Stock Administration team to confirm you are an eligible person and to obtain approval at stockadmin@personalis.com.</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Additionally, if you are a director or an “officer” for purposes of Section 16 of the Securities Exchange Act of 1934, as amended, as determined by the board of directors and you wish to sell in Personalis common stock in the open market, then you may only do so via a 10b5-1 plan that complies with the insider trading policy and the 10b5-1 plan guidelines established by Personalis.</w:t>
      </w:r>
    </w:p>
    <w:p>
      <w:pPr>
        <w:spacing w:after="0" w:line="174"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What happens if I violate our insider trading policy?</w:t>
      </w:r>
    </w:p>
    <w:p>
      <w:pPr>
        <w:spacing w:after="0" w:line="212"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085"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Violating our policies may result in disciplinary action, which may include termination of your employment or other relationship with Personalis. In addition, you may be subject to criminal and civil sanctions.</w:t>
      </w:r>
    </w:p>
    <w:p>
      <w:pPr>
        <w:spacing w:after="0" w:line="152" w:lineRule="exact"/>
        <w:rPr>
          <w:rFonts w:ascii="Times New Roman" w:cs="Times New Roman" w:eastAsia="Times New Roman" w:hAnsi="Times New Roman"/>
          <w:sz w:val="22"/>
          <w:szCs w:val="22"/>
          <w:b w:val="1"/>
          <w:bCs w:val="1"/>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Who should I contact if I have questions about our insider trading policy or specific trades?</w:t>
      </w:r>
    </w:p>
    <w:p>
      <w:pPr>
        <w:spacing w:after="0" w:line="212" w:lineRule="exact"/>
        <w:rPr>
          <w:rFonts w:ascii="Times New Roman" w:cs="Times New Roman" w:eastAsia="Times New Roman" w:hAnsi="Times New Roman"/>
          <w:sz w:val="22"/>
          <w:szCs w:val="22"/>
          <w:b w:val="1"/>
          <w:bCs w:val="1"/>
          <w:color w:val="auto"/>
        </w:rPr>
      </w:pPr>
    </w:p>
    <w:p>
      <w:pPr>
        <w:ind w:left="1100" w:hanging="343"/>
        <w:spacing w:after="0"/>
        <w:tabs>
          <w:tab w:leader="none" w:pos="1100" w:val="left"/>
        </w:tabs>
        <w:numPr>
          <w:ilvl w:val="1"/>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should contact a Compliance Officer at compliance@personalis.com.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21.1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8380" w:type="dxa"/>
            <w:vAlign w:val="bottom"/>
          </w:tcPr>
          <w:p>
            <w:pPr>
              <w:ind w:left="1300"/>
              <w:spacing w:after="0"/>
              <w:rPr>
                <w:sz w:val="20"/>
                <w:szCs w:val="20"/>
                <w:color w:val="auto"/>
              </w:rPr>
            </w:pPr>
            <w:r>
              <w:rPr>
                <w:rFonts w:ascii="Arial" w:cs="Arial" w:eastAsia="Arial" w:hAnsi="Arial"/>
                <w:sz w:val="16"/>
                <w:szCs w:val="16"/>
                <w:b w:val="1"/>
                <w:bCs w:val="1"/>
                <w:color w:val="auto"/>
              </w:rPr>
              <w:t>SUBSIDIARIES OF PERSONALIS, INC.</w:t>
            </w:r>
          </w:p>
        </w:tc>
      </w:tr>
      <w:tr>
        <w:trPr>
          <w:trHeight w:val="729"/>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Name of Subsidiary</w:t>
            </w:r>
          </w:p>
        </w:tc>
        <w:tc>
          <w:tcPr>
            <w:tcW w:w="8380" w:type="dxa"/>
            <w:vAlign w:val="bottom"/>
          </w:tcPr>
          <w:p>
            <w:pPr>
              <w:ind w:left="1580"/>
              <w:spacing w:after="0"/>
              <w:rPr>
                <w:sz w:val="20"/>
                <w:szCs w:val="20"/>
                <w:color w:val="auto"/>
              </w:rPr>
            </w:pPr>
            <w:r>
              <w:rPr>
                <w:rFonts w:ascii="Arial" w:cs="Arial" w:eastAsia="Arial" w:hAnsi="Arial"/>
                <w:sz w:val="16"/>
                <w:szCs w:val="16"/>
                <w:b w:val="1"/>
                <w:bCs w:val="1"/>
                <w:color w:val="auto"/>
              </w:rPr>
              <w:t>Jurisdiction of Incorporation</w:t>
            </w:r>
          </w:p>
        </w:tc>
      </w:tr>
      <w:tr>
        <w:trPr>
          <w:trHeight w:val="116"/>
        </w:trPr>
        <w:tc>
          <w:tcPr>
            <w:tcW w:w="286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tcPr>
          <w:p>
            <w:pPr>
              <w:spacing w:after="0"/>
              <w:rPr>
                <w:sz w:val="10"/>
                <w:szCs w:val="10"/>
                <w:color w:val="auto"/>
              </w:rPr>
            </w:pPr>
          </w:p>
        </w:tc>
      </w:tr>
      <w:tr>
        <w:trPr>
          <w:trHeight w:val="342"/>
        </w:trPr>
        <w:tc>
          <w:tcPr>
            <w:tcW w:w="2860" w:type="dxa"/>
            <w:vAlign w:val="bottom"/>
          </w:tcPr>
          <w:p>
            <w:pPr>
              <w:ind w:left="40"/>
              <w:spacing w:after="0"/>
              <w:rPr>
                <w:sz w:val="20"/>
                <w:szCs w:val="20"/>
                <w:color w:val="auto"/>
              </w:rPr>
            </w:pPr>
            <w:r>
              <w:rPr>
                <w:rFonts w:ascii="Arial" w:cs="Arial" w:eastAsia="Arial" w:hAnsi="Arial"/>
                <w:sz w:val="16"/>
                <w:szCs w:val="16"/>
                <w:color w:val="auto"/>
              </w:rPr>
              <w:t>Personalis (UK) Ltd.</w:t>
            </w:r>
          </w:p>
        </w:tc>
        <w:tc>
          <w:tcPr>
            <w:tcW w:w="8380" w:type="dxa"/>
            <w:vAlign w:val="bottom"/>
          </w:tcPr>
          <w:p>
            <w:pPr>
              <w:ind w:left="1580"/>
              <w:spacing w:after="0"/>
              <w:rPr>
                <w:sz w:val="20"/>
                <w:szCs w:val="20"/>
                <w:color w:val="auto"/>
              </w:rPr>
            </w:pPr>
            <w:r>
              <w:rPr>
                <w:rFonts w:ascii="Arial" w:cs="Arial" w:eastAsia="Arial" w:hAnsi="Arial"/>
                <w:sz w:val="16"/>
                <w:szCs w:val="16"/>
                <w:color w:val="auto"/>
              </w:rPr>
              <w:t>United Kingdom</w:t>
            </w:r>
          </w:p>
        </w:tc>
      </w:tr>
      <w:tr>
        <w:trPr>
          <w:trHeight w:val="2156"/>
        </w:trPr>
        <w:tc>
          <w:tcPr>
            <w:tcW w:w="286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333-276204, 333-276206 and 333-281886) and Form S-8 (Nos. 333-232233, 333-237386, 333-238080, 333-253528, 333-262998, 333-269971, 333-271940 and 333-277489) of Personalis, Inc. and subsidiaries of our report dated February 27, 2025, relating to the consolidated financial statements which appears in this Annual Report on Form 10-K.</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/s/ BDO USA, P.C.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Christopher Hall, certify that:</w:t>
      </w:r>
    </w:p>
    <w:p>
      <w:pPr>
        <w:spacing w:after="0" w:line="221"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20" w:right="260" w:hanging="512"/>
        <w:spacing w:after="0" w:line="266"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520" w:right="380" w:hanging="512"/>
        <w:spacing w:after="0" w:line="286"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520" w:right="380" w:hanging="512"/>
        <w:spacing w:after="0" w:line="266"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1020" w:right="20" w:hanging="479"/>
        <w:spacing w:after="0" w:line="26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479"/>
        <w:spacing w:after="0" w:line="26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20" w:right="440" w:hanging="479"/>
        <w:spacing w:after="0" w:line="28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280" w:hanging="479"/>
        <w:spacing w:after="0" w:line="26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520" w:right="320" w:hanging="512"/>
        <w:spacing w:after="0" w:line="286" w:lineRule="auto"/>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200" w:hanging="479"/>
        <w:spacing w:after="0" w:line="28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160" w:hanging="479"/>
        <w:spacing w:after="0" w:line="286" w:lineRule="auto"/>
        <w:tabs>
          <w:tab w:leader="none" w:pos="895"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33089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Christopher Hall</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jc w:val="center"/>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Personalis, Inc.;</w:t>
      </w:r>
    </w:p>
    <w:p>
      <w:pPr>
        <w:spacing w:after="0" w:line="221" w:lineRule="exact"/>
        <w:rPr>
          <w:rFonts w:ascii="Arial" w:cs="Arial" w:eastAsia="Arial" w:hAnsi="Arial"/>
          <w:sz w:val="16"/>
          <w:szCs w:val="16"/>
          <w:color w:val="auto"/>
        </w:rPr>
      </w:pPr>
    </w:p>
    <w:p>
      <w:pPr>
        <w:jc w:val="both"/>
        <w:ind w:left="520" w:right="260" w:hanging="512"/>
        <w:spacing w:after="0" w:line="266"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Arial" w:cs="Arial" w:eastAsia="Arial" w:hAnsi="Arial"/>
          <w:sz w:val="16"/>
          <w:szCs w:val="16"/>
          <w:color w:val="auto"/>
        </w:rPr>
      </w:pPr>
    </w:p>
    <w:p>
      <w:pPr>
        <w:ind w:left="520" w:right="380" w:hanging="512"/>
        <w:spacing w:after="0" w:line="286"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ind w:left="520" w:right="380" w:hanging="512"/>
        <w:spacing w:after="0" w:line="266"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6"/>
          <w:szCs w:val="16"/>
          <w:color w:val="auto"/>
        </w:rPr>
      </w:pPr>
    </w:p>
    <w:p>
      <w:pPr>
        <w:ind w:left="1020" w:right="20" w:hanging="479"/>
        <w:spacing w:after="0" w:line="26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6"/>
          <w:szCs w:val="16"/>
          <w:color w:val="auto"/>
        </w:rPr>
      </w:pPr>
    </w:p>
    <w:p>
      <w:pPr>
        <w:ind w:left="1020" w:right="440" w:hanging="479"/>
        <w:spacing w:after="0" w:line="26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6"/>
          <w:szCs w:val="16"/>
          <w:color w:val="auto"/>
        </w:rPr>
      </w:pPr>
    </w:p>
    <w:p>
      <w:pPr>
        <w:ind w:left="1020" w:right="440" w:hanging="479"/>
        <w:spacing w:after="0" w:line="28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1020" w:right="280" w:hanging="479"/>
        <w:spacing w:after="0" w:line="26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6"/>
          <w:szCs w:val="16"/>
          <w:color w:val="auto"/>
        </w:rPr>
      </w:pPr>
    </w:p>
    <w:p>
      <w:pPr>
        <w:ind w:left="520" w:right="320" w:hanging="512"/>
        <w:spacing w:after="0" w:line="286"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020" w:right="200" w:hanging="479"/>
        <w:spacing w:after="0" w:line="28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020" w:right="160" w:hanging="479"/>
        <w:spacing w:after="0" w:line="286" w:lineRule="auto"/>
        <w:tabs>
          <w:tab w:leader="none" w:pos="8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33089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320" w:firstLine="509"/>
        <w:spacing w:after="0" w:line="266"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900" w:hanging="359"/>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900" w:hanging="359"/>
        <w:spacing w:after="0"/>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By: /s/ Christopher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33089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Christopher Hall</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President and Chief Executive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320" w:firstLine="509"/>
        <w:spacing w:after="0" w:line="266" w:lineRule="auto"/>
        <w:rPr>
          <w:sz w:val="20"/>
          <w:szCs w:val="20"/>
          <w:color w:val="auto"/>
        </w:rPr>
      </w:pPr>
      <w:r>
        <w:rPr>
          <w:rFonts w:ascii="Arial" w:cs="Arial" w:eastAsia="Arial" w:hAnsi="Arial"/>
          <w:sz w:val="16"/>
          <w:szCs w:val="16"/>
          <w:color w:val="auto"/>
        </w:rPr>
        <w:t>In connection with the Annual Report of Personalis,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900" w:hanging="35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900" w:hanging="35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33089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Aaron Tachibana</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Chief Financial Officer and Chief Operating Officer</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upperLetter"/>
      <w:start w:val="6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Ω"/>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1"/>
    </w:lvl>
    <w:lvl w:ilvl="1">
      <w:lvlJc w:val="left"/>
      <w:lvlText w:val="%2."/>
      <w:numFmt w:val="lowerLetter"/>
      <w:start w:val="1"/>
    </w:lvl>
  </w:abstractNum>
  <w:abstractNum w:abstractNumId="46">
    <w:nsid w:val="7E0C57B1"/>
    <w:multiLevelType w:val="hybridMultilevel"/>
    <w:lvl w:ilvl="0">
      <w:lvlJc w:val="left"/>
      <w:lvlText w:val="%1"/>
      <w:numFmt w:val="decimal"/>
      <w:start w:val="1"/>
    </w:lvl>
    <w:lvl w:ilvl="1">
      <w:lvlJc w:val="left"/>
      <w:lvlText w:val="%2."/>
      <w:numFmt w:val="lowerLetter"/>
      <w:start w:val="3"/>
    </w:lvl>
  </w:abstractNum>
  <w:abstractNum w:abstractNumId="47">
    <w:nsid w:val="77AE35EB"/>
    <w:multiLevelType w:val="hybridMultilevel"/>
    <w:lvl w:ilvl="0">
      <w:lvlJc w:val="left"/>
      <w:lvlText w:val="%1."/>
      <w:numFmt w:val="decimal"/>
      <w:start w:val="4"/>
    </w:lvl>
    <w:lvl w:ilvl="1">
      <w:lvlJc w:val="left"/>
      <w:lvlText w:val="%2."/>
      <w:numFmt w:val="lowerLetter"/>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upperLetter"/>
      <w:start w:val="9"/>
    </w:lvl>
  </w:abstractNum>
  <w:abstractNum w:abstractNumId="51">
    <w:nsid w:val="2F305DEF"/>
    <w:multiLevelType w:val="hybridMultilevel"/>
    <w:lvl w:ilvl="0">
      <w:lvlJc w:val="left"/>
      <w:lvlText w:val="%1."/>
      <w:numFmt w:val="upperLetter"/>
      <w:start w:val="35"/>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upperLetter"/>
      <w:start w:val="61"/>
    </w:lvl>
  </w:abstractNum>
  <w:abstractNum w:abstractNumId="54">
    <w:nsid w:val="4AD084E9"/>
    <w:multiLevelType w:val="hybridMultilevel"/>
    <w:lvl w:ilvl="0">
      <w:lvlJc w:val="left"/>
      <w:lvlText w:val="%1."/>
      <w:numFmt w:val="upperLetter"/>
      <w:start w:val="22"/>
    </w:lvl>
    <w:lvl w:ilvl="1">
      <w:lvlJc w:val="left"/>
      <w:lvlText w:val="%2."/>
      <w:numFmt w:val="upperLetter"/>
      <w:start w:val="1"/>
    </w:lvl>
  </w:abstractNum>
  <w:abstractNum w:abstractNumId="55">
    <w:nsid w:val="1F48EAA1"/>
    <w:multiLevelType w:val="hybridMultilevel"/>
    <w:lvl w:ilvl="0">
      <w:lvlJc w:val="left"/>
      <w:lvlText w:val="(%1)"/>
      <w:numFmt w:val="lowerLetter"/>
      <w:start w:val="1"/>
    </w:lvl>
    <w:lvl w:ilvl="1">
      <w:lvlJc w:val="left"/>
      <w:lvlText w:val="(%2)"/>
      <w:numFmt w:val="lowerLetter"/>
      <w:start w:val="2"/>
    </w:lvl>
  </w:abstractNum>
  <w:abstractNum w:abstractNumId="56">
    <w:nsid w:val="1381823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7">
    <w:nsid w:val="5DB70AE5"/>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7"/>
    </w:lvl>
  </w:abstractNum>
  <w:abstractNum w:abstractNumId="58">
    <w:nsid w:val="100F8FCA"/>
    <w:multiLevelType w:val="hybridMultilevel"/>
    <w:lvl w:ilvl="0">
      <w:lvlJc w:val="left"/>
      <w:lvlText w:val="(%1)"/>
      <w:numFmt w:val="lowerLetter"/>
      <w:start w:val="8"/>
    </w:lvl>
  </w:abstractNum>
  <w:abstractNum w:abstractNumId="59">
    <w:nsid w:val="6590700B"/>
    <w:multiLevelType w:val="hybridMultilevel"/>
    <w:lvl w:ilvl="0">
      <w:lvlJc w:val="left"/>
      <w:lvlText w:val="(%1)"/>
      <w:numFmt w:val="lowerLetter"/>
      <w:start w:val="13"/>
    </w:lvl>
  </w:abstractNum>
  <w:abstractNum w:abstractNumId="60">
    <w:nsid w:val="15014ACB"/>
    <w:multiLevelType w:val="hybridMultilevel"/>
    <w:lvl w:ilvl="0">
      <w:lvlJc w:val="left"/>
      <w:lvlText w:val="(%1)"/>
      <w:numFmt w:val="lowerLetter"/>
      <w:start w:val="15"/>
    </w:lvl>
  </w:abstractNum>
  <w:abstractNum w:abstractNumId="61">
    <w:nsid w:val="5F5E7FD0"/>
    <w:multiLevelType w:val="hybridMultilevel"/>
    <w:lvl w:ilvl="0">
      <w:lvlJc w:val="left"/>
      <w:lvlText w:val="%1."/>
      <w:numFmt w:val="upperLetter"/>
      <w:start w:val="2"/>
    </w:lvl>
  </w:abstractNum>
  <w:abstractNum w:abstractNumId="62">
    <w:nsid w:val="98A3148"/>
    <w:multiLevelType w:val="hybridMultilevel"/>
    <w:lvl w:ilvl="0">
      <w:lvlJc w:val="left"/>
      <w:lvlText w:val="%1."/>
      <w:numFmt w:val="decimal"/>
      <w:start w:val="2"/>
    </w:lvl>
    <w:lvl w:ilvl="1">
      <w:lvlJc w:val="left"/>
      <w:lvlText w:val="%2."/>
      <w:numFmt w:val="decimal"/>
      <w:start w:val="3"/>
    </w:lvl>
    <w:lvl w:ilvl="2">
      <w:lvlJc w:val="left"/>
      <w:lvlText w:val="%3."/>
      <w:numFmt w:val="decimal"/>
      <w:start w:val="4"/>
    </w:lvl>
  </w:abstractNum>
  <w:abstractNum w:abstractNumId="63">
    <w:nsid w:val="799D0247"/>
    <w:multiLevelType w:val="hybridMultilevel"/>
    <w:lvl w:ilvl="0">
      <w:lvlJc w:val="left"/>
      <w:lvlText w:val="%1."/>
      <w:numFmt w:val="upperLetter"/>
      <w:start w:val="24"/>
    </w:lvl>
  </w:abstractNum>
  <w:abstractNum w:abstractNumId="64">
    <w:nsid w:val="6B94764"/>
    <w:multiLevelType w:val="hybridMultilevel"/>
    <w:lvl w:ilvl="0">
      <w:lvlJc w:val="left"/>
      <w:lvlText w:val="%1."/>
      <w:numFmt w:val="decimal"/>
      <w:start w:val="1"/>
    </w:lvl>
    <w:lvl w:ilvl="1">
      <w:lvlJc w:val="left"/>
      <w:lvlText w:val="%2:"/>
      <w:numFmt w:val="upperLetter"/>
      <w:start w:val="1"/>
    </w:lvl>
  </w:abstractNum>
  <w:abstractNum w:abstractNumId="65">
    <w:nsid w:val="42C296BD"/>
    <w:multiLevelType w:val="hybridMultilevel"/>
    <w:lvl w:ilvl="0">
      <w:lvlJc w:val="left"/>
      <w:lvlText w:val="%1."/>
      <w:numFmt w:val="decimal"/>
      <w:start w:val="6"/>
    </w:lvl>
    <w:lvl w:ilvl="1">
      <w:lvlJc w:val="left"/>
      <w:lvlText w:val="%2:"/>
      <w:numFmt w:val="upperLetter"/>
      <w:start w:val="1"/>
    </w:lvl>
  </w:abstractNum>
  <w:abstractNum w:abstractNumId="66">
    <w:nsid w:val="168E121F"/>
    <w:multiLevelType w:val="hybridMultilevel"/>
    <w:lvl w:ilvl="0">
      <w:lvlJc w:val="left"/>
      <w:lvlText w:val="%1."/>
      <w:numFmt w:val="decimal"/>
      <w:start w:val="10"/>
    </w:lvl>
    <w:lvl w:ilvl="1">
      <w:lvlJc w:val="left"/>
      <w:lvlText w:val="%2:"/>
      <w:numFmt w:val="upperLetter"/>
      <w:start w:val="1"/>
    </w:lvl>
  </w:abstractNum>
  <w:abstractNum w:abstractNumId="67">
    <w:nsid w:val="1EBA5D23"/>
    <w:multiLevelType w:val="hybridMultilevel"/>
    <w:lvl w:ilvl="0">
      <w:lvlJc w:val="left"/>
      <w:lvlText w:val="%1."/>
      <w:numFmt w:val="decimal"/>
      <w:start w:val="15"/>
    </w:lvl>
    <w:lvl w:ilvl="1">
      <w:lvlJc w:val="left"/>
      <w:lvlText w:val="%2:"/>
      <w:numFmt w:val="upperLetter"/>
      <w:start w:val="1"/>
    </w:lvl>
  </w:abstractNum>
  <w:abstractNum w:abstractNumId="68">
    <w:nsid w:val="661E3F1E"/>
    <w:multiLevelType w:val="hybridMultilevel"/>
    <w:lvl w:ilvl="0">
      <w:lvlJc w:val="left"/>
      <w:lvlText w:val="%1."/>
      <w:numFmt w:val="decimal"/>
      <w:start w:val="16"/>
    </w:lvl>
    <w:lvl w:ilvl="1">
      <w:lvlJc w:val="left"/>
      <w:lvlText w:val="%2:"/>
      <w:numFmt w:val="upperLetter"/>
      <w:start w:val="1"/>
    </w:lvl>
  </w:abstractNum>
  <w:abstractNum w:abstractNumId="69">
    <w:nsid w:val="5DC79EA8"/>
    <w:multiLevelType w:val="hybridMultilevel"/>
    <w:lvl w:ilvl="0">
      <w:lvlJc w:val="left"/>
      <w:lvlText w:val="%1."/>
      <w:numFmt w:val="decimal"/>
      <w:start w:val="18"/>
    </w:lvl>
    <w:lvl w:ilvl="1">
      <w:lvlJc w:val="left"/>
      <w:lvlText w:val="%2:"/>
      <w:numFmt w:val="upperLetter"/>
      <w:start w:val="1"/>
    </w:lvl>
  </w:abstractNum>
  <w:abstractNum w:abstractNumId="70">
    <w:nsid w:val="540A471C"/>
    <w:multiLevelType w:val="hybridMultilevel"/>
    <w:lvl w:ilvl="0">
      <w:lvlJc w:val="left"/>
      <w:lvlText w:val="%1."/>
      <w:numFmt w:val="decimal"/>
      <w:start w:val="19"/>
    </w:lvl>
    <w:lvl w:ilvl="1">
      <w:lvlJc w:val="left"/>
      <w:lvlText w:val="%2:"/>
      <w:numFmt w:val="upperLetter"/>
      <w:start w:val="1"/>
    </w:lvl>
    <w:lvl w:ilvl="2">
      <w:lvlJc w:val="left"/>
      <w:lvlText w:val="%3:"/>
      <w:numFmt w:val="upperLetter"/>
      <w:start w:val="1"/>
    </w:lvl>
  </w:abstractNum>
  <w:abstractNum w:abstractNumId="71">
    <w:nsid w:val="7BD3EE7B"/>
    <w:multiLevelType w:val="hybridMultilevel"/>
    <w:lvl w:ilvl="0">
      <w:lvlJc w:val="left"/>
      <w:lvlText w:val="%1"/>
      <w:numFmt w:val="decimal"/>
      <w:start w:val="1"/>
    </w:lvl>
    <w:lvl w:ilvl="1">
      <w:lvlJc w:val="left"/>
      <w:lvlText w:val="%2:"/>
      <w:numFmt w:val="upperLetter"/>
      <w:start w:val="1"/>
    </w:lvl>
  </w:abstractNum>
  <w:abstractNum w:abstractNumId="72">
    <w:nsid w:val="51D9C564"/>
    <w:multiLevelType w:val="hybridMultilevel"/>
    <w:lvl w:ilvl="0">
      <w:lvlJc w:val="left"/>
      <w:lvlText w:val="%1."/>
      <w:numFmt w:val="decimal"/>
      <w:start w:val="24"/>
    </w:lvl>
    <w:lvl w:ilvl="1">
      <w:lvlJc w:val="left"/>
      <w:lvlText w:val="%2:"/>
      <w:numFmt w:val="upperLetter"/>
      <w:start w:val="1"/>
    </w:lvl>
  </w:abstractNum>
  <w:abstractNum w:abstractNumId="73">
    <w:nsid w:val="613EFDC5"/>
    <w:multiLevelType w:val="hybridMultilevel"/>
    <w:lvl w:ilvl="0">
      <w:lvlJc w:val="left"/>
      <w:lvlText w:val="%1."/>
      <w:numFmt w:val="decimal"/>
      <w:start w:val="27"/>
    </w:lvl>
    <w:lvl w:ilvl="1">
      <w:lvlJc w:val="left"/>
      <w:lvlText w:val="%2:"/>
      <w:numFmt w:val="upp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5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336" Type="http://schemas.openxmlformats.org/officeDocument/2006/relationships/hyperlink" Target="https://www.sec.gov/Archives/edgar/data/0001527753/000119312519180246/d750323dex31.htm" TargetMode="External"/><Relationship Id="rId337" Type="http://schemas.openxmlformats.org/officeDocument/2006/relationships/hyperlink" Target="https://www.sec.gov/Archives/edgar/data/1527753/000095017022020631/psnl-ex3_1.htm" TargetMode="External"/><Relationship Id="rId338" Type="http://schemas.openxmlformats.org/officeDocument/2006/relationships/hyperlink" Target="https://www.sec.gov/Archives/edgar/data/1527753/000156459021008848/psnl-ex41_300.htm" TargetMode="External"/><Relationship Id="rId339" Type="http://schemas.openxmlformats.org/officeDocument/2006/relationships/hyperlink" Target="https://www.sec.gov/Archives/edgar/data/0001527753/000119312519167583/d677649dex41.htm" TargetMode="External"/><Relationship Id="rId340" Type="http://schemas.openxmlformats.org/officeDocument/2006/relationships/hyperlink" Target="https://www.sec.gov/Archives/edgar/data/1527753/000119312524201697/d836724dex41.htm" TargetMode="External"/><Relationship Id="rId341" Type="http://schemas.openxmlformats.org/officeDocument/2006/relationships/hyperlink" Target="https://www.sec.gov/Archives/edgar/data/1527753/000119312524281696/d149682dex41.htm" TargetMode="External"/><Relationship Id="rId342" Type="http://schemas.openxmlformats.org/officeDocument/2006/relationships/hyperlink" Target="https://www.sec.gov/Archives/edgar/data/0001527753/000119312519155338/d677649dex101.htm" TargetMode="External"/><Relationship Id="rId343" Type="http://schemas.openxmlformats.org/officeDocument/2006/relationships/hyperlink" Target="https://www.sec.gov/Archives/edgar/data/0001527753/000119312519167583/d677649dex102.htm" TargetMode="External"/><Relationship Id="rId344" Type="http://schemas.openxmlformats.org/officeDocument/2006/relationships/hyperlink" Target="https://www.sec.gov/Archives/edgar/data/0001527753/000119312519167583/d677649dex103.htm" TargetMode="External"/><Relationship Id="rId345" Type="http://schemas.openxmlformats.org/officeDocument/2006/relationships/hyperlink" Target="https://www.sec.gov/Archives/edgar/data/1527753/000095017024022097/psnl-ex10_4.htm" TargetMode="External"/><Relationship Id="rId346" Type="http://schemas.openxmlformats.org/officeDocument/2006/relationships/hyperlink" Target="https://www.sec.gov/Archives/edgar/data/1527753/000095017024022097/psnl-ex10_5.htm" TargetMode="External"/><Relationship Id="rId347" Type="http://schemas.openxmlformats.org/officeDocument/2006/relationships/hyperlink" Target="https://www.sec.gov/Archives/edgar/data/1527753/000095017024022097/psnl-ex10_6.htm" TargetMode="External"/><Relationship Id="rId348" Type="http://schemas.openxmlformats.org/officeDocument/2006/relationships/hyperlink" Target="https://www.sec.gov/Archives/edgar/data/0001527753/000119312519167583/d677649dex104.htm" TargetMode="External"/><Relationship Id="rId349" Type="http://schemas.openxmlformats.org/officeDocument/2006/relationships/hyperlink" Target="https://www.sec.gov/Archives/edgar/data/1527753/000095017024055607/psnl-ex10_1.htm" TargetMode="External"/><Relationship Id="rId350" Type="http://schemas.openxmlformats.org/officeDocument/2006/relationships/hyperlink" Target="https://www.sec.gov/Archives/edgar/data/1527753/000119312523064524/d285289dex101.htm" TargetMode="External"/><Relationship Id="rId351" Type="http://schemas.openxmlformats.org/officeDocument/2006/relationships/hyperlink" Target="https://www.sec.gov/Archives/edgar/data/1527753/000119312523064524/d285289dex102.htm" TargetMode="External"/><Relationship Id="rId352" Type="http://schemas.openxmlformats.org/officeDocument/2006/relationships/hyperlink" Target="https://www.sec.gov/Archives/edgar/data/1527753/000119312523064524/d285289dex103.htm" TargetMode="External"/><Relationship Id="rId353" Type="http://schemas.openxmlformats.org/officeDocument/2006/relationships/hyperlink" Target="https://www.sec.gov/Archives/edgar/data/1527753/000095017024022097/psnl-ex10_12.htm" TargetMode="External"/><Relationship Id="rId354" Type="http://schemas.openxmlformats.org/officeDocument/2006/relationships/hyperlink" Target="https://www.sec.gov/Archives/edgar/data/1527753/000095017024022097/psnl-ex10_13.htm" TargetMode="External"/><Relationship Id="rId355" Type="http://schemas.openxmlformats.org/officeDocument/2006/relationships/hyperlink" Target="https://www.sec.gov/Archives/edgar/data/1527753/000095017024022097/psnl-ex10_14.htm" TargetMode="External"/><Relationship Id="rId356" Type="http://schemas.openxmlformats.org/officeDocument/2006/relationships/hyperlink" Target="https://www.sec.gov/Archives/edgar/data/1527753/000095017024022097/psnl-ex10_15.htm" TargetMode="External"/><Relationship Id="rId357" Type="http://schemas.openxmlformats.org/officeDocument/2006/relationships/hyperlink" Target="https://www.sec.gov/Archives/edgar/data/1527753/000095017023066458/psnl-ex10_1.htm" TargetMode="External"/><Relationship Id="rId359" Type="http://schemas.openxmlformats.org/officeDocument/2006/relationships/hyperlink" Target="https://www.sec.gov/Archives/edgar/data/1527753/000119312524201697/d836724dex101.htm" TargetMode="External"/><Relationship Id="rId360" Type="http://schemas.openxmlformats.org/officeDocument/2006/relationships/hyperlink" Target="https://www.sec.gov/Archives/edgar/data/1527753/000095017024122290/psnl-ex10_2.htm" TargetMode="External"/><Relationship Id="rId361" Type="http://schemas.openxmlformats.org/officeDocument/2006/relationships/hyperlink" Target="https://www.sec.gov/Archives/edgar/data/0001527753/000119312519155338/d677649dex109.htm" TargetMode="External"/><Relationship Id="rId362" Type="http://schemas.openxmlformats.org/officeDocument/2006/relationships/hyperlink" Target="https://www.sec.gov/Archives/edgar/data/1527753/000156459020037746/psnl-ex101_178.htm" TargetMode="External"/><Relationship Id="rId363" Type="http://schemas.openxmlformats.org/officeDocument/2006/relationships/hyperlink" Target="https://www.sec.gov/Archives/edgar/data/1527753/000156459021054262/psnl-ex101_67.htm" TargetMode="External"/><Relationship Id="rId364" Type="http://schemas.openxmlformats.org/officeDocument/2006/relationships/hyperlink" Target="https://www.sec.gov/Archives/edgar/data/1527753/000156459022006722/psnl-ex1016_256.htm" TargetMode="External"/><Relationship Id="rId365" Type="http://schemas.openxmlformats.org/officeDocument/2006/relationships/hyperlink" Target="https://www.sec.gov/Archives/edgar/data/1527753/000156459022027773/psnl-ex101_102.htm" TargetMode="External"/><Relationship Id="rId366" Type="http://schemas.openxmlformats.org/officeDocument/2006/relationships/hyperlink" Target="https://www.sec.gov/Archives/edgar/data/1527753/000095017023004139/psnl-ex10_19.htm" TargetMode="External"/><Relationship Id="rId367" Type="http://schemas.openxmlformats.org/officeDocument/2006/relationships/hyperlink" Target="https://www.sec.gov/Archives/edgar/data/1527753/000095017022021272/psnl-ex10_1.htm" TargetMode="External"/><Relationship Id="rId368" Type="http://schemas.openxmlformats.org/officeDocument/2006/relationships/hyperlink" Target="https://www.sec.gov/ix?doc=/Archives/edgar/data/1527753/000095017024022097/psnl-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2025-02-27T17:42:48Z</dcterms:created>
  <dcterms:modified xsi:type="dcterms:W3CDTF">2025-02-27T17:42:48Z</dcterms:modified>
</cp:coreProperties>
</file>