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snl-20240331.htm"/>
      <w:bookmarkStart w:id="1" w:name="kspsnl20240331"/>
      <w:bookmarkEnd w:id="0"/>
      <w:bookmarkEnd w:id="1"/>
      <w:r>
        <w:rPr/>
        <w:t> </w:t>
      </w:r>
      <w:r>
        <mc:AlternateContent>
          <mc:Choice Requires="wps">
            <w:drawing>
              <wp:anchor behindDoc="0" distT="0" distB="0" distL="0" distR="0" simplePos="0" locked="0" layoutInCell="1" allowOverlap="1" relativeHeight="4">
                <wp:simplePos x="0" y="0"/>
                <wp:positionH relativeFrom="page">
                  <wp:posOffset>3813175</wp:posOffset>
                </wp:positionH>
                <wp:positionV relativeFrom="page">
                  <wp:posOffset>9244330</wp:posOffset>
                </wp:positionV>
                <wp:extent cx="165100" cy="194310"/>
                <wp:effectExtent l="0" t="0" r="0" b="0"/>
                <wp:wrapNone/>
                <wp:docPr id="1" name="Frame2"/>
                <a:graphic xmlns:a="http://schemas.openxmlformats.org/drawingml/2006/main">
                  <a:graphicData uri="http://schemas.microsoft.com/office/word/2010/wordprocessingShape">
                    <wps:wsp>
                      <wps:cNvSpPr txBox="1"/>
                      <wps:spPr>
                        <a:xfrm>
                          <a:off x="0" y="0"/>
                          <a:ext cx="165100" cy="194310"/>
                        </a:xfrm>
                        <a:prstGeom prst="rect"/>
                        <a:solidFill>
                          <a:srgbClr val="FFFFFF"/>
                        </a:solidFill>
                      </wps:spPr>
                      <wps:txbx>
                        <w:txbxContent>
                          <w:p>
                            <w:pPr>
                              <w:pStyle w:val="TextBody"/>
                              <w:bidi w:val="0"/>
                              <w:spacing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pt;height:15.3pt;mso-wrap-distance-left:0pt;mso-wrap-distance-right:0pt;mso-wrap-distance-top:0pt;mso-wrap-distance-bottom:0pt;margin-top:727.9pt;mso-position-vertical-relative:page;margin-left:300.25pt;mso-position-horizontal-relative:page">
                <v:textbox>
                  <w:txbxContent>
                    <w:p>
                      <w:pPr>
                        <w:pStyle w:val="TextBody"/>
                        <w:bidi w:val="0"/>
                        <w:spacing w:before="10" w:after="283"/>
                        <w:ind w:left="60" w:right="0" w:hanging="0"/>
                        <w:jc w:val="left"/>
                        <w:rPr/>
                      </w:pPr>
                      <w:r>
                        <w:rPr/>
                        <w:t>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3813175</wp:posOffset>
                </wp:positionH>
                <wp:positionV relativeFrom="page">
                  <wp:posOffset>9244330</wp:posOffset>
                </wp:positionV>
                <wp:extent cx="165100" cy="194310"/>
                <wp:effectExtent l="0" t="0" r="0" b="0"/>
                <wp:wrapNone/>
                <wp:docPr id="2" name="Frame1"/>
                <a:graphic xmlns:a="http://schemas.openxmlformats.org/drawingml/2006/main">
                  <a:graphicData uri="http://schemas.microsoft.com/office/word/2010/wordprocessingShape">
                    <wps:wsp>
                      <wps:cNvSpPr txBox="1"/>
                      <wps:spPr>
                        <a:xfrm>
                          <a:off x="0" y="0"/>
                          <a:ext cx="165100" cy="194310"/>
                        </a:xfrm>
                        <a:prstGeom prst="rect"/>
                        <a:solidFill>
                          <a:srgbClr val="FFFFFF"/>
                        </a:solidFill>
                      </wps:spPr>
                      <wps:txbx>
                        <w:txbxContent>
                          <w:p>
                            <w:pPr>
                              <w:pStyle w:val="TextBody"/>
                              <w:bidi w:val="0"/>
                              <w:spacing w:before="10" w:after="283"/>
                              <w:ind w:left="60" w:right="0" w:hanging="0"/>
                              <w:jc w:val="left"/>
                              <w:rPr/>
                            </w:pPr>
                            <w:r>
                              <w:rPr/>
                              <w:t> </w:t>
                            </w:r>
                          </w:p>
                        </w:txbxContent>
                      </wps:txbx>
                      <wps:bodyPr anchor="t" lIns="0" tIns="0" rIns="0" bIns="0">
                        <a:noAutofit/>
                      </wps:bodyPr>
                    </wps:wsp>
                  </a:graphicData>
                </a:graphic>
              </wp:anchor>
            </w:drawing>
          </mc:Choice>
          <mc:Fallback>
            <w:pict>
              <v:rect style="position:absolute;rotation:-0;width:13pt;height:15.3pt;mso-wrap-distance-left:0pt;mso-wrap-distance-right:0pt;mso-wrap-distance-top:0pt;mso-wrap-distance-bottom:0pt;margin-top:727.9pt;mso-position-vertical-relative:page;margin-left:300.25pt;mso-position-horizontal-relative:page">
                <v:textbox>
                  <w:txbxContent>
                    <w:p>
                      <w:pPr>
                        <w:pStyle w:val="TextBody"/>
                        <w:bidi w:val="0"/>
                        <w:spacing w:before="10" w:after="283"/>
                        <w:ind w:left="60" w:right="0" w:hanging="0"/>
                        <w:jc w:val="left"/>
                        <w:rPr/>
                      </w:pPr>
                      <w:r>
                        <w:rPr/>
                        <w:t> </w:t>
                      </w:r>
                    </w:p>
                  </w:txbxContent>
                </v:textbox>
                <w10:wrap type="none"/>
              </v:rect>
            </w:pict>
          </mc:Fallback>
        </mc:AlternateContent>
      </w:r>
    </w:p>
    <w:p>
      <w:pPr>
        <w:pStyle w:val="TextBody"/>
        <w:pBdr>
          <w:top w:val="double" w:sz="4" w:space="1" w:color="000000"/>
        </w:pBdr>
        <w:bidi w:val="0"/>
        <w:spacing w:before="120" w:after="283"/>
        <w:jc w:val="left"/>
        <w:rPr/>
      </w:pPr>
      <w:r>
        <w:rPr/>
        <w:t> </w:t>
      </w:r>
    </w:p>
    <w:p>
      <w:pPr>
        <w:pStyle w:val="TextBody"/>
        <w:bidi w:val="0"/>
        <w:spacing w:before="40" w:after="283"/>
        <w:jc w:val="center"/>
        <w:rPr>
          <w:rFonts w:ascii="Arial" w:hAnsi="Arial"/>
          <w:b/>
          <w:color w:val="000000"/>
          <w:sz w:val="28"/>
        </w:rPr>
      </w:pPr>
      <w:r>
        <w:rPr>
          <w:rFonts w:ascii="Arial" w:hAnsi="Arial"/>
          <w:b/>
          <w:color w:val="000000"/>
          <w:sz w:val="28"/>
        </w:rPr>
        <w:t>UNITED STATES</w:t>
      </w:r>
    </w:p>
    <w:p>
      <w:pPr>
        <w:pStyle w:val="TextBody"/>
        <w:bidi w:val="0"/>
        <w:jc w:val="center"/>
        <w:rPr>
          <w:rFonts w:ascii="Arial" w:hAnsi="Arial"/>
          <w:b/>
          <w:color w:val="000000"/>
          <w:sz w:val="28"/>
        </w:rPr>
      </w:pPr>
      <w:r>
        <w:rPr>
          <w:rFonts w:ascii="Arial" w:hAnsi="Arial"/>
          <w:b/>
          <w:color w:val="000000"/>
          <w:sz w:val="28"/>
        </w:rPr>
        <w:t>SECURITIES AND EXCHANGE COMMISSION</w:t>
      </w:r>
    </w:p>
    <w:p>
      <w:pPr>
        <w:pStyle w:val="TextBody"/>
        <w:bidi w:val="0"/>
        <w:jc w:val="center"/>
        <w:rPr>
          <w:rFonts w:ascii="Arial" w:hAnsi="Arial"/>
          <w:b/>
          <w:color w:val="000000"/>
          <w:sz w:val="18"/>
        </w:rPr>
      </w:pPr>
      <w:r>
        <w:rPr>
          <w:rFonts w:ascii="Arial" w:hAnsi="Arial"/>
          <w:b/>
          <w:color w:val="000000"/>
          <w:sz w:val="18"/>
        </w:rPr>
        <w:t>WASHINGTON, DC 20549</w:t>
      </w:r>
    </w:p>
    <w:p>
      <w:pPr>
        <w:pStyle w:val="TextBody"/>
        <w:pBdr>
          <w:bottom w:val="single" w:sz="4" w:space="1" w:color="000000"/>
        </w:pBdr>
        <w:bidi w:val="0"/>
        <w:jc w:val="left"/>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left"/>
        <w:rPr/>
      </w:pPr>
      <w:r>
        <w:rPr/>
        <w:t> </w:t>
      </w:r>
    </w:p>
    <w:p>
      <w:pPr>
        <w:pStyle w:val="TextBody"/>
        <w:bidi w:val="0"/>
        <w:jc w:val="left"/>
        <w:rPr/>
      </w:pPr>
      <w:r>
        <w:rPr/>
        <w:t> </w:t>
      </w:r>
    </w:p>
    <w:p>
      <w:pPr>
        <w:pStyle w:val="TextBody"/>
        <w:bidi w:val="0"/>
        <w:jc w:val="left"/>
        <w:rPr/>
      </w:pPr>
      <w:r>
        <w:rPr>
          <w:color w:val="000000"/>
        </w:rPr>
        <w:t xml:space="preserve">☒ </w:t>
      </w:r>
      <w:r>
        <w:rPr>
          <w:rFonts w:ascii="Arial" w:hAnsi="Arial"/>
          <w:b/>
          <w:color w:val="000000"/>
          <w:sz w:val="18"/>
        </w:rPr>
        <w:t>QUARTERLY REPORT PURSUANT TO SECTION 13 OR 15(d) OF THE SECURITIES EXCHANGE ACT OF 1934</w:t>
      </w:r>
    </w:p>
    <w:p>
      <w:pPr>
        <w:pStyle w:val="TextBody"/>
        <w:bidi w:val="0"/>
        <w:spacing w:before="120" w:after="283"/>
        <w:jc w:val="center"/>
        <w:rPr>
          <w:rFonts w:ascii="Arial" w:hAnsi="Arial"/>
          <w:b/>
          <w:color w:val="000000"/>
          <w:sz w:val="18"/>
        </w:rPr>
      </w:pPr>
      <w:r>
        <w:rPr>
          <w:rFonts w:ascii="Arial" w:hAnsi="Arial"/>
          <w:b/>
          <w:color w:val="000000"/>
          <w:sz w:val="18"/>
        </w:rPr>
        <w:t>For the quarterly period ended March 31, 2024</w:t>
      </w:r>
    </w:p>
    <w:p>
      <w:pPr>
        <w:pStyle w:val="TextBody"/>
        <w:bidi w:val="0"/>
        <w:spacing w:before="120" w:after="283"/>
        <w:jc w:val="center"/>
        <w:rPr>
          <w:rFonts w:ascii="Arial" w:hAnsi="Arial"/>
          <w:b/>
          <w:color w:val="000000"/>
          <w:sz w:val="18"/>
        </w:rPr>
      </w:pPr>
      <w:r>
        <w:rPr>
          <w:rFonts w:ascii="Arial" w:hAnsi="Arial"/>
          <w:b/>
          <w:color w:val="000000"/>
          <w:sz w:val="18"/>
        </w:rPr>
        <w:t>OR</w:t>
      </w:r>
    </w:p>
    <w:p>
      <w:pPr>
        <w:pStyle w:val="TextBody"/>
        <w:bidi w:val="0"/>
        <w:spacing w:before="120" w:after="283"/>
        <w:jc w:val="left"/>
        <w:rPr/>
      </w:pPr>
      <w:r>
        <w:rPr>
          <w:color w:val="000000"/>
        </w:rPr>
        <w:t xml:space="preserve">☐ </w:t>
      </w:r>
      <w:r>
        <w:rPr>
          <w:rFonts w:ascii="Arial" w:hAnsi="Arial"/>
          <w:b/>
          <w:color w:val="000000"/>
          <w:sz w:val="18"/>
        </w:rPr>
        <w:t>TRANSITION REPORT PURSUANT TO SECTION 13 OR 15(d) OF THE SECURITIES EXCHANGE ACT OF 1934</w:t>
      </w:r>
    </w:p>
    <w:p>
      <w:pPr>
        <w:pStyle w:val="TextBody"/>
        <w:bidi w:val="0"/>
        <w:spacing w:before="120" w:after="283"/>
        <w:jc w:val="center"/>
        <w:rPr>
          <w:rFonts w:ascii="Arial" w:hAnsi="Arial"/>
          <w:b/>
          <w:color w:val="000000"/>
          <w:sz w:val="18"/>
        </w:rPr>
      </w:pPr>
      <w:r>
        <w:rPr>
          <w:rFonts w:ascii="Arial" w:hAnsi="Arial"/>
          <w:b/>
          <w:color w:val="000000"/>
          <w:sz w:val="18"/>
        </w:rPr>
        <w:t>For the transition period from ________ to ________</w:t>
      </w:r>
    </w:p>
    <w:p>
      <w:pPr>
        <w:pStyle w:val="TextBody"/>
        <w:bidi w:val="0"/>
        <w:spacing w:before="120" w:after="283"/>
        <w:jc w:val="center"/>
        <w:rPr>
          <w:rFonts w:ascii="Arial" w:hAnsi="Arial"/>
          <w:b/>
          <w:color w:val="000000"/>
          <w:sz w:val="18"/>
        </w:rPr>
      </w:pPr>
      <w:r>
        <w:rPr>
          <w:rFonts w:ascii="Arial" w:hAnsi="Arial"/>
          <w:b/>
          <w:color w:val="000000"/>
          <w:sz w:val="18"/>
        </w:rPr>
        <w:t>Commission File Number: 001-38943</w:t>
      </w:r>
    </w:p>
    <w:p>
      <w:pPr>
        <w:pStyle w:val="TextBody"/>
        <w:pBdr>
          <w:bottom w:val="single" w:sz="4" w:space="1" w:color="000000"/>
        </w:pBdr>
        <w:bidi w:val="0"/>
        <w:jc w:val="center"/>
        <w:rPr/>
      </w:pPr>
      <w:r>
        <w:rPr/>
        <w:t> </w:t>
      </w:r>
    </w:p>
    <w:p>
      <w:pPr>
        <w:pStyle w:val="TextBody"/>
        <w:bidi w:val="0"/>
        <w:spacing w:before="120" w:after="283"/>
        <w:jc w:val="center"/>
        <w:rPr/>
      </w:pPr>
      <w:r>
        <w:rPr/>
        <w:drawing>
          <wp:inline distT="0" distB="0" distL="0" distR="0">
            <wp:extent cx="2676525" cy="6381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2676525" cy="638175"/>
                    </a:xfrm>
                    <a:prstGeom prst="rect">
                      <a:avLst/>
                    </a:prstGeom>
                  </pic:spPr>
                </pic:pic>
              </a:graphicData>
            </a:graphic>
          </wp:inline>
        </w:drawing>
      </w:r>
      <w:r>
        <w:rPr/>
        <w:t> </w:t>
      </w:r>
    </w:p>
    <w:p>
      <w:pPr>
        <w:pStyle w:val="TextBody"/>
        <w:bidi w:val="0"/>
        <w:spacing w:before="40" w:after="283"/>
        <w:jc w:val="center"/>
        <w:rPr>
          <w:rFonts w:ascii="Arial" w:hAnsi="Arial"/>
          <w:b/>
          <w:color w:val="000000"/>
          <w:sz w:val="44"/>
        </w:rPr>
      </w:pPr>
      <w:r>
        <w:rPr>
          <w:rFonts w:ascii="Arial" w:hAnsi="Arial"/>
          <w:b/>
          <w:color w:val="000000"/>
          <w:sz w:val="44"/>
        </w:rPr>
        <w:t>Personalis, Inc.</w:t>
      </w:r>
    </w:p>
    <w:p>
      <w:pPr>
        <w:pStyle w:val="TextBody"/>
        <w:bidi w:val="0"/>
        <w:jc w:val="center"/>
        <w:rPr>
          <w:rFonts w:ascii="Arial" w:hAnsi="Arial"/>
          <w:color w:val="000000"/>
          <w:sz w:val="16"/>
        </w:rPr>
      </w:pPr>
      <w:r>
        <w:rPr>
          <w:rFonts w:ascii="Arial" w:hAnsi="Arial"/>
          <w:color w:val="000000"/>
          <w:sz w:val="16"/>
        </w:rPr>
        <w:t>(Exact Name of registrant as specified in its charter)</w:t>
      </w:r>
    </w:p>
    <w:p>
      <w:pPr>
        <w:pStyle w:val="TextBody"/>
        <w:pBdr>
          <w:bottom w:val="single" w:sz="4" w:space="3" w:color="000000"/>
        </w:pBdr>
        <w:bidi w:val="0"/>
        <w:jc w:val="center"/>
        <w:rPr/>
      </w:pPr>
      <w:r>
        <w:rPr/>
        <w:t> </w:t>
      </w:r>
    </w:p>
    <w:p>
      <w:pPr>
        <w:pStyle w:val="TextBody"/>
        <w:bidi w:val="0"/>
        <w:jc w:val="left"/>
        <w:rPr/>
      </w:pPr>
      <w:r>
        <w:rPr/>
        <w:t> </w:t>
      </w:r>
    </w:p>
    <w:tbl>
      <w:tblPr>
        <w:tblW w:w="4367" w:type="dxa"/>
        <w:jc w:val="left"/>
        <w:tblInd w:w="0" w:type="dxa"/>
        <w:tblLayout w:type="fixed"/>
        <w:tblCellMar>
          <w:top w:w="28" w:type="dxa"/>
          <w:left w:w="28" w:type="dxa"/>
          <w:bottom w:w="28" w:type="dxa"/>
          <w:right w:w="28" w:type="dxa"/>
        </w:tblCellMar>
      </w:tblPr>
      <w:tblGrid>
        <w:gridCol w:w="2956"/>
        <w:gridCol w:w="1411"/>
      </w:tblGrid>
      <w:tr>
        <w:trPr/>
        <w:tc>
          <w:tcPr>
            <w:tcW w:w="29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956"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411"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27-5411038</w:t>
            </w:r>
          </w:p>
        </w:tc>
      </w:tr>
      <w:tr>
        <w:trPr/>
        <w:tc>
          <w:tcPr>
            <w:tcW w:w="2956" w:type="dxa"/>
            <w:tcBorders/>
            <w:vAlign w:val="center"/>
          </w:tcPr>
          <w:p>
            <w:pPr>
              <w:pStyle w:val="TableContents"/>
              <w:bidi w:val="0"/>
              <w:jc w:val="center"/>
              <w:rPr>
                <w:rFonts w:ascii="Arial" w:hAnsi="Arial"/>
                <w:color w:val="000000"/>
                <w:sz w:val="16"/>
              </w:rPr>
            </w:pPr>
            <w:r>
              <w:rPr>
                <w:rFonts w:ascii="Arial" w:hAnsi="Arial"/>
                <w:color w:val="000000"/>
                <w:sz w:val="16"/>
              </w:rPr>
              <w:t>(State or other jurisdiction of</w:t>
            </w:r>
          </w:p>
          <w:p>
            <w:pPr>
              <w:pStyle w:val="TableContents"/>
              <w:bidi w:val="0"/>
              <w:spacing w:before="0" w:after="283"/>
              <w:jc w:val="center"/>
              <w:rPr>
                <w:rFonts w:ascii="Arial" w:hAnsi="Arial"/>
                <w:color w:val="000000"/>
                <w:sz w:val="16"/>
              </w:rPr>
            </w:pPr>
            <w:r>
              <w:rPr>
                <w:rFonts w:ascii="Arial" w:hAnsi="Arial"/>
                <w:color w:val="000000"/>
                <w:sz w:val="16"/>
              </w:rPr>
              <w:t>incorporation or organization)</w:t>
            </w:r>
          </w:p>
        </w:tc>
        <w:tc>
          <w:tcPr>
            <w:tcW w:w="1411" w:type="dxa"/>
            <w:tcBorders/>
            <w:vAlign w:val="center"/>
          </w:tcPr>
          <w:p>
            <w:pPr>
              <w:pStyle w:val="TableContents"/>
              <w:bidi w:val="0"/>
              <w:jc w:val="center"/>
              <w:rPr>
                <w:rFonts w:ascii="Arial" w:hAnsi="Arial"/>
                <w:color w:val="000000"/>
                <w:sz w:val="16"/>
              </w:rPr>
            </w:pPr>
            <w:r>
              <w:rPr>
                <w:rFonts w:ascii="Arial" w:hAnsi="Arial"/>
                <w:color w:val="000000"/>
                <w:sz w:val="16"/>
              </w:rPr>
              <w:t>(I.R.S. Employer</w:t>
            </w:r>
          </w:p>
          <w:p>
            <w:pPr>
              <w:pStyle w:val="TableContents"/>
              <w:bidi w:val="0"/>
              <w:spacing w:before="0" w:after="283"/>
              <w:jc w:val="center"/>
              <w:rPr>
                <w:rFonts w:ascii="Arial" w:hAnsi="Arial"/>
                <w:color w:val="000000"/>
                <w:sz w:val="16"/>
              </w:rPr>
            </w:pPr>
            <w:r>
              <w:rPr>
                <w:rFonts w:ascii="Arial" w:hAnsi="Arial"/>
                <w:color w:val="000000"/>
                <w:sz w:val="16"/>
              </w:rPr>
              <w:t>Identification No.)</w:t>
            </w:r>
          </w:p>
        </w:tc>
      </w:tr>
      <w:tr>
        <w:trPr/>
        <w:tc>
          <w:tcPr>
            <w:tcW w:w="2956" w:type="dxa"/>
            <w:tcBorders/>
            <w:vAlign w:val="center"/>
          </w:tcPr>
          <w:p>
            <w:pPr>
              <w:pStyle w:val="TableContents"/>
              <w:bidi w:val="0"/>
              <w:spacing w:before="0" w:after="283"/>
              <w:jc w:val="center"/>
              <w:rPr/>
            </w:pPr>
            <w:r>
              <w:rPr/>
              <w:t> </w:t>
            </w:r>
          </w:p>
        </w:tc>
        <w:tc>
          <w:tcPr>
            <w:tcW w:w="1411" w:type="dxa"/>
            <w:tcBorders/>
            <w:vAlign w:val="center"/>
          </w:tcPr>
          <w:p>
            <w:pPr>
              <w:pStyle w:val="TableContents"/>
              <w:bidi w:val="0"/>
              <w:spacing w:before="0" w:after="283"/>
              <w:jc w:val="center"/>
              <w:rPr/>
            </w:pPr>
            <w:r>
              <w:rPr/>
              <w:t> </w:t>
            </w:r>
          </w:p>
        </w:tc>
      </w:tr>
      <w:tr>
        <w:trPr/>
        <w:tc>
          <w:tcPr>
            <w:tcW w:w="2956" w:type="dxa"/>
            <w:tcBorders/>
            <w:vAlign w:val="center"/>
          </w:tcPr>
          <w:p>
            <w:pPr>
              <w:pStyle w:val="TableContents"/>
              <w:bidi w:val="0"/>
              <w:jc w:val="center"/>
              <w:rPr>
                <w:rFonts w:ascii="Arial" w:hAnsi="Arial"/>
                <w:b/>
                <w:color w:val="000000"/>
                <w:sz w:val="18"/>
              </w:rPr>
            </w:pPr>
            <w:r>
              <w:rPr>
                <w:rFonts w:ascii="Arial" w:hAnsi="Arial"/>
                <w:b/>
                <w:color w:val="000000"/>
                <w:sz w:val="18"/>
              </w:rPr>
              <w:t>6600 Dumbarton Circle</w:t>
            </w:r>
          </w:p>
          <w:p>
            <w:pPr>
              <w:pStyle w:val="TableContents"/>
              <w:bidi w:val="0"/>
              <w:spacing w:before="0" w:after="283"/>
              <w:jc w:val="center"/>
              <w:rPr>
                <w:rFonts w:ascii="Arial" w:hAnsi="Arial"/>
                <w:b/>
                <w:color w:val="000000"/>
                <w:sz w:val="18"/>
              </w:rPr>
            </w:pPr>
            <w:r>
              <w:rPr>
                <w:rFonts w:ascii="Arial" w:hAnsi="Arial"/>
                <w:b/>
                <w:color w:val="000000"/>
                <w:sz w:val="18"/>
              </w:rPr>
              <w:t>Fremont, California</w:t>
            </w:r>
          </w:p>
        </w:tc>
        <w:tc>
          <w:tcPr>
            <w:tcW w:w="1411" w:type="dxa"/>
            <w:tcBorders/>
            <w:vAlign w:val="center"/>
          </w:tcPr>
          <w:p>
            <w:pPr>
              <w:pStyle w:val="TableContents"/>
              <w:bidi w:val="0"/>
              <w:spacing w:before="0" w:after="283"/>
              <w:jc w:val="center"/>
              <w:rPr>
                <w:rFonts w:ascii="Arial" w:hAnsi="Arial"/>
                <w:b/>
                <w:color w:val="000000"/>
                <w:sz w:val="18"/>
              </w:rPr>
            </w:pPr>
            <w:r>
              <w:rPr>
                <w:rFonts w:ascii="Arial" w:hAnsi="Arial"/>
                <w:b/>
                <w:color w:val="000000"/>
                <w:sz w:val="18"/>
              </w:rPr>
              <w:t>94555</w:t>
            </w:r>
          </w:p>
        </w:tc>
      </w:tr>
      <w:tr>
        <w:trPr/>
        <w:tc>
          <w:tcPr>
            <w:tcW w:w="2956"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(Address of principal executive offices)</w:t>
            </w:r>
          </w:p>
        </w:tc>
        <w:tc>
          <w:tcPr>
            <w:tcW w:w="1411" w:type="dxa"/>
            <w:tcBorders/>
            <w:vAlign w:val="center"/>
          </w:tcPr>
          <w:p>
            <w:pPr>
              <w:pStyle w:val="TableContents"/>
              <w:bidi w:val="0"/>
              <w:spacing w:before="0" w:after="283"/>
              <w:jc w:val="center"/>
              <w:rPr>
                <w:rFonts w:ascii="Arial" w:hAnsi="Arial"/>
                <w:color w:val="000000"/>
                <w:sz w:val="16"/>
              </w:rPr>
            </w:pPr>
            <w:r>
              <w:rPr>
                <w:rFonts w:ascii="Arial" w:hAnsi="Arial"/>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16"/>
        </w:rPr>
        <w:t>Registrant’s telephone number, including area code:</w:t>
      </w:r>
      <w:r>
        <w:rPr>
          <w:rFonts w:ascii="Times New Roman" w:hAnsi="Times New Roman"/>
          <w:color w:val="000000"/>
          <w:sz w:val="20"/>
        </w:rPr>
        <w:t xml:space="preserve"> </w:t>
      </w:r>
      <w:r>
        <w:rPr>
          <w:rFonts w:ascii="Arial" w:hAnsi="Arial"/>
          <w:b/>
          <w:color w:val="000000"/>
          <w:sz w:val="18"/>
        </w:rPr>
        <w:t>(650) 752-1300</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Arial" w:hAnsi="Arial"/>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155" w:type="dxa"/>
        <w:jc w:val="left"/>
        <w:tblInd w:w="0" w:type="dxa"/>
        <w:tblLayout w:type="fixed"/>
        <w:tblCellMar>
          <w:top w:w="28" w:type="dxa"/>
          <w:left w:w="28" w:type="dxa"/>
          <w:bottom w:w="28" w:type="dxa"/>
          <w:right w:w="28" w:type="dxa"/>
        </w:tblCellMar>
      </w:tblPr>
      <w:tblGrid>
        <w:gridCol w:w="2941"/>
        <w:gridCol w:w="146"/>
        <w:gridCol w:w="976"/>
        <w:gridCol w:w="146"/>
        <w:gridCol w:w="3946"/>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29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Trading</w:t>
            </w:r>
          </w:p>
          <w:p>
            <w:pPr>
              <w:pStyle w:val="TableContents"/>
              <w:bidi w:val="0"/>
              <w:spacing w:before="0" w:after="283"/>
              <w:jc w:val="center"/>
              <w:rPr>
                <w:rFonts w:ascii="Arial" w:hAnsi="Arial"/>
                <w:b/>
                <w:color w:val="000000"/>
                <w:sz w:val="18"/>
              </w:rPr>
            </w:pPr>
            <w:r>
              <w:rPr>
                <w:rFonts w:ascii="Arial" w:hAnsi="Arial"/>
                <w:b/>
                <w:color w:val="000000"/>
                <w:sz w:val="18"/>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Name of each exchange on which registered</w:t>
            </w:r>
          </w:p>
        </w:tc>
      </w:tr>
      <w:tr>
        <w:trPr/>
        <w:tc>
          <w:tcPr>
            <w:tcW w:w="2941"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Common Stock, par value $0.0001</w:t>
            </w:r>
          </w:p>
        </w:tc>
        <w:tc>
          <w:tcPr>
            <w:tcW w:w="146" w:type="dxa"/>
            <w:tcBorders/>
            <w:vAlign w:val="center"/>
          </w:tcPr>
          <w:p>
            <w:pPr>
              <w:pStyle w:val="TableContents"/>
              <w:bidi w:val="0"/>
              <w:spacing w:before="0" w:after="283"/>
              <w:jc w:val="center"/>
              <w:rPr/>
            </w:pPr>
            <w:r>
              <w:rPr/>
              <w:t> </w:t>
            </w:r>
          </w:p>
        </w:tc>
        <w:tc>
          <w:tcPr>
            <w:tcW w:w="97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PSNL</w:t>
            </w:r>
          </w:p>
        </w:tc>
        <w:tc>
          <w:tcPr>
            <w:tcW w:w="146" w:type="dxa"/>
            <w:tcBorders/>
            <w:vAlign w:val="center"/>
          </w:tcPr>
          <w:p>
            <w:pPr>
              <w:pStyle w:val="TableContents"/>
              <w:bidi w:val="0"/>
              <w:spacing w:before="0" w:after="283"/>
              <w:jc w:val="center"/>
              <w:rPr/>
            </w:pPr>
            <w:r>
              <w:rPr/>
              <w:t> </w:t>
            </w:r>
          </w:p>
        </w:tc>
        <w:tc>
          <w:tcPr>
            <w:tcW w:w="3946" w:type="dxa"/>
            <w:tcBorders/>
            <w:vAlign w:val="center"/>
          </w:tcPr>
          <w:p>
            <w:pPr>
              <w:pStyle w:val="TableContents"/>
              <w:bidi w:val="0"/>
              <w:spacing w:before="0" w:after="283"/>
              <w:jc w:val="center"/>
              <w:rPr>
                <w:rFonts w:ascii="Arial" w:hAnsi="Arial"/>
                <w:color w:val="000000"/>
                <w:sz w:val="18"/>
              </w:rPr>
            </w:pPr>
            <w:r>
              <w:rPr>
                <w:rFonts w:ascii="Arial" w:hAnsi="Arial"/>
                <w:color w:val="000000"/>
                <w:sz w:val="18"/>
              </w:rPr>
              <w:t>The Nasdaq Global Market</w:t>
            </w:r>
          </w:p>
        </w:tc>
      </w:tr>
    </w:tbl>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No ☐</w:t>
      </w:r>
    </w:p>
    <w:p>
      <w:pPr>
        <w:pStyle w:val="TextBody"/>
        <w:bidi w:val="0"/>
        <w:spacing w:before="120" w:after="283"/>
        <w:jc w:val="left"/>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No ☐</w:t>
      </w:r>
    </w:p>
    <w:p>
      <w:pPr>
        <w:pStyle w:val="TextBody"/>
        <w:bidi w:val="0"/>
        <w:spacing w:before="120" w:after="120"/>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555"/>
        <w:gridCol w:w="146"/>
        <w:gridCol w:w="316"/>
        <w:gridCol w:w="1203"/>
        <w:gridCol w:w="146"/>
        <w:gridCol w:w="316"/>
        <w:gridCol w:w="1548"/>
        <w:gridCol w:w="146"/>
        <w:gridCol w:w="316"/>
        <w:gridCol w:w="1746"/>
        <w:gridCol w:w="146"/>
        <w:gridCol w:w="361"/>
        <w:gridCol w:w="1750"/>
        <w:gridCol w:w="146"/>
        <w:gridCol w:w="364"/>
      </w:tblGrid>
      <w:tr>
        <w:trPr/>
        <w:tc>
          <w:tcPr>
            <w:tcW w:w="15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555"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Large 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203"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548"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Non-accelerated filer</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746"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Smaller reporting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 xml:space="preserve">☒ </w:t>
            </w:r>
          </w:p>
        </w:tc>
        <w:tc>
          <w:tcPr>
            <w:tcW w:w="1750" w:type="dxa"/>
            <w:tcBorders/>
            <w:vAlign w:val="center"/>
          </w:tcPr>
          <w:p>
            <w:pPr>
              <w:pStyle w:val="TableContents"/>
              <w:bidi w:val="0"/>
              <w:spacing w:before="0" w:after="283"/>
              <w:jc w:val="left"/>
              <w:rPr>
                <w:rFonts w:ascii="Arial" w:hAnsi="Arial"/>
                <w:color w:val="000000"/>
                <w:sz w:val="16"/>
              </w:rPr>
            </w:pPr>
            <w:r>
              <w:rPr>
                <w:rFonts w:ascii="Arial" w:hAnsi="Arial"/>
                <w:color w:val="000000"/>
                <w:sz w:val="16"/>
              </w:rPr>
              <w:t>Emerging growth company</w:t>
            </w:r>
          </w:p>
        </w:tc>
        <w:tc>
          <w:tcPr>
            <w:tcW w:w="146" w:type="dxa"/>
            <w:tcBorders/>
            <w:vAlign w:val="center"/>
          </w:tcPr>
          <w:p>
            <w:pPr>
              <w:pStyle w:val="TableContents"/>
              <w:bidi w:val="0"/>
              <w:spacing w:before="0" w:after="283"/>
              <w:jc w:val="left"/>
              <w:rPr/>
            </w:pPr>
            <w:r>
              <w:rPr/>
              <w:t> </w:t>
            </w:r>
          </w:p>
        </w:tc>
        <w:tc>
          <w:tcPr>
            <w:tcW w:w="364" w:type="dxa"/>
            <w:tcBorders/>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Arial" w:hAnsi="Arial"/>
          <w:color w:val="000000"/>
          <w:sz w:val="18"/>
        </w:rPr>
      </w:pPr>
      <w:r>
        <w:rPr>
          <w:rFonts w:ascii="Arial" w:hAnsi="Arial"/>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No ☒</w:t>
      </w:r>
    </w:p>
    <w:p>
      <w:pPr>
        <w:pStyle w:val="TextBody"/>
        <w:bidi w:val="0"/>
        <w:spacing w:before="120" w:after="283"/>
        <w:jc w:val="left"/>
        <w:rPr>
          <w:rFonts w:ascii="Arial" w:hAnsi="Arial"/>
          <w:color w:val="000000"/>
          <w:sz w:val="18"/>
        </w:rPr>
      </w:pPr>
      <w:r>
        <w:rPr>
          <w:rFonts w:ascii="Arial" w:hAnsi="Arial"/>
          <w:color w:val="000000"/>
          <w:sz w:val="18"/>
        </w:rPr>
        <w:t>The number of shares of registrant’s Common Stock outstanding as of April 29, 2024 was 51,938,839.</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Form 10-Q</w:t>
      </w:r>
    </w:p>
    <w:p>
      <w:pPr>
        <w:pStyle w:val="TextBody"/>
        <w:bidi w:val="0"/>
        <w:jc w:val="center"/>
        <w:rPr>
          <w:rFonts w:ascii="Arial" w:hAnsi="Arial"/>
          <w:b/>
          <w:color w:val="000000"/>
          <w:sz w:val="18"/>
        </w:rPr>
      </w:pPr>
      <w:r>
        <w:rPr>
          <w:rFonts w:ascii="Arial" w:hAnsi="Arial"/>
          <w:b/>
          <w:color w:val="000000"/>
          <w:sz w:val="18"/>
        </w:rPr>
        <w:t>For the Quarterly Period Ended March 31, 2024</w:t>
      </w:r>
    </w:p>
    <w:p>
      <w:pPr>
        <w:pStyle w:val="TextBody"/>
        <w:bidi w:val="0"/>
        <w:jc w:val="center"/>
        <w:rPr/>
      </w:pPr>
      <w:r>
        <w:rPr/>
        <w:t> </w:t>
      </w:r>
    </w:p>
    <w:p>
      <w:pPr>
        <w:pStyle w:val="TextBody"/>
        <w:bidi w:val="0"/>
        <w:jc w:val="center"/>
        <w:rPr>
          <w:rFonts w:ascii="Arial" w:hAnsi="Arial"/>
          <w:b/>
          <w:color w:val="000000"/>
          <w:sz w:val="18"/>
        </w:rPr>
      </w:pPr>
      <w:bookmarkStart w:id="2" w:name="table_of_contents"/>
      <w:bookmarkEnd w:id="2"/>
      <w:r>
        <w:rPr>
          <w:rFonts w:ascii="Arial" w:hAnsi="Arial"/>
          <w:b/>
          <w:color w:val="000000"/>
          <w:sz w:val="18"/>
        </w:rPr>
        <w:t>TABLE OF CONTENTS</w:t>
      </w:r>
    </w:p>
    <w:p>
      <w:pPr>
        <w:pStyle w:val="TextBody"/>
        <w:bidi w:val="0"/>
        <w:jc w:val="center"/>
        <w:rPr/>
      </w:pPr>
      <w:r>
        <w:rPr/>
        <w:t> </w:t>
      </w:r>
    </w:p>
    <w:tbl>
      <w:tblPr>
        <w:tblW w:w="8718" w:type="dxa"/>
        <w:jc w:val="left"/>
        <w:tblInd w:w="0" w:type="dxa"/>
        <w:tblLayout w:type="fixed"/>
        <w:tblCellMar>
          <w:top w:w="28" w:type="dxa"/>
          <w:left w:w="28" w:type="dxa"/>
          <w:bottom w:w="28" w:type="dxa"/>
          <w:right w:w="28" w:type="dxa"/>
        </w:tblCellMar>
      </w:tblPr>
      <w:tblGrid>
        <w:gridCol w:w="781"/>
        <w:gridCol w:w="7351"/>
        <w:gridCol w:w="586"/>
      </w:tblGrid>
      <w:tr>
        <w:trPr/>
        <w:tc>
          <w:tcPr>
            <w:tcW w:w="78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Page</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pecial_note_forward_looking_statements">
              <w:r>
                <w:rPr>
                  <w:rStyle w:val="InternetLink"/>
                  <w:rFonts w:ascii="Arial" w:hAnsi="Arial"/>
                  <w:color w:val="0000FF"/>
                  <w:sz w:val="18"/>
                  <w:u w:val="single"/>
                </w:rPr>
                <w:t>Note Regarding Forward-Looking Statements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3</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8" w:type="dxa"/>
            <w:gridSpan w:val="3"/>
            <w:tcBorders/>
            <w:shd w:fill="CFF0FC" w:val="clear"/>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Arial" w:hAnsi="Arial"/>
                  <w:b/>
                  <w:color w:val="0000FF"/>
                  <w:sz w:val="18"/>
                  <w:u w:val="single"/>
                </w:rPr>
                <w:t>PART I — FINANCIAL INFORMATION</w:t>
              </w:r>
            </w:hyperlink>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18"/>
                  <w:u w:val="single"/>
                </w:rPr>
                <w:t>Financial Statements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274" w:right="0" w:firstLine="274"/>
              <w:jc w:val="left"/>
              <w:rPr/>
            </w:pPr>
            <w:hyperlink w:anchor="condensed_consolidated_balance_sheets_un">
              <w:r>
                <w:rPr>
                  <w:rStyle w:val="InternetLink"/>
                  <w:rFonts w:ascii="Arial" w:hAnsi="Arial"/>
                  <w:color w:val="0000FF"/>
                  <w:sz w:val="18"/>
                  <w:u w:val="single"/>
                </w:rPr>
                <w:t>Condensed Consolidated Balance Sheets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pPr>
            <w:hyperlink w:anchor="condensed_consolidated_statements_ops">
              <w:r>
                <w:rPr>
                  <w:rStyle w:val="InternetLink"/>
                  <w:rFonts w:ascii="Arial" w:hAnsi="Arial"/>
                  <w:color w:val="0000FF"/>
                  <w:sz w:val="18"/>
                  <w:u w:val="single"/>
                </w:rPr>
                <w:t>Condensed Consolidated Statements of Operations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5</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274" w:right="0" w:firstLine="274"/>
              <w:jc w:val="left"/>
              <w:rPr/>
            </w:pPr>
            <w:hyperlink w:anchor="condensed_consolidated_statements_compre">
              <w:r>
                <w:rPr>
                  <w:rStyle w:val="InternetLink"/>
                  <w:rFonts w:ascii="Arial" w:hAnsi="Arial"/>
                  <w:color w:val="0000FF"/>
                  <w:sz w:val="18"/>
                  <w:u w:val="single"/>
                </w:rPr>
                <w:t>Condensed Consolidated Statements of Comprehensive Loss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6</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pPr>
            <w:hyperlink w:anchor="condensed_consolidated_equity_statement">
              <w:r>
                <w:rPr>
                  <w:rStyle w:val="InternetLink"/>
                  <w:rFonts w:ascii="Arial" w:hAnsi="Arial"/>
                  <w:color w:val="0000FF"/>
                  <w:sz w:val="18"/>
                  <w:u w:val="single"/>
                </w:rPr>
                <w:t>Condensed Consolidated Statements of Stockholders’ Equity</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274" w:right="0" w:firstLine="274"/>
              <w:jc w:val="left"/>
              <w:rPr/>
            </w:pPr>
            <w:hyperlink w:anchor="condensed_consolidated_statements_cash_f">
              <w:r>
                <w:rPr>
                  <w:rStyle w:val="InternetLink"/>
                  <w:rFonts w:ascii="Arial" w:hAnsi="Arial"/>
                  <w:color w:val="0000FF"/>
                  <w:sz w:val="18"/>
                  <w:u w:val="single"/>
                </w:rPr>
                <w:t>Condensed Consolidated Statements of Cash Flows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8</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ind w:left="274" w:right="0" w:firstLine="274"/>
              <w:jc w:val="left"/>
              <w:rPr/>
            </w:pPr>
            <w:hyperlink w:anchor="index_to_notes">
              <w:r>
                <w:rPr>
                  <w:rStyle w:val="InternetLink"/>
                  <w:rFonts w:ascii="Arial" w:hAnsi="Arial"/>
                  <w:color w:val="0000FF"/>
                  <w:sz w:val="18"/>
                  <w:u w:val="single"/>
                </w:rPr>
                <w:t>Index to Notes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9</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ind w:left="274" w:right="0" w:firstLine="274"/>
              <w:jc w:val="left"/>
              <w:rPr/>
            </w:pPr>
            <w:hyperlink w:anchor="noates_to_financials">
              <w:r>
                <w:rPr>
                  <w:rStyle w:val="InternetLink"/>
                  <w:rFonts w:ascii="Arial" w:hAnsi="Arial"/>
                  <w:color w:val="0000FF"/>
                  <w:sz w:val="18"/>
                  <w:u w:val="single"/>
                </w:rPr>
                <w:t>Notes to Condensed Consolidated Financial Statements (Unaudited)</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2.</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18"/>
                  <w:u w:val="single"/>
                </w:rPr>
                <w:t>Management’s Discussion and Analysis of Financial Condition and Results of Operations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21</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3.</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18"/>
                  <w:u w:val="single"/>
                </w:rPr>
                <w:t>Quantitative and Qualitative Disclosures About Market Risk</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28</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4.</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18"/>
                  <w:u w:val="single"/>
                </w:rPr>
                <w:t>Controls and Procedures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28</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8"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or_information">
              <w:r>
                <w:rPr>
                  <w:rStyle w:val="InternetLink"/>
                  <w:rFonts w:ascii="Arial" w:hAnsi="Arial"/>
                  <w:b/>
                  <w:color w:val="0000FF"/>
                  <w:sz w:val="18"/>
                  <w:u w:val="single"/>
                </w:rPr>
                <w:t>PART II — OTHER INFORMATION</w:t>
              </w:r>
            </w:hyperlink>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18"/>
                  <w:u w:val="single"/>
                </w:rPr>
                <w:t>Legal Proceedings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29</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1A.</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18"/>
                  <w:u w:val="single"/>
                </w:rPr>
                <w:t>Risk Factors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29</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2.</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18"/>
                  <w:u w:val="single"/>
                </w:rPr>
                <w:t>Unregistered Sales of Equity Securities and Use of Proceeds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70</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3.</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18"/>
                  <w:u w:val="single"/>
                </w:rPr>
                <w:t>Defaults Upon Senior Securities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70</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4.</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18"/>
                  <w:u w:val="single"/>
                </w:rPr>
                <w:t>Mine Safety Disclosures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70</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5.</w:t>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Arial" w:hAnsi="Arial"/>
                  <w:color w:val="0000FF"/>
                  <w:sz w:val="18"/>
                  <w:u w:val="single"/>
                </w:rPr>
                <w:t>Other Information</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70</w:t>
            </w:r>
          </w:p>
        </w:tc>
      </w:tr>
      <w:tr>
        <w:trPr/>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6.</w:t>
            </w:r>
          </w:p>
        </w:tc>
        <w:tc>
          <w:tcPr>
            <w:tcW w:w="735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18"/>
                  <w:u w:val="single"/>
                </w:rPr>
                <w:t>Exhibits</w:t>
              </w:r>
            </w:hyperlink>
          </w:p>
        </w:tc>
        <w:tc>
          <w:tcPr>
            <w:tcW w:w="58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71</w:t>
            </w:r>
          </w:p>
        </w:tc>
      </w:tr>
      <w:tr>
        <w:trPr/>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18"/>
                  <w:u w:val="single"/>
                </w:rPr>
                <w:t>Signatures</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72</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3" w:name="special_note_forward_looking_statements"/>
      <w:bookmarkEnd w:id="3"/>
      <w:r>
        <w:rPr>
          <w:rFonts w:ascii="Arial" w:hAnsi="Arial"/>
          <w:b/>
          <w:color w:val="000000"/>
          <w:sz w:val="18"/>
        </w:rPr>
        <w:t>NOTE REGARDING</w:t>
      </w:r>
      <w:r>
        <w:rPr>
          <w:rFonts w:ascii="Times New Roman" w:hAnsi="Times New Roman"/>
          <w:color w:val="000000"/>
          <w:sz w:val="20"/>
        </w:rPr>
        <w:t xml:space="preserve"> </w:t>
      </w:r>
      <w:r>
        <w:rPr>
          <w:rFonts w:ascii="Arial" w:hAnsi="Arial"/>
          <w:b/>
          <w:color w:val="000000"/>
          <w:sz w:val="18"/>
        </w:rPr>
        <w:t>FORWARD-LOOKING STATEMENTS</w:t>
      </w:r>
    </w:p>
    <w:p>
      <w:pPr>
        <w:pStyle w:val="TextBody"/>
        <w:bidi w:val="0"/>
        <w:spacing w:before="200" w:after="200"/>
        <w:jc w:val="both"/>
        <w:rPr>
          <w:rFonts w:ascii="Arial" w:hAnsi="Arial"/>
          <w:color w:val="000000"/>
          <w:sz w:val="18"/>
        </w:rPr>
      </w:pPr>
      <w:r>
        <w:rPr>
          <w:rFonts w:ascii="Arial" w:hAnsi="Arial"/>
          <w:color w:val="000000"/>
          <w:sz w:val="18"/>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“continue,” “could,” “estimate,” “expect,” “intend,” “may,” “might,” “objective,” “ongoing,” “plan,” “potential,” “predict,” “project,” “should,” “will,” or “would” or the negative of these words or other similar terms or expressions. These forward-looking statements include, but are not limited to, statements concerning the following:</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evolution of cancer therapies and market adoption of our services and products;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estimates of our total addressable market, future revenue and the timing thereof, expenses, use of cash and other resources, cost savings, capital requirements, and our needs for additional financing;</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future reimbursement and reimbursement rulings;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enter into and compete in new markets;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impact our collaboration agreements and key opinion leaders may have on the broader use of our products in the future;</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expected benefits of and activities to be performed under our Commercialization and Reference Laboratory Agreement with Tempus AI, Inc. (formerly known as Tempus Labs, Inc.);</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obtain financing when needed;</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potential impacts of inflation, macroeconomic conditions, and geopolitical conflicts on our business and operations;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benefits of our products and services, including their ability to increase the probability of clinical trial success;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compete effectively with existing competitors and new market entrants;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sales, marketing and commercialization plans and strategies;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business strategies, including our aim to focus on certain indications and the timing thereof;</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benefit from the scaling of our infrastructure and new facility in Fremont;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manage and grow our business by expanding our sales to existing customers or introducing our services and products to new customers;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establish and maintain intellectual property protection for our services and products or avoid claims of infringement;</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success in defending and enforcing our intellectual property rights, including patents;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potential effects of government regulation;</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ability to hire and retain key personnel;</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the impact of our reductions in force on our operations and operating results;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belief that approval of personalized cancer therapies by the U.S. Food and Drug Administration may drive benefits to our business;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8"/>
        </w:rPr>
      </w:pPr>
      <w:r>
        <w:rPr>
          <w:rFonts w:ascii="Arial" w:hAnsi="Arial"/>
          <w:color w:val="000000"/>
          <w:sz w:val="18"/>
        </w:rPr>
        <w:t>our future business with the U.S. Department of Veterans Affairs' Million Veteran Program ("VA MVP"), Natera, Inc., and other collaboration partners and customers; and</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18"/>
        </w:rPr>
      </w:pPr>
      <w:r>
        <w:rPr>
          <w:rFonts w:ascii="Arial" w:hAnsi="Arial"/>
          <w:color w:val="000000"/>
          <w:sz w:val="18"/>
        </w:rPr>
        <w:t>our ability to maintain proper and effective internal controls.</w:t>
      </w:r>
    </w:p>
    <w:p>
      <w:pPr>
        <w:pStyle w:val="TextBody"/>
        <w:bidi w:val="0"/>
        <w:spacing w:before="200" w:after="283"/>
        <w:jc w:val="both"/>
        <w:rPr>
          <w:rFonts w:ascii="Arial" w:hAnsi="Arial"/>
          <w:color w:val="000000"/>
          <w:sz w:val="18"/>
        </w:rPr>
      </w:pPr>
      <w:r>
        <w:rPr>
          <w:rFonts w:ascii="Arial" w:hAnsi="Arial"/>
          <w:color w:val="000000"/>
          <w:sz w:val="18"/>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00" w:after="283"/>
        <w:jc w:val="both"/>
        <w:rPr>
          <w:rFonts w:ascii="Arial" w:hAnsi="Arial"/>
          <w:color w:val="000000"/>
          <w:sz w:val="18"/>
        </w:rPr>
      </w:pPr>
      <w:r>
        <w:rPr>
          <w:rFonts w:ascii="Arial" w:hAnsi="Arial"/>
          <w:color w:val="000000"/>
          <w:sz w:val="18"/>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200" w:after="283"/>
        <w:jc w:val="both"/>
        <w:rPr>
          <w:rFonts w:ascii="Arial" w:hAnsi="Arial"/>
          <w:color w:val="000000"/>
          <w:sz w:val="18"/>
        </w:rPr>
      </w:pPr>
      <w:r>
        <w:rPr>
          <w:rFonts w:ascii="Arial" w:hAnsi="Arial"/>
          <w:color w:val="000000"/>
          <w:sz w:val="18"/>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pStyle w:val="TextBody"/>
        <w:bidi w:val="0"/>
        <w:spacing w:before="200" w:after="283"/>
        <w:jc w:val="both"/>
        <w:rPr>
          <w:rFonts w:ascii="Arial" w:hAnsi="Arial"/>
          <w:i/>
          <w:color w:val="000000"/>
          <w:sz w:val="18"/>
        </w:rPr>
      </w:pPr>
      <w:r>
        <w:rPr>
          <w:rFonts w:ascii="Arial" w:hAnsi="Arial"/>
          <w:i/>
          <w:color w:val="000000"/>
          <w:sz w:val="18"/>
        </w:rPr>
        <w:t>Unless the context otherwise requires, references in this Quarterly Report on Form 10-Q to the “company,” “Personalis,” “we,” “us” and “our” refer to Personalis, Inc. and our subsidiary, Personalis (UK) Ltd.</w:t>
      </w:r>
    </w:p>
    <w:p>
      <w:pPr>
        <w:pStyle w:val="TextBody"/>
        <w:bidi w:val="0"/>
        <w:spacing w:before="240" w:after="283"/>
        <w:jc w:val="center"/>
        <w:rPr>
          <w:rFonts w:ascii="Arial" w:hAnsi="Arial"/>
          <w:color w:val="000000"/>
          <w:sz w:val="18"/>
        </w:rPr>
      </w:pPr>
      <w:r>
        <w:rPr>
          <w:rFonts w:ascii="Arial" w:hAnsi="Arial"/>
          <w:color w:val="000000"/>
          <w:sz w:val="18"/>
        </w:rPr>
        <w:t>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4" w:name="part_ifinancial_information"/>
      <w:bookmarkEnd w:id="4"/>
      <w:r>
        <w:rPr>
          <w:rFonts w:ascii="Arial" w:hAnsi="Arial"/>
          <w:b/>
          <w:color w:val="000000"/>
          <w:sz w:val="18"/>
        </w:rPr>
        <w:t>PART I — FINANCIAL</w:t>
      </w:r>
      <w:r>
        <w:rPr>
          <w:rFonts w:ascii="Times New Roman" w:hAnsi="Times New Roman"/>
          <w:color w:val="000000"/>
          <w:sz w:val="20"/>
        </w:rPr>
        <w:t xml:space="preserve"> </w:t>
      </w:r>
      <w:r>
        <w:rPr>
          <w:rFonts w:ascii="Arial" w:hAnsi="Arial"/>
          <w:b/>
          <w:color w:val="000000"/>
          <w:sz w:val="18"/>
        </w:rPr>
        <w:t>INFORMATION</w:t>
      </w:r>
    </w:p>
    <w:p>
      <w:pPr>
        <w:pStyle w:val="TextBody"/>
        <w:bidi w:val="0"/>
        <w:spacing w:before="240" w:after="283"/>
        <w:jc w:val="left"/>
        <w:rPr>
          <w:rFonts w:ascii="Arial" w:hAnsi="Arial"/>
          <w:b/>
          <w:color w:val="000000"/>
          <w:sz w:val="18"/>
        </w:rPr>
      </w:pPr>
      <w:bookmarkStart w:id="5" w:name="item_1_financial_statements"/>
      <w:bookmarkEnd w:id="5"/>
      <w:r>
        <w:rPr>
          <w:rFonts w:ascii="Arial" w:hAnsi="Arial"/>
          <w:b/>
          <w:color w:val="000000"/>
          <w:sz w:val="18"/>
        </w:rPr>
        <w:t>Item 1. Financial Statements</w:t>
      </w:r>
    </w:p>
    <w:p>
      <w:pPr>
        <w:pStyle w:val="TextBody"/>
        <w:bidi w:val="0"/>
        <w:spacing w:before="200" w:after="283"/>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6" w:name="condensed_consolidated_balance_sheets_un"/>
      <w:bookmarkEnd w:id="6"/>
      <w:r>
        <w:rPr>
          <w:rFonts w:ascii="Arial" w:hAnsi="Arial"/>
          <w:b/>
          <w:color w:val="000000"/>
          <w:sz w:val="18"/>
        </w:rPr>
        <w:t>CONDENSED CONSOLIDATED BALANCE SHEETS (unaudited)</w:t>
      </w:r>
    </w:p>
    <w:p>
      <w:pPr>
        <w:pStyle w:val="TextBody"/>
        <w:bidi w:val="0"/>
        <w:jc w:val="center"/>
        <w:rPr>
          <w:rFonts w:ascii="Arial" w:hAnsi="Arial"/>
          <w:color w:val="000000"/>
          <w:sz w:val="18"/>
        </w:rPr>
      </w:pPr>
      <w:r>
        <w:rPr>
          <w:rFonts w:ascii="Arial" w:hAnsi="Arial"/>
          <w:color w:val="000000"/>
          <w:sz w:val="18"/>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20"/>
        <w:gridCol w:w="146"/>
        <w:gridCol w:w="228"/>
        <w:gridCol w:w="912"/>
        <w:gridCol w:w="166"/>
        <w:gridCol w:w="146"/>
        <w:gridCol w:w="255"/>
        <w:gridCol w:w="1019"/>
        <w:gridCol w:w="813"/>
      </w:tblGrid>
      <w:tr>
        <w:trPr/>
        <w:tc>
          <w:tcPr>
            <w:tcW w:w="6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65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0"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4"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jc w:val="right"/>
              <w:rPr/>
            </w:pPr>
            <w:r>
              <w:rPr/>
              <w:t> </w:t>
            </w:r>
          </w:p>
        </w:tc>
      </w:tr>
      <w:tr>
        <w:trPr/>
        <w:tc>
          <w:tcPr>
            <w:tcW w:w="65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4" w:type="dxa"/>
            <w:gridSpan w:val="2"/>
            <w:tcBorders/>
            <w:shd w:fill="FFFFFF" w:val="clear"/>
            <w:vAlign w:val="center"/>
          </w:tcPr>
          <w:p>
            <w:pPr>
              <w:pStyle w:val="TableContents"/>
              <w:bidi w:val="0"/>
              <w:spacing w:before="0" w:after="283"/>
              <w:jc w:val="right"/>
              <w:rPr/>
            </w:pPr>
            <w:r>
              <w:rPr/>
              <w:t> </w:t>
            </w:r>
          </w:p>
        </w:tc>
        <w:tc>
          <w:tcPr>
            <w:tcW w:w="813" w:type="dxa"/>
            <w:tcBorders/>
            <w:shd w:fill="FFFFFF" w:val="clear"/>
            <w:vAlign w:val="center"/>
          </w:tcPr>
          <w:p>
            <w:pPr>
              <w:pStyle w:val="TableContents"/>
              <w:bidi w:val="0"/>
              <w:spacing w:before="0" w:after="283"/>
              <w:ind w:left="0" w:right="0" w:firstLine="200"/>
              <w:jc w:val="right"/>
              <w:rPr/>
            </w:pPr>
            <w:r>
              <w:rPr/>
              <w:t> </w:t>
            </w:r>
          </w:p>
        </w:tc>
      </w:tr>
      <w:tr>
        <w:trPr/>
        <w:tc>
          <w:tcPr>
            <w:tcW w:w="6520"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43,981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56,984</w:t>
            </w:r>
          </w:p>
        </w:tc>
        <w:tc>
          <w:tcPr>
            <w:tcW w:w="813" w:type="dxa"/>
            <w:tcBorders/>
            <w:shd w:fill="CFF0FC" w:val="clear"/>
            <w:vAlign w:val="center"/>
          </w:tcPr>
          <w:p>
            <w:pPr>
              <w:pStyle w:val="TableContents"/>
              <w:bidi w:val="0"/>
              <w:spacing w:before="0" w:after="283"/>
              <w:ind w:left="0" w:right="0" w:firstLine="200"/>
              <w:jc w:val="left"/>
              <w:rPr/>
            </w:pPr>
            <w:r>
              <w:rPr/>
              <w:t> </w:t>
            </w:r>
          </w:p>
        </w:tc>
      </w:tr>
      <w:tr>
        <w:trPr/>
        <w:tc>
          <w:tcPr>
            <w:tcW w:w="6520"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Short-term investments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51,438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57,195</w:t>
            </w:r>
          </w:p>
        </w:tc>
        <w:tc>
          <w:tcPr>
            <w:tcW w:w="813" w:type="dxa"/>
            <w:tcBorders/>
            <w:shd w:fill="FFFFFF" w:val="clear"/>
            <w:vAlign w:val="center"/>
          </w:tcPr>
          <w:p>
            <w:pPr>
              <w:pStyle w:val="TableContents"/>
              <w:bidi w:val="0"/>
              <w:spacing w:before="0" w:after="283"/>
              <w:ind w:left="0" w:right="0" w:firstLine="200"/>
              <w:jc w:val="left"/>
              <w:rPr/>
            </w:pPr>
            <w:r>
              <w:rPr/>
              <w:t> </w:t>
            </w:r>
          </w:p>
        </w:tc>
      </w:tr>
      <w:tr>
        <w:trPr/>
        <w:tc>
          <w:tcPr>
            <w:tcW w:w="6520"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receivable, 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11,345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17,730</w:t>
            </w:r>
          </w:p>
        </w:tc>
        <w:tc>
          <w:tcPr>
            <w:tcW w:w="813" w:type="dxa"/>
            <w:tcBorders/>
            <w:shd w:fill="CFF0FC" w:val="clear"/>
            <w:vAlign w:val="center"/>
          </w:tcPr>
          <w:p>
            <w:pPr>
              <w:pStyle w:val="TableContents"/>
              <w:bidi w:val="0"/>
              <w:spacing w:before="0" w:after="283"/>
              <w:ind w:left="0" w:right="0" w:firstLine="200"/>
              <w:jc w:val="left"/>
              <w:rPr/>
            </w:pPr>
            <w:r>
              <w:rPr/>
              <w:t> </w:t>
            </w:r>
          </w:p>
        </w:tc>
      </w:tr>
      <w:tr>
        <w:trPr/>
        <w:tc>
          <w:tcPr>
            <w:tcW w:w="6520"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Inventory and other deferred costs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8,767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10,474</w:t>
            </w:r>
          </w:p>
        </w:tc>
        <w:tc>
          <w:tcPr>
            <w:tcW w:w="813" w:type="dxa"/>
            <w:tcBorders/>
            <w:shd w:fill="FFFFFF" w:val="clear"/>
            <w:vAlign w:val="center"/>
          </w:tcPr>
          <w:p>
            <w:pPr>
              <w:pStyle w:val="TableContents"/>
              <w:bidi w:val="0"/>
              <w:spacing w:before="0" w:after="283"/>
              <w:ind w:left="0" w:right="0" w:firstLine="200"/>
              <w:jc w:val="left"/>
              <w:rPr/>
            </w:pPr>
            <w:r>
              <w:rPr/>
              <w:t> </w:t>
            </w:r>
          </w:p>
        </w:tc>
      </w:tr>
      <w:tr>
        <w:trPr/>
        <w:tc>
          <w:tcPr>
            <w:tcW w:w="6520"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4,361</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0"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current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120,439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146,744</w:t>
            </w:r>
          </w:p>
        </w:tc>
        <w:tc>
          <w:tcPr>
            <w:tcW w:w="813" w:type="dxa"/>
            <w:tcBorders/>
            <w:shd w:fill="FFFFFF" w:val="clear"/>
            <w:vAlign w:val="center"/>
          </w:tcPr>
          <w:p>
            <w:pPr>
              <w:pStyle w:val="TableContents"/>
              <w:bidi w:val="0"/>
              <w:spacing w:before="0" w:after="283"/>
              <w:jc w:val="left"/>
              <w:rPr/>
            </w:pPr>
            <w:r>
              <w:rPr/>
              <w:t> </w:t>
            </w:r>
          </w:p>
        </w:tc>
      </w:tr>
      <w:tr>
        <w:trPr/>
        <w:tc>
          <w:tcPr>
            <w:tcW w:w="65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54,529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57,366</w:t>
            </w:r>
          </w:p>
        </w:tc>
        <w:tc>
          <w:tcPr>
            <w:tcW w:w="813" w:type="dxa"/>
            <w:tcBorders/>
            <w:shd w:fill="CFF0FC" w:val="clear"/>
            <w:vAlign w:val="center"/>
          </w:tcPr>
          <w:p>
            <w:pPr>
              <w:pStyle w:val="TableContents"/>
              <w:bidi w:val="0"/>
              <w:spacing w:before="0" w:after="283"/>
              <w:jc w:val="left"/>
              <w:rPr/>
            </w:pPr>
            <w:r>
              <w:rPr/>
              <w:t> </w:t>
            </w:r>
          </w:p>
        </w:tc>
      </w:tr>
      <w:tr>
        <w:trPr/>
        <w:tc>
          <w:tcPr>
            <w:tcW w:w="65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17,515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17,852</w:t>
            </w:r>
          </w:p>
        </w:tc>
        <w:tc>
          <w:tcPr>
            <w:tcW w:w="813" w:type="dxa"/>
            <w:tcBorders/>
            <w:shd w:fill="FFFFFF" w:val="clear"/>
            <w:vAlign w:val="center"/>
          </w:tcPr>
          <w:p>
            <w:pPr>
              <w:pStyle w:val="TableContents"/>
              <w:bidi w:val="0"/>
              <w:spacing w:before="0" w:after="283"/>
              <w:jc w:val="left"/>
              <w:rPr/>
            </w:pPr>
            <w:r>
              <w:rPr/>
              <w:t> </w:t>
            </w:r>
          </w:p>
        </w:tc>
      </w:tr>
      <w:tr>
        <w:trPr/>
        <w:tc>
          <w:tcPr>
            <w:tcW w:w="65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assets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3,137</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0"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195,276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225,099</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0"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4"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jc w:val="right"/>
              <w:rPr/>
            </w:pPr>
            <w:r>
              <w:rPr/>
              <w:t> </w:t>
            </w:r>
          </w:p>
        </w:tc>
      </w:tr>
      <w:tr>
        <w:trPr/>
        <w:tc>
          <w:tcPr>
            <w:tcW w:w="65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4" w:type="dxa"/>
            <w:gridSpan w:val="2"/>
            <w:tcBorders/>
            <w:shd w:fill="FFFFFF" w:val="clear"/>
            <w:vAlign w:val="center"/>
          </w:tcPr>
          <w:p>
            <w:pPr>
              <w:pStyle w:val="TableContents"/>
              <w:bidi w:val="0"/>
              <w:spacing w:before="0" w:after="283"/>
              <w:jc w:val="right"/>
              <w:rPr/>
            </w:pPr>
            <w:r>
              <w:rPr/>
              <w:t> </w:t>
            </w:r>
          </w:p>
        </w:tc>
        <w:tc>
          <w:tcPr>
            <w:tcW w:w="813" w:type="dxa"/>
            <w:tcBorders/>
            <w:shd w:fill="FFFFFF" w:val="clear"/>
            <w:vAlign w:val="center"/>
          </w:tcPr>
          <w:p>
            <w:pPr>
              <w:pStyle w:val="TableContents"/>
              <w:bidi w:val="0"/>
              <w:spacing w:before="0" w:after="283"/>
              <w:ind w:left="0" w:right="0" w:firstLine="200"/>
              <w:jc w:val="right"/>
              <w:rPr/>
            </w:pPr>
            <w:r>
              <w:rPr/>
              <w:t> </w:t>
            </w:r>
          </w:p>
        </w:tc>
      </w:tr>
      <w:tr>
        <w:trPr/>
        <w:tc>
          <w:tcPr>
            <w:tcW w:w="6520"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9,179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14,920</w:t>
            </w:r>
          </w:p>
        </w:tc>
        <w:tc>
          <w:tcPr>
            <w:tcW w:w="813" w:type="dxa"/>
            <w:tcBorders/>
            <w:shd w:fill="CFF0FC" w:val="clear"/>
            <w:vAlign w:val="center"/>
          </w:tcPr>
          <w:p>
            <w:pPr>
              <w:pStyle w:val="TableContents"/>
              <w:bidi w:val="0"/>
              <w:spacing w:before="0" w:after="283"/>
              <w:ind w:left="0" w:right="0" w:firstLine="200"/>
              <w:jc w:val="left"/>
              <w:rPr/>
            </w:pPr>
            <w:r>
              <w:rPr/>
              <w:t> </w:t>
            </w:r>
          </w:p>
        </w:tc>
      </w:tr>
      <w:tr>
        <w:trPr/>
        <w:tc>
          <w:tcPr>
            <w:tcW w:w="6520"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23,941</w:t>
            </w:r>
          </w:p>
        </w:tc>
        <w:tc>
          <w:tcPr>
            <w:tcW w:w="813" w:type="dxa"/>
            <w:tcBorders/>
            <w:shd w:fill="FFFFFF" w:val="clear"/>
            <w:vAlign w:val="center"/>
          </w:tcPr>
          <w:p>
            <w:pPr>
              <w:pStyle w:val="TableContents"/>
              <w:bidi w:val="0"/>
              <w:spacing w:before="0" w:after="283"/>
              <w:ind w:left="0" w:right="0" w:firstLine="200"/>
              <w:jc w:val="left"/>
              <w:rPr/>
            </w:pPr>
            <w:r>
              <w:rPr/>
              <w:t> </w:t>
            </w:r>
          </w:p>
        </w:tc>
      </w:tr>
      <w:tr>
        <w:trPr/>
        <w:tc>
          <w:tcPr>
            <w:tcW w:w="6520"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Contract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3,288</w:t>
            </w:r>
          </w:p>
        </w:tc>
        <w:tc>
          <w:tcPr>
            <w:tcW w:w="813" w:type="dxa"/>
            <w:tcBorders/>
            <w:shd w:fill="CFF0FC" w:val="clear"/>
            <w:vAlign w:val="center"/>
          </w:tcPr>
          <w:p>
            <w:pPr>
              <w:pStyle w:val="TableContents"/>
              <w:bidi w:val="0"/>
              <w:spacing w:before="0" w:after="283"/>
              <w:ind w:left="0" w:right="0" w:firstLine="200"/>
              <w:jc w:val="left"/>
              <w:rPr/>
            </w:pPr>
            <w:r>
              <w:rPr/>
              <w:t> </w:t>
            </w:r>
          </w:p>
        </w:tc>
      </w:tr>
      <w:tr>
        <w:trPr/>
        <w:tc>
          <w:tcPr>
            <w:tcW w:w="6520"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Short-term warrant liability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5,085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0" w:type="dxa"/>
            <w:tcBorders/>
            <w:shd w:fill="CFF0FC"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31,373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47,234</w:t>
            </w:r>
          </w:p>
        </w:tc>
        <w:tc>
          <w:tcPr>
            <w:tcW w:w="813" w:type="dxa"/>
            <w:tcBorders/>
            <w:shd w:fill="CFF0FC" w:val="clear"/>
            <w:vAlign w:val="center"/>
          </w:tcPr>
          <w:p>
            <w:pPr>
              <w:pStyle w:val="TableContents"/>
              <w:bidi w:val="0"/>
              <w:spacing w:before="0" w:after="283"/>
              <w:jc w:val="left"/>
              <w:rPr/>
            </w:pPr>
            <w:r>
              <w:rPr/>
              <w:t> </w:t>
            </w:r>
          </w:p>
        </w:tc>
      </w:tr>
      <w:tr>
        <w:trPr/>
        <w:tc>
          <w:tcPr>
            <w:tcW w:w="65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operating lease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37,434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38,321</w:t>
            </w:r>
          </w:p>
        </w:tc>
        <w:tc>
          <w:tcPr>
            <w:tcW w:w="813" w:type="dxa"/>
            <w:tcBorders/>
            <w:shd w:fill="FFFFFF" w:val="clear"/>
            <w:vAlign w:val="center"/>
          </w:tcPr>
          <w:p>
            <w:pPr>
              <w:pStyle w:val="TableContents"/>
              <w:bidi w:val="0"/>
              <w:spacing w:before="0" w:after="283"/>
              <w:jc w:val="left"/>
              <w:rPr/>
            </w:pPr>
            <w:r>
              <w:rPr/>
              <w:t> </w:t>
            </w:r>
          </w:p>
        </w:tc>
      </w:tr>
      <w:tr>
        <w:trPr/>
        <w:tc>
          <w:tcPr>
            <w:tcW w:w="65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warrant liability</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4,942</w:t>
            </w:r>
          </w:p>
        </w:tc>
        <w:tc>
          <w:tcPr>
            <w:tcW w:w="813" w:type="dxa"/>
            <w:tcBorders/>
            <w:shd w:fill="CFF0FC" w:val="clear"/>
            <w:vAlign w:val="center"/>
          </w:tcPr>
          <w:p>
            <w:pPr>
              <w:pStyle w:val="TableContents"/>
              <w:bidi w:val="0"/>
              <w:spacing w:before="0" w:after="283"/>
              <w:jc w:val="left"/>
              <w:rPr/>
            </w:pPr>
            <w:r>
              <w:rPr/>
              <w:t> </w:t>
            </w:r>
          </w:p>
        </w:tc>
      </w:tr>
      <w:tr>
        <w:trPr/>
        <w:tc>
          <w:tcPr>
            <w:tcW w:w="65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liabilities</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5,161</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0" w:type="dxa"/>
            <w:tcBorders/>
            <w:shd w:fill="CFF0FC"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95,658</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140"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4" w:type="dxa"/>
            <w:gridSpan w:val="2"/>
            <w:tcBorders/>
            <w:shd w:fill="FFFFFF" w:val="clear"/>
            <w:vAlign w:val="center"/>
          </w:tcPr>
          <w:p>
            <w:pPr>
              <w:pStyle w:val="TableContents"/>
              <w:bidi w:val="0"/>
              <w:spacing w:before="0" w:after="283"/>
              <w:jc w:val="right"/>
              <w:rPr/>
            </w:pPr>
            <w:r>
              <w:rPr/>
              <w:t> </w:t>
            </w:r>
          </w:p>
        </w:tc>
        <w:tc>
          <w:tcPr>
            <w:tcW w:w="813" w:type="dxa"/>
            <w:tcBorders/>
            <w:shd w:fill="FFFFFF" w:val="clear"/>
            <w:vAlign w:val="center"/>
          </w:tcPr>
          <w:p>
            <w:pPr>
              <w:pStyle w:val="TableContents"/>
              <w:bidi w:val="0"/>
              <w:spacing w:before="0" w:after="283"/>
              <w:jc w:val="right"/>
              <w:rPr/>
            </w:pPr>
            <w:r>
              <w:rPr/>
              <w:t> </w:t>
            </w:r>
          </w:p>
        </w:tc>
      </w:tr>
      <w:tr>
        <w:trPr/>
        <w:tc>
          <w:tcPr>
            <w:tcW w:w="65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1140"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4" w:type="dxa"/>
            <w:gridSpan w:val="2"/>
            <w:tcBorders/>
            <w:shd w:fill="CFF0FC" w:val="clear"/>
            <w:vAlign w:val="center"/>
          </w:tcPr>
          <w:p>
            <w:pPr>
              <w:pStyle w:val="TableContents"/>
              <w:bidi w:val="0"/>
              <w:spacing w:before="0" w:after="283"/>
              <w:jc w:val="right"/>
              <w:rPr/>
            </w:pPr>
            <w:r>
              <w:rPr/>
              <w:t> </w:t>
            </w:r>
          </w:p>
        </w:tc>
        <w:tc>
          <w:tcPr>
            <w:tcW w:w="813" w:type="dxa"/>
            <w:tcBorders/>
            <w:shd w:fill="CFF0FC" w:val="clear"/>
            <w:vAlign w:val="center"/>
          </w:tcPr>
          <w:p>
            <w:pPr>
              <w:pStyle w:val="TableContents"/>
              <w:bidi w:val="0"/>
              <w:spacing w:before="0" w:after="283"/>
              <w:ind w:left="0" w:right="0" w:firstLine="400"/>
              <w:jc w:val="right"/>
              <w:rPr/>
            </w:pPr>
            <w:r>
              <w:rPr/>
              <w:t> </w:t>
            </w:r>
          </w:p>
        </w:tc>
      </w:tr>
      <w:tr>
        <w:trPr/>
        <w:tc>
          <w:tcPr>
            <w:tcW w:w="6520" w:type="dxa"/>
            <w:tcBorders/>
            <w:shd w:fill="FFFFFF" w:val="clear"/>
            <w:vAlign w:val="center"/>
          </w:tcPr>
          <w:p>
            <w:pPr>
              <w:pStyle w:val="TableContents"/>
              <w:bidi w:val="0"/>
              <w:spacing w:before="0" w:after="283"/>
              <w:ind w:left="400" w:right="0" w:firstLine="400"/>
              <w:jc w:val="left"/>
              <w:rPr>
                <w:rFonts w:ascii="Times New Roman" w:hAnsi="Times New Roman"/>
                <w:sz w:val="20"/>
              </w:rPr>
            </w:pPr>
            <w:r>
              <w:rPr>
                <w:rFonts w:ascii="Arial" w:hAnsi="Arial"/>
                <w:color w:val="000000"/>
                <w:sz w:val="18"/>
              </w:rPr>
              <w:t>Preferred stock, $0.0001</w:t>
            </w:r>
            <w:r>
              <w:rPr>
                <w:rFonts w:ascii="Times New Roman" w:hAnsi="Times New Roman"/>
                <w:color w:val="000000"/>
                <w:sz w:val="20"/>
              </w:rPr>
              <w:t> </w:t>
            </w:r>
            <w:r>
              <w:rPr>
                <w:rFonts w:ascii="Arial" w:hAnsi="Arial"/>
                <w:color w:val="000000"/>
                <w:sz w:val="18"/>
              </w:rPr>
              <w:t>par value — 10,000,000</w:t>
            </w:r>
            <w:r>
              <w:rPr>
                <w:rFonts w:ascii="Times New Roman" w:hAnsi="Times New Roman"/>
                <w:color w:val="000000"/>
                <w:sz w:val="20"/>
              </w:rPr>
              <w:t> </w:t>
            </w:r>
            <w:r>
              <w:rPr>
                <w:rFonts w:ascii="Arial" w:hAnsi="Arial"/>
                <w:color w:val="000000"/>
                <w:sz w:val="18"/>
              </w:rPr>
              <w:t>shares authorized; none</w:t>
            </w:r>
            <w:r>
              <w:rPr>
                <w:rFonts w:ascii="Times New Roman" w:hAnsi="Times New Roman"/>
                <w:color w:val="000000"/>
                <w:sz w:val="20"/>
              </w:rPr>
              <w:t> </w:t>
            </w:r>
            <w:r>
              <w:rPr>
                <w:rFonts w:ascii="Arial" w:hAnsi="Arial"/>
                <w:color w:val="000000"/>
                <w:sz w:val="18"/>
              </w:rPr>
              <w:t>issued</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color w:val="000000"/>
              </w:rPr>
            </w:pPr>
            <w:r>
              <w:rPr>
                <w:color w:val="000000"/>
              </w:rPr>
              <w:t>—</w:t>
            </w:r>
          </w:p>
        </w:tc>
        <w:tc>
          <w:tcPr>
            <w:tcW w:w="813" w:type="dxa"/>
            <w:tcBorders/>
            <w:shd w:fill="FFFFFF" w:val="clear"/>
            <w:vAlign w:val="center"/>
          </w:tcPr>
          <w:p>
            <w:pPr>
              <w:pStyle w:val="TableContents"/>
              <w:bidi w:val="0"/>
              <w:spacing w:before="0" w:after="283"/>
              <w:ind w:left="0" w:right="0" w:firstLine="400"/>
              <w:jc w:val="left"/>
              <w:rPr/>
            </w:pPr>
            <w:r>
              <w:rPr/>
              <w:t> </w:t>
            </w:r>
          </w:p>
        </w:tc>
      </w:tr>
      <w:tr>
        <w:trPr/>
        <w:tc>
          <w:tcPr>
            <w:tcW w:w="6520" w:type="dxa"/>
            <w:tcBorders/>
            <w:shd w:fill="CFF0FC" w:val="clear"/>
            <w:vAlign w:val="center"/>
          </w:tcPr>
          <w:p>
            <w:pPr>
              <w:pStyle w:val="TableContents"/>
              <w:bidi w:val="0"/>
              <w:spacing w:before="0" w:after="283"/>
              <w:ind w:left="400" w:right="0" w:firstLine="400"/>
              <w:jc w:val="left"/>
              <w:rPr>
                <w:rFonts w:ascii="Times New Roman" w:hAnsi="Times New Roman"/>
                <w:sz w:val="20"/>
              </w:rPr>
            </w:pPr>
            <w:r>
              <w:rPr>
                <w:rFonts w:ascii="Arial" w:hAnsi="Arial"/>
                <w:color w:val="000000"/>
                <w:sz w:val="18"/>
              </w:rPr>
              <w:t>Common stock, $0.0001</w:t>
            </w:r>
            <w:r>
              <w:rPr>
                <w:rFonts w:ascii="Times New Roman" w:hAnsi="Times New Roman"/>
                <w:color w:val="000000"/>
                <w:sz w:val="20"/>
              </w:rPr>
              <w:t> </w:t>
            </w:r>
            <w:r>
              <w:rPr>
                <w:rFonts w:ascii="Arial" w:hAnsi="Arial"/>
                <w:color w:val="000000"/>
                <w:sz w:val="18"/>
              </w:rPr>
              <w:t>par value — 200,000,000</w:t>
            </w:r>
            <w:r>
              <w:rPr>
                <w:rFonts w:ascii="Times New Roman" w:hAnsi="Times New Roman"/>
                <w:color w:val="000000"/>
                <w:sz w:val="20"/>
              </w:rPr>
              <w:t> </w:t>
            </w:r>
            <w:r>
              <w:rPr>
                <w:rFonts w:ascii="Arial" w:hAnsi="Arial"/>
                <w:color w:val="000000"/>
                <w:sz w:val="18"/>
              </w:rPr>
              <w:t>shares authorized; 51,394,199</w:t>
            </w:r>
            <w:r>
              <w:rPr>
                <w:rFonts w:ascii="Times New Roman" w:hAnsi="Times New Roman"/>
                <w:color w:val="000000"/>
                <w:sz w:val="20"/>
              </w:rPr>
              <w:t> </w:t>
            </w:r>
            <w:r>
              <w:rPr>
                <w:rFonts w:ascii="Arial" w:hAnsi="Arial"/>
                <w:color w:val="000000"/>
                <w:sz w:val="18"/>
              </w:rPr>
              <w:t>and 50,480,694</w:t>
            </w:r>
            <w:r>
              <w:rPr>
                <w:rFonts w:ascii="Times New Roman" w:hAnsi="Times New Roman"/>
                <w:color w:val="000000"/>
                <w:sz w:val="20"/>
              </w:rPr>
              <w:t> </w:t>
            </w:r>
            <w:r>
              <w:rPr>
                <w:rFonts w:ascii="Arial" w:hAnsi="Arial"/>
                <w:color w:val="000000"/>
                <w:sz w:val="18"/>
              </w:rPr>
              <w:t>shares issued and outstanding, respectively</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813" w:type="dxa"/>
            <w:tcBorders/>
            <w:shd w:fill="CFF0FC" w:val="clear"/>
            <w:vAlign w:val="center"/>
          </w:tcPr>
          <w:p>
            <w:pPr>
              <w:pStyle w:val="TableContents"/>
              <w:bidi w:val="0"/>
              <w:spacing w:before="0" w:after="283"/>
              <w:ind w:left="0" w:right="0" w:firstLine="400"/>
              <w:jc w:val="left"/>
              <w:rPr/>
            </w:pPr>
            <w:r>
              <w:rPr/>
              <w:t> </w:t>
            </w:r>
          </w:p>
        </w:tc>
      </w:tr>
      <w:tr>
        <w:trPr/>
        <w:tc>
          <w:tcPr>
            <w:tcW w:w="6520"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Additional paid-in capital</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602,488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598,364</w:t>
            </w:r>
          </w:p>
        </w:tc>
        <w:tc>
          <w:tcPr>
            <w:tcW w:w="813" w:type="dxa"/>
            <w:tcBorders/>
            <w:shd w:fill="FFFFFF" w:val="clear"/>
            <w:vAlign w:val="center"/>
          </w:tcPr>
          <w:p>
            <w:pPr>
              <w:pStyle w:val="TableContents"/>
              <w:bidi w:val="0"/>
              <w:spacing w:before="0" w:after="283"/>
              <w:ind w:left="0" w:right="0" w:firstLine="400"/>
              <w:jc w:val="left"/>
              <w:rPr/>
            </w:pPr>
            <w:r>
              <w:rPr/>
              <w:t> </w:t>
            </w:r>
          </w:p>
        </w:tc>
      </w:tr>
      <w:tr>
        <w:trPr/>
        <w:tc>
          <w:tcPr>
            <w:tcW w:w="6520"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9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(222</w:t>
            </w:r>
          </w:p>
        </w:tc>
        <w:tc>
          <w:tcPr>
            <w:tcW w:w="813" w:type="dxa"/>
            <w:tcBorders/>
            <w:shd w:fill="CFF0FC"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520"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(481,674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(468,706</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520" w:type="dxa"/>
            <w:tcBorders/>
            <w:shd w:fill="CFF0FC"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120,694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129,441</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0"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195,276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225,099</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7" w:name="condensed_consolidated_statements_ops"/>
      <w:bookmarkEnd w:id="7"/>
      <w:r>
        <w:rPr>
          <w:rFonts w:ascii="Arial" w:hAnsi="Arial"/>
          <w:b/>
          <w:color w:val="000000"/>
          <w:sz w:val="18"/>
        </w:rPr>
        <w:t>CONDENSED CONSOLIDATED STATEMENTS OF OPERATIONS (unaudited)</w:t>
      </w:r>
    </w:p>
    <w:p>
      <w:pPr>
        <w:pStyle w:val="TextBody"/>
        <w:bidi w:val="0"/>
        <w:jc w:val="center"/>
        <w:rPr>
          <w:rFonts w:ascii="Arial" w:hAnsi="Arial"/>
          <w:color w:val="000000"/>
          <w:sz w:val="18"/>
        </w:rPr>
      </w:pPr>
      <w:r>
        <w:rPr>
          <w:rFonts w:ascii="Arial" w:hAnsi="Arial"/>
          <w:color w:val="000000"/>
          <w:sz w:val="18"/>
        </w:rPr>
        <w:t>(in thousands, except share and per share data)</w:t>
      </w:r>
    </w:p>
    <w:p>
      <w:pPr>
        <w:pStyle w:val="TextBody"/>
        <w:bidi w:val="0"/>
        <w:jc w:val="left"/>
        <w:rPr/>
      </w:pPr>
      <w:r>
        <w:rPr/>
        <w:t> </w:t>
      </w:r>
    </w:p>
    <w:tbl>
      <w:tblPr>
        <w:tblW w:w="8469" w:type="dxa"/>
        <w:jc w:val="left"/>
        <w:tblInd w:w="0" w:type="dxa"/>
        <w:tblLayout w:type="fixed"/>
        <w:tblCellMar>
          <w:top w:w="28" w:type="dxa"/>
          <w:left w:w="28" w:type="dxa"/>
          <w:bottom w:w="28" w:type="dxa"/>
          <w:right w:w="28" w:type="dxa"/>
        </w:tblCellMar>
      </w:tblPr>
      <w:tblGrid>
        <w:gridCol w:w="4726"/>
        <w:gridCol w:w="146"/>
        <w:gridCol w:w="211"/>
        <w:gridCol w:w="1036"/>
        <w:gridCol w:w="166"/>
        <w:gridCol w:w="146"/>
        <w:gridCol w:w="211"/>
        <w:gridCol w:w="1036"/>
        <w:gridCol w:w="79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19,525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18,860</w:t>
            </w:r>
          </w:p>
        </w:tc>
        <w:tc>
          <w:tcPr>
            <w:tcW w:w="79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Costs and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472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14,130</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472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12,771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16,573</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2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11,602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14,097</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472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Restructuring and other charges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costs and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48,685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(18,880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(29,825</w:t>
            </w:r>
          </w:p>
        </w:tc>
        <w:tc>
          <w:tcPr>
            <w:tcW w:w="7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1,253</w:t>
            </w:r>
          </w:p>
        </w:tc>
        <w:tc>
          <w:tcPr>
            <w:tcW w:w="79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7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(12,961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(28,645</w:t>
            </w:r>
          </w:p>
        </w:tc>
        <w:tc>
          <w:tcPr>
            <w:tcW w:w="7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26"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(28,659</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50,678,586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46,740,270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18"/>
        </w:rPr>
      </w:pPr>
      <w:r>
        <w:rPr>
          <w:rFonts w:ascii="Arial" w:hAnsi="Arial"/>
          <w:color w:val="000000"/>
          <w:sz w:val="18"/>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Times New Roman" w:hAnsi="Times New Roman"/>
          <w:sz w:val="20"/>
        </w:rPr>
      </w:pPr>
      <w:bookmarkStart w:id="8" w:name="condensed_consolidated_statements_compre"/>
      <w:bookmarkEnd w:id="8"/>
      <w:r>
        <w:rPr>
          <w:rFonts w:ascii="Arial" w:hAnsi="Arial"/>
          <w:b/>
          <w:color w:val="000000"/>
          <w:sz w:val="18"/>
        </w:rPr>
        <w:t>CONDENSED CONSOLIDATED STATEMENTS</w:t>
      </w:r>
      <w:r>
        <w:rPr>
          <w:rFonts w:ascii="Times New Roman" w:hAnsi="Times New Roman"/>
          <w:color w:val="000000"/>
          <w:sz w:val="20"/>
        </w:rPr>
        <w:t xml:space="preserve"> </w:t>
      </w:r>
      <w:r>
        <w:rPr>
          <w:rFonts w:ascii="Arial" w:hAnsi="Arial"/>
          <w:b/>
          <w:color w:val="000000"/>
          <w:sz w:val="18"/>
        </w:rPr>
        <w:t>OF COMPREHENSIVE LOSS (unaudited)</w:t>
      </w:r>
    </w:p>
    <w:p>
      <w:pPr>
        <w:pStyle w:val="TextBody"/>
        <w:bidi w:val="0"/>
        <w:jc w:val="center"/>
        <w:rPr>
          <w:rFonts w:ascii="Arial" w:hAnsi="Arial"/>
          <w:color w:val="000000"/>
          <w:sz w:val="18"/>
        </w:rPr>
      </w:pPr>
      <w:r>
        <w:rPr>
          <w:rFonts w:ascii="Arial" w:hAnsi="Arial"/>
          <w:color w:val="000000"/>
          <w:sz w:val="18"/>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77"/>
        <w:gridCol w:w="146"/>
        <w:gridCol w:w="237"/>
        <w:gridCol w:w="831"/>
        <w:gridCol w:w="186"/>
        <w:gridCol w:w="164"/>
        <w:gridCol w:w="237"/>
        <w:gridCol w:w="831"/>
        <w:gridCol w:w="796"/>
      </w:tblGrid>
      <w:tr>
        <w:trPr/>
        <w:tc>
          <w:tcPr>
            <w:tcW w:w="6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67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7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(12,968</w:t>
            </w:r>
          </w:p>
        </w:tc>
        <w:tc>
          <w:tcPr>
            <w:tcW w:w="18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4"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(28,659</w:t>
            </w:r>
          </w:p>
        </w:tc>
        <w:tc>
          <w:tcPr>
            <w:tcW w:w="79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77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comprehensive income (loss), net of tax</w:t>
            </w:r>
          </w:p>
        </w:tc>
        <w:tc>
          <w:tcPr>
            <w:tcW w:w="146"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186" w:type="dxa"/>
            <w:tcBorders/>
            <w:shd w:fill="FFFFFF" w:val="clear"/>
            <w:vAlign w:val="center"/>
          </w:tcPr>
          <w:p>
            <w:pPr>
              <w:pStyle w:val="TableContents"/>
              <w:bidi w:val="0"/>
              <w:spacing w:before="0" w:after="283"/>
              <w:jc w:val="right"/>
              <w:rPr/>
            </w:pPr>
            <w:r>
              <w:rPr/>
              <w:t> </w:t>
            </w:r>
          </w:p>
        </w:tc>
        <w:tc>
          <w:tcPr>
            <w:tcW w:w="164" w:type="dxa"/>
            <w:tcBorders/>
            <w:shd w:fill="FFFFFF" w:val="clear"/>
            <w:vAlign w:val="center"/>
          </w:tcPr>
          <w:p>
            <w:pPr>
              <w:pStyle w:val="TableContents"/>
              <w:bidi w:val="0"/>
              <w:spacing w:before="0" w:after="283"/>
              <w:jc w:val="left"/>
              <w:rPr/>
            </w:pPr>
            <w:r>
              <w:rPr/>
              <w:t> </w:t>
            </w:r>
          </w:p>
        </w:tc>
        <w:tc>
          <w:tcPr>
            <w:tcW w:w="1068" w:type="dxa"/>
            <w:gridSpan w:val="2"/>
            <w:tcBorders/>
            <w:shd w:fill="FFFFFF" w:val="clear"/>
            <w:vAlign w:val="center"/>
          </w:tcPr>
          <w:p>
            <w:pPr>
              <w:pStyle w:val="TableContents"/>
              <w:bidi w:val="0"/>
              <w:spacing w:before="0" w:after="283"/>
              <w:jc w:val="right"/>
              <w:rPr/>
            </w:pPr>
            <w:r>
              <w:rPr/>
              <w:t> </w:t>
            </w:r>
          </w:p>
        </w:tc>
        <w:tc>
          <w:tcPr>
            <w:tcW w:w="796" w:type="dxa"/>
            <w:tcBorders/>
            <w:shd w:fill="FFFFFF" w:val="clear"/>
            <w:vAlign w:val="center"/>
          </w:tcPr>
          <w:p>
            <w:pPr>
              <w:pStyle w:val="TableContents"/>
              <w:bidi w:val="0"/>
              <w:spacing w:before="0" w:after="283"/>
              <w:ind w:left="0" w:right="0" w:firstLine="200"/>
              <w:jc w:val="right"/>
              <w:rPr/>
            </w:pPr>
            <w:r>
              <w:rPr/>
              <w:t> </w:t>
            </w:r>
          </w:p>
        </w:tc>
      </w:tr>
      <w:tr>
        <w:trPr/>
        <w:tc>
          <w:tcPr>
            <w:tcW w:w="6777"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Changes in foreign currency translation adjustments:</w:t>
            </w:r>
          </w:p>
        </w:tc>
        <w:tc>
          <w:tcPr>
            <w:tcW w:w="146"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186"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1068" w:type="dxa"/>
            <w:gridSpan w:val="2"/>
            <w:tcBorders/>
            <w:shd w:fill="CFF0FC" w:val="clear"/>
            <w:vAlign w:val="center"/>
          </w:tcPr>
          <w:p>
            <w:pPr>
              <w:pStyle w:val="TableContents"/>
              <w:bidi w:val="0"/>
              <w:spacing w:before="0" w:after="283"/>
              <w:jc w:val="right"/>
              <w:rPr/>
            </w:pPr>
            <w:r>
              <w:rPr/>
              <w:t> </w:t>
            </w:r>
          </w:p>
        </w:tc>
        <w:tc>
          <w:tcPr>
            <w:tcW w:w="796" w:type="dxa"/>
            <w:tcBorders/>
            <w:shd w:fill="CFF0FC" w:val="clear"/>
            <w:vAlign w:val="center"/>
          </w:tcPr>
          <w:p>
            <w:pPr>
              <w:pStyle w:val="TableContents"/>
              <w:bidi w:val="0"/>
              <w:spacing w:before="0" w:after="283"/>
              <w:ind w:left="0" w:right="0" w:firstLine="400"/>
              <w:jc w:val="right"/>
              <w:rPr/>
            </w:pPr>
            <w:r>
              <w:rPr/>
              <w:t> </w:t>
            </w:r>
          </w:p>
        </w:tc>
      </w:tr>
      <w:tr>
        <w:trPr/>
        <w:tc>
          <w:tcPr>
            <w:tcW w:w="6777"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Change during period</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8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796" w:type="dxa"/>
            <w:tcBorders/>
            <w:shd w:fill="FFFFFF" w:val="clear"/>
            <w:vAlign w:val="center"/>
          </w:tcPr>
          <w:p>
            <w:pPr>
              <w:pStyle w:val="TableContents"/>
              <w:bidi w:val="0"/>
              <w:spacing w:before="0" w:after="283"/>
              <w:ind w:left="0" w:right="0" w:firstLine="400"/>
              <w:jc w:val="left"/>
              <w:rPr/>
            </w:pPr>
            <w:r>
              <w:rPr/>
              <w:t> </w:t>
            </w:r>
          </w:p>
        </w:tc>
      </w:tr>
      <w:tr>
        <w:trPr/>
        <w:tc>
          <w:tcPr>
            <w:tcW w:w="6777"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Reclassification of adjustments to net loss due to dissolution of Personalis (Shanghai) Ltd</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777"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changes in foreign currency translation adjustments</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170</w:t>
            </w:r>
          </w:p>
        </w:tc>
        <w:tc>
          <w:tcPr>
            <w:tcW w:w="186"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8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796" w:type="dxa"/>
            <w:tcBorders/>
            <w:shd w:fill="FFFFFF" w:val="clear"/>
            <w:vAlign w:val="center"/>
          </w:tcPr>
          <w:p>
            <w:pPr>
              <w:pStyle w:val="TableContents"/>
              <w:bidi w:val="0"/>
              <w:spacing w:before="0" w:after="283"/>
              <w:ind w:left="0" w:right="0" w:firstLine="200"/>
              <w:jc w:val="left"/>
              <w:rPr/>
            </w:pPr>
            <w:r>
              <w:rPr/>
              <w:t> </w:t>
            </w:r>
          </w:p>
        </w:tc>
      </w:tr>
      <w:tr>
        <w:trPr/>
        <w:tc>
          <w:tcPr>
            <w:tcW w:w="6777"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Change in unrealized gain (loss) on available-for-sale debt securities</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429</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7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loss</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(12,871</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(28,202</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jc w:val="center"/>
        <w:rPr>
          <w:rFonts w:ascii="Arial" w:hAnsi="Arial"/>
          <w:color w:val="000000"/>
          <w:sz w:val="18"/>
        </w:rPr>
      </w:pPr>
      <w:r>
        <w:rPr>
          <w:rFonts w:ascii="Arial" w:hAnsi="Arial"/>
          <w:color w:val="000000"/>
          <w:sz w:val="18"/>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Times New Roman" w:hAnsi="Times New Roman"/>
          <w:sz w:val="20"/>
        </w:rPr>
      </w:pPr>
      <w:bookmarkStart w:id="9" w:name="condensed_consolidated_equity_statement"/>
      <w:bookmarkEnd w:id="9"/>
      <w:r>
        <w:rPr>
          <w:rFonts w:ascii="Arial" w:hAnsi="Arial"/>
          <w:b/>
          <w:color w:val="000000"/>
          <w:sz w:val="18"/>
        </w:rPr>
        <w:t>CONDENSED CONSOLIDATED STATEMENTS</w:t>
      </w:r>
      <w:r>
        <w:rPr>
          <w:rFonts w:ascii="Times New Roman" w:hAnsi="Times New Roman"/>
          <w:color w:val="000000"/>
          <w:sz w:val="20"/>
        </w:rPr>
        <w:t xml:space="preserve"> </w:t>
      </w:r>
      <w:r>
        <w:rPr>
          <w:rFonts w:ascii="Arial" w:hAnsi="Arial"/>
          <w:b/>
          <w:color w:val="000000"/>
          <w:sz w:val="18"/>
        </w:rPr>
        <w:t>OF STOCKHOLDERS’ EQUITY (unaudited)</w:t>
      </w:r>
    </w:p>
    <w:p>
      <w:pPr>
        <w:pStyle w:val="TextBody"/>
        <w:bidi w:val="0"/>
        <w:jc w:val="center"/>
        <w:rPr>
          <w:rFonts w:ascii="Arial" w:hAnsi="Arial"/>
          <w:color w:val="000000"/>
          <w:sz w:val="18"/>
        </w:rPr>
      </w:pPr>
      <w:r>
        <w:rPr>
          <w:rFonts w:ascii="Arial" w:hAnsi="Arial"/>
          <w:color w:val="000000"/>
          <w:sz w:val="18"/>
        </w:rPr>
        <w:t>For the Three Months Ended March 31, 2024 and 2023</w:t>
      </w:r>
    </w:p>
    <w:p>
      <w:pPr>
        <w:pStyle w:val="TextBody"/>
        <w:bidi w:val="0"/>
        <w:jc w:val="center"/>
        <w:rPr>
          <w:rFonts w:ascii="Arial" w:hAnsi="Arial"/>
          <w:color w:val="000000"/>
          <w:sz w:val="18"/>
        </w:rPr>
      </w:pPr>
      <w:r>
        <w:rPr>
          <w:rFonts w:ascii="Arial" w:hAnsi="Arial"/>
          <w:color w:val="000000"/>
          <w:sz w:val="18"/>
        </w:rPr>
        <w:t>(in thousands, except share data)</w:t>
      </w:r>
    </w:p>
    <w:p>
      <w:pPr>
        <w:pStyle w:val="TextBody"/>
        <w:bidi w:val="0"/>
        <w:jc w:val="center"/>
        <w:rPr/>
      </w:pPr>
      <w:r>
        <w:rPr/>
        <w:t> </w:t>
      </w:r>
    </w:p>
    <w:tbl>
      <w:tblPr>
        <w:tblW w:w="10791" w:type="dxa"/>
        <w:jc w:val="left"/>
        <w:tblInd w:w="0" w:type="dxa"/>
        <w:tblLayout w:type="fixed"/>
        <w:tblCellMar>
          <w:top w:w="28" w:type="dxa"/>
          <w:left w:w="28" w:type="dxa"/>
          <w:bottom w:w="28" w:type="dxa"/>
          <w:right w:w="28" w:type="dxa"/>
        </w:tblCellMar>
      </w:tblPr>
      <w:tblGrid>
        <w:gridCol w:w="1946"/>
        <w:gridCol w:w="146"/>
        <w:gridCol w:w="146"/>
        <w:gridCol w:w="1036"/>
        <w:gridCol w:w="146"/>
        <w:gridCol w:w="146"/>
        <w:gridCol w:w="284"/>
        <w:gridCol w:w="467"/>
        <w:gridCol w:w="146"/>
        <w:gridCol w:w="146"/>
        <w:gridCol w:w="211"/>
        <w:gridCol w:w="781"/>
        <w:gridCol w:w="146"/>
        <w:gridCol w:w="146"/>
        <w:gridCol w:w="411"/>
        <w:gridCol w:w="940"/>
        <w:gridCol w:w="166"/>
        <w:gridCol w:w="146"/>
        <w:gridCol w:w="231"/>
        <w:gridCol w:w="925"/>
        <w:gridCol w:w="166"/>
        <w:gridCol w:w="146"/>
        <w:gridCol w:w="245"/>
        <w:gridCol w:w="911"/>
        <w:gridCol w:w="611"/>
      </w:tblGrid>
      <w:tr>
        <w:trPr/>
        <w:tc>
          <w:tcPr>
            <w:tcW w:w="1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5"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5" w:type="dxa"/>
            <w:gridSpan w:val="6"/>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611" w:type="dxa"/>
            <w:tcBorders/>
            <w:shd w:fill="FFFFFF" w:val="cle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c>
          <w:tcPr>
            <w:tcW w:w="611" w:type="dxa"/>
            <w:tcBorders/>
            <w:shd w:fill="FFFFFF" w:val="clear"/>
            <w:vAlign w:val="center"/>
          </w:tcPr>
          <w:p>
            <w:pPr>
              <w:pStyle w:val="TableContents"/>
              <w:bidi w:val="0"/>
              <w:spacing w:before="0" w:after="283"/>
              <w:jc w:val="center"/>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50,480,694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598,364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(468,706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129,441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Proceeds from sales of common stock under ATM facility, net of commissions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880,000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1,437</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Restricted stock units 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33,505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2,687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2,687</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Foreign currency translation adjustment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170</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Unrealized loss on available-for-sale debt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611" w:type="dxa"/>
            <w:tcBorders/>
            <w:shd w:fill="FFFFFF"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(12,968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4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51,394,199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602,488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(481,674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120,694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6" w:type="dxa"/>
            <w:gridSpan w:val="2"/>
            <w:tcBorders/>
            <w:shd w:fill="FFFFFF" w:val="clear"/>
            <w:vAlign w:val="center"/>
          </w:tcPr>
          <w:p>
            <w:pPr>
              <w:pStyle w:val="TableContents"/>
              <w:bidi w:val="0"/>
              <w:spacing w:before="0" w:after="283"/>
              <w:jc w:val="center"/>
              <w:rPr/>
            </w:pPr>
            <w:r>
              <w:rPr/>
              <w:t> </w:t>
            </w:r>
          </w:p>
        </w:tc>
        <w:tc>
          <w:tcPr>
            <w:tcW w:w="611" w:type="dxa"/>
            <w:tcBorders/>
            <w:shd w:fill="FFFFFF" w:val="clear"/>
            <w:vAlign w:val="center"/>
          </w:tcPr>
          <w:p>
            <w:pPr>
              <w:pStyle w:val="TableContents"/>
              <w:bidi w:val="0"/>
              <w:spacing w:before="0" w:after="283"/>
              <w:jc w:val="center"/>
              <w:rPr/>
            </w:pPr>
            <w:r>
              <w:rPr/>
              <w:t> </w:t>
            </w:r>
          </w:p>
        </w:tc>
      </w:tr>
      <w:tr>
        <w:trPr/>
        <w:tc>
          <w:tcPr>
            <w:tcW w:w="19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46,707,084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579,456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(912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(360,410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218,139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Restricted stock units 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67,406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3,695</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Foreign currency translation adjustment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19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Unrealized gain on available-for-sale debt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c>
          <w:tcPr>
            <w:tcW w:w="9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1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429</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194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(28,659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46,774,490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583,151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(389,069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193,632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color w:val="000000"/>
          <w:sz w:val="18"/>
        </w:rPr>
      </w:pPr>
      <w:r>
        <w:rPr>
          <w:rFonts w:ascii="Arial" w:hAnsi="Arial"/>
          <w:color w:val="000000"/>
          <w:sz w:val="18"/>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Arial" w:hAnsi="Arial"/>
          <w:b/>
          <w:color w:val="000000"/>
          <w:sz w:val="18"/>
        </w:rPr>
      </w:pPr>
      <w:bookmarkStart w:id="10" w:name="condensed_consolidated_statements_cash_f"/>
      <w:bookmarkEnd w:id="10"/>
      <w:r>
        <w:rPr>
          <w:rFonts w:ascii="Arial" w:hAnsi="Arial"/>
          <w:b/>
          <w:color w:val="000000"/>
          <w:sz w:val="18"/>
        </w:rPr>
        <w:t>CONDENSED CONSOLIDATED STATEMENTS OF CASH FLOWS (unaudited)</w:t>
      </w:r>
    </w:p>
    <w:p>
      <w:pPr>
        <w:pStyle w:val="TextBody"/>
        <w:bidi w:val="0"/>
        <w:jc w:val="center"/>
        <w:rPr>
          <w:rFonts w:ascii="Arial" w:hAnsi="Arial"/>
          <w:color w:val="000000"/>
          <w:sz w:val="18"/>
        </w:rPr>
      </w:pPr>
      <w:r>
        <w:rPr>
          <w:rFonts w:ascii="Arial" w:hAnsi="Arial"/>
          <w:color w:val="000000"/>
          <w:sz w:val="18"/>
        </w:rPr>
        <w:t>(in thousands)</w:t>
      </w:r>
    </w:p>
    <w:p>
      <w:pPr>
        <w:pStyle w:val="TextBody"/>
        <w:bidi w:val="0"/>
        <w:jc w:val="center"/>
        <w:rPr/>
      </w:pPr>
      <w:r>
        <w:rPr/>
        <w:t> </w:t>
      </w:r>
    </w:p>
    <w:tbl>
      <w:tblPr>
        <w:tblW w:w="10138" w:type="dxa"/>
        <w:jc w:val="left"/>
        <w:tblInd w:w="0" w:type="dxa"/>
        <w:tblLayout w:type="fixed"/>
        <w:tblCellMar>
          <w:top w:w="28" w:type="dxa"/>
          <w:left w:w="28" w:type="dxa"/>
          <w:bottom w:w="28" w:type="dxa"/>
          <w:right w:w="28" w:type="dxa"/>
        </w:tblCellMar>
      </w:tblPr>
      <w:tblGrid>
        <w:gridCol w:w="6551"/>
        <w:gridCol w:w="150"/>
        <w:gridCol w:w="250"/>
        <w:gridCol w:w="878"/>
        <w:gridCol w:w="197"/>
        <w:gridCol w:w="173"/>
        <w:gridCol w:w="250"/>
        <w:gridCol w:w="878"/>
        <w:gridCol w:w="811"/>
      </w:tblGrid>
      <w:tr>
        <w:trPr/>
        <w:tc>
          <w:tcPr>
            <w:tcW w:w="65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551" w:type="dxa"/>
            <w:tcBorders/>
            <w:shd w:fill="FFFFFF" w:val="cle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center"/>
              <w:rPr/>
            </w:pPr>
            <w:r>
              <w:rPr/>
              <w:t> </w:t>
            </w:r>
          </w:p>
        </w:tc>
        <w:tc>
          <w:tcPr>
            <w:tcW w:w="26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1" w:type="dxa"/>
            <w:tcBorders/>
            <w:shd w:fill="FFFFFF" w:val="clear"/>
            <w:vAlign w:val="center"/>
          </w:tcPr>
          <w:p>
            <w:pPr>
              <w:pStyle w:val="TableContents"/>
              <w:bidi w:val="0"/>
              <w:spacing w:before="0" w:after="283"/>
              <w:jc w:val="center"/>
              <w:rPr/>
            </w:pPr>
            <w:r>
              <w:rPr/>
              <w:t> </w:t>
            </w:r>
          </w:p>
        </w:tc>
        <w:tc>
          <w:tcPr>
            <w:tcW w:w="150" w:type="dxa"/>
            <w:tcBorders/>
            <w:shd w:fill="FFFFFF" w:val="cle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50" w:type="dxa"/>
            <w:tcBorders/>
            <w:shd w:fill="CFF0FC" w:val="clear"/>
            <w:vAlign w:val="center"/>
          </w:tcPr>
          <w:p>
            <w:pPr>
              <w:pStyle w:val="TableContents"/>
              <w:bidi w:val="0"/>
              <w:spacing w:before="0" w:after="283"/>
              <w:jc w:val="left"/>
              <w:rPr/>
            </w:pPr>
            <w:r>
              <w:rPr/>
              <w:t> </w:t>
            </w:r>
          </w:p>
        </w:tc>
        <w:tc>
          <w:tcPr>
            <w:tcW w:w="1128"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1128"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65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(12,968</w:t>
            </w:r>
          </w:p>
        </w:tc>
        <w:tc>
          <w:tcPr>
            <w:tcW w:w="19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(28,659</w:t>
            </w:r>
          </w:p>
        </w:tc>
        <w:tc>
          <w:tcPr>
            <w:tcW w:w="8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loss to net cash used in operating activities</w:t>
            </w:r>
          </w:p>
        </w:tc>
        <w:tc>
          <w:tcPr>
            <w:tcW w:w="150" w:type="dxa"/>
            <w:tcBorders/>
            <w:shd w:fill="CFF0FC" w:val="clear"/>
            <w:vAlign w:val="center"/>
          </w:tcPr>
          <w:p>
            <w:pPr>
              <w:pStyle w:val="TableContents"/>
              <w:bidi w:val="0"/>
              <w:spacing w:before="0" w:after="283"/>
              <w:jc w:val="left"/>
              <w:rPr/>
            </w:pPr>
            <w:r>
              <w:rPr/>
              <w:t> </w:t>
            </w:r>
          </w:p>
        </w:tc>
        <w:tc>
          <w:tcPr>
            <w:tcW w:w="1128"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1128"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655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Stock-based compensation expense</w:t>
            </w:r>
          </w:p>
        </w:tc>
        <w:tc>
          <w:tcPr>
            <w:tcW w:w="1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2,687</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3,695</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5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Depreciation and amortization</w:t>
            </w:r>
          </w:p>
        </w:tc>
        <w:tc>
          <w:tcPr>
            <w:tcW w:w="150"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2,837</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2,781</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5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Noncash operating lease cost</w:t>
            </w:r>
          </w:p>
        </w:tc>
        <w:tc>
          <w:tcPr>
            <w:tcW w:w="1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337</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539</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5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Noncash gain related to liability classified Tempus Warrants</w:t>
            </w:r>
          </w:p>
        </w:tc>
        <w:tc>
          <w:tcPr>
            <w:tcW w:w="150"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(4,765</w:t>
            </w:r>
          </w:p>
        </w:tc>
        <w:tc>
          <w:tcPr>
            <w:tcW w:w="19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5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Amortization of premium (discount) on short-term investments</w:t>
            </w:r>
          </w:p>
        </w:tc>
        <w:tc>
          <w:tcPr>
            <w:tcW w:w="1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(723</w:t>
            </w:r>
          </w:p>
        </w:tc>
        <w:tc>
          <w:tcPr>
            <w:tcW w:w="19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811"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55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Noncash restructuring and other charges</w:t>
            </w:r>
          </w:p>
        </w:tc>
        <w:tc>
          <w:tcPr>
            <w:tcW w:w="150"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1,204</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655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Other</w:t>
            </w:r>
          </w:p>
        </w:tc>
        <w:tc>
          <w:tcPr>
            <w:tcW w:w="1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199</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655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Changes in operating assets and liabilities</w:t>
            </w:r>
          </w:p>
        </w:tc>
        <w:tc>
          <w:tcPr>
            <w:tcW w:w="150" w:type="dxa"/>
            <w:tcBorders/>
            <w:shd w:fill="CFF0FC" w:val="clear"/>
            <w:vAlign w:val="center"/>
          </w:tcPr>
          <w:p>
            <w:pPr>
              <w:pStyle w:val="TableContents"/>
              <w:bidi w:val="0"/>
              <w:spacing w:before="0" w:after="283"/>
              <w:jc w:val="left"/>
              <w:rPr/>
            </w:pPr>
            <w:r>
              <w:rPr/>
              <w:t> </w:t>
            </w:r>
          </w:p>
        </w:tc>
        <w:tc>
          <w:tcPr>
            <w:tcW w:w="1128"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1128"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6551"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Accounts receivable</w:t>
            </w:r>
          </w:p>
        </w:tc>
        <w:tc>
          <w:tcPr>
            <w:tcW w:w="1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6,385</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(1,460</w:t>
            </w:r>
          </w:p>
        </w:tc>
        <w:tc>
          <w:tcPr>
            <w:tcW w:w="811" w:type="dxa"/>
            <w:tcBorders/>
            <w:shd w:fill="FFFFFF"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551"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Inventory and other deferred costs</w:t>
            </w:r>
          </w:p>
        </w:tc>
        <w:tc>
          <w:tcPr>
            <w:tcW w:w="150"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1,707</w:t>
            </w:r>
          </w:p>
        </w:tc>
        <w:tc>
          <w:tcPr>
            <w:tcW w:w="197"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551"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Prepaid expenses and other assets</w:t>
            </w:r>
          </w:p>
        </w:tc>
        <w:tc>
          <w:tcPr>
            <w:tcW w:w="1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(203</w:t>
            </w:r>
          </w:p>
        </w:tc>
        <w:tc>
          <w:tcPr>
            <w:tcW w:w="19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(254</w:t>
            </w:r>
          </w:p>
        </w:tc>
        <w:tc>
          <w:tcPr>
            <w:tcW w:w="811" w:type="dxa"/>
            <w:tcBorders/>
            <w:shd w:fill="FFFFFF"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551"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Accounts payable</w:t>
            </w:r>
          </w:p>
        </w:tc>
        <w:tc>
          <w:tcPr>
            <w:tcW w:w="150"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(5,637</w:t>
            </w:r>
          </w:p>
        </w:tc>
        <w:tc>
          <w:tcPr>
            <w:tcW w:w="19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(1,407</w:t>
            </w:r>
          </w:p>
        </w:tc>
        <w:tc>
          <w:tcPr>
            <w:tcW w:w="811" w:type="dxa"/>
            <w:tcBorders/>
            <w:shd w:fill="CFF0FC" w:val="cle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551"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Accrued and other current liabilities</w:t>
            </w:r>
          </w:p>
        </w:tc>
        <w:tc>
          <w:tcPr>
            <w:tcW w:w="1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(7,836</w:t>
            </w:r>
          </w:p>
        </w:tc>
        <w:tc>
          <w:tcPr>
            <w:tcW w:w="19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426</w:t>
            </w:r>
          </w:p>
        </w:tc>
        <w:tc>
          <w:tcPr>
            <w:tcW w:w="811" w:type="dxa"/>
            <w:tcBorders/>
            <w:shd w:fill="FFFFFF" w:val="clear"/>
            <w:vAlign w:val="center"/>
          </w:tcPr>
          <w:p>
            <w:pPr>
              <w:pStyle w:val="TableContents"/>
              <w:bidi w:val="0"/>
              <w:spacing w:before="0" w:after="283"/>
              <w:ind w:left="0" w:right="0" w:firstLine="400"/>
              <w:jc w:val="left"/>
              <w:rPr/>
            </w:pPr>
            <w:r>
              <w:rPr/>
              <w:t> </w:t>
            </w:r>
          </w:p>
        </w:tc>
      </w:tr>
      <w:tr>
        <w:trPr/>
        <w:tc>
          <w:tcPr>
            <w:tcW w:w="6551"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Contract liabilities</w:t>
            </w:r>
          </w:p>
        </w:tc>
        <w:tc>
          <w:tcPr>
            <w:tcW w:w="150"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(1,593</w:t>
            </w:r>
          </w:p>
        </w:tc>
        <w:tc>
          <w:tcPr>
            <w:tcW w:w="19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4,999</w:t>
            </w:r>
          </w:p>
        </w:tc>
        <w:tc>
          <w:tcPr>
            <w:tcW w:w="811" w:type="dxa"/>
            <w:tcBorders/>
            <w:shd w:fill="CFF0FC" w:val="clear"/>
            <w:vAlign w:val="center"/>
          </w:tcPr>
          <w:p>
            <w:pPr>
              <w:pStyle w:val="TableContents"/>
              <w:bidi w:val="0"/>
              <w:spacing w:before="0" w:after="283"/>
              <w:ind w:left="0" w:right="0" w:firstLine="400"/>
              <w:jc w:val="left"/>
              <w:rPr/>
            </w:pPr>
            <w:r>
              <w:rPr/>
              <w:t> </w:t>
            </w:r>
          </w:p>
        </w:tc>
      </w:tr>
      <w:tr>
        <w:trPr/>
        <w:tc>
          <w:tcPr>
            <w:tcW w:w="6551"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Operating lease liabilities</w:t>
            </w:r>
          </w:p>
        </w:tc>
        <w:tc>
          <w:tcPr>
            <w:tcW w:w="1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(840</w:t>
            </w:r>
          </w:p>
        </w:tc>
        <w:tc>
          <w:tcPr>
            <w:tcW w:w="19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2,375</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6551" w:type="dxa"/>
            <w:tcBorders/>
            <w:shd w:fill="CFF0FC"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cash used in operating activities</w:t>
            </w:r>
          </w:p>
        </w:tc>
        <w:tc>
          <w:tcPr>
            <w:tcW w:w="150" w:type="dxa"/>
            <w:tcBorders/>
            <w:shd w:fill="CFF0FC" w:val="clear"/>
            <w:vAlign w:val="center"/>
          </w:tcPr>
          <w:p>
            <w:pPr>
              <w:pStyle w:val="TableContents"/>
              <w:bidi w:val="0"/>
              <w:spacing w:before="0" w:after="283"/>
              <w:jc w:val="left"/>
              <w:rPr/>
            </w:pPr>
            <w:r>
              <w:rPr/>
              <w:t> </w:t>
            </w:r>
          </w:p>
        </w:tc>
        <w:tc>
          <w:tcPr>
            <w:tcW w:w="25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(20,413</w:t>
            </w:r>
          </w:p>
        </w:tc>
        <w:tc>
          <w:tcPr>
            <w:tcW w:w="19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(15,745</w:t>
            </w:r>
          </w:p>
        </w:tc>
        <w:tc>
          <w:tcPr>
            <w:tcW w:w="8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5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50" w:type="dxa"/>
            <w:tcBorders/>
            <w:shd w:fill="FFFFFF" w:val="clear"/>
            <w:vAlign w:val="center"/>
          </w:tcPr>
          <w:p>
            <w:pPr>
              <w:pStyle w:val="TableContents"/>
              <w:bidi w:val="0"/>
              <w:spacing w:before="0" w:after="283"/>
              <w:jc w:val="left"/>
              <w:rPr/>
            </w:pPr>
            <w:r>
              <w:rPr/>
              <w:t> </w:t>
            </w:r>
          </w:p>
        </w:tc>
        <w:tc>
          <w:tcPr>
            <w:tcW w:w="1128" w:type="dxa"/>
            <w:gridSpan w:val="2"/>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1128"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65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Purchases of available-for-sale debt securities</w:t>
            </w:r>
          </w:p>
        </w:tc>
        <w:tc>
          <w:tcPr>
            <w:tcW w:w="150"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(29,095</w:t>
            </w:r>
          </w:p>
        </w:tc>
        <w:tc>
          <w:tcPr>
            <w:tcW w:w="19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(21,529</w:t>
            </w:r>
          </w:p>
        </w:tc>
        <w:tc>
          <w:tcPr>
            <w:tcW w:w="8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maturities of available-for-sale debt securities</w:t>
            </w:r>
          </w:p>
        </w:tc>
        <w:tc>
          <w:tcPr>
            <w:tcW w:w="1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35,500</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39,100</w:t>
            </w:r>
          </w:p>
        </w:tc>
        <w:tc>
          <w:tcPr>
            <w:tcW w:w="811" w:type="dxa"/>
            <w:tcBorders/>
            <w:shd w:fill="FFFFFF" w:val="clear"/>
            <w:vAlign w:val="center"/>
          </w:tcPr>
          <w:p>
            <w:pPr>
              <w:pStyle w:val="TableContents"/>
              <w:bidi w:val="0"/>
              <w:spacing w:before="0" w:after="283"/>
              <w:jc w:val="left"/>
              <w:rPr/>
            </w:pPr>
            <w:r>
              <w:rPr/>
              <w:t> </w:t>
            </w:r>
          </w:p>
        </w:tc>
      </w:tr>
      <w:tr>
        <w:trPr/>
        <w:tc>
          <w:tcPr>
            <w:tcW w:w="65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Purchases of property and equipment</w:t>
            </w:r>
          </w:p>
        </w:tc>
        <w:tc>
          <w:tcPr>
            <w:tcW w:w="150"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551"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cash provided by investing activities</w:t>
            </w:r>
          </w:p>
        </w:tc>
        <w:tc>
          <w:tcPr>
            <w:tcW w:w="150"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6,301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13,793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50" w:type="dxa"/>
            <w:tcBorders/>
            <w:shd w:fill="CFF0FC" w:val="clear"/>
            <w:vAlign w:val="center"/>
          </w:tcPr>
          <w:p>
            <w:pPr>
              <w:pStyle w:val="TableContents"/>
              <w:bidi w:val="0"/>
              <w:spacing w:before="0" w:after="283"/>
              <w:jc w:val="left"/>
              <w:rPr/>
            </w:pPr>
            <w:r>
              <w:rPr/>
              <w:t> </w:t>
            </w:r>
          </w:p>
        </w:tc>
        <w:tc>
          <w:tcPr>
            <w:tcW w:w="1128" w:type="dxa"/>
            <w:gridSpan w:val="2"/>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right"/>
              <w:rPr/>
            </w:pPr>
            <w:r>
              <w:rPr/>
              <w:t> </w:t>
            </w:r>
          </w:p>
        </w:tc>
        <w:tc>
          <w:tcPr>
            <w:tcW w:w="173" w:type="dxa"/>
            <w:tcBorders/>
            <w:shd w:fill="CFF0FC" w:val="clear"/>
            <w:vAlign w:val="center"/>
          </w:tcPr>
          <w:p>
            <w:pPr>
              <w:pStyle w:val="TableContents"/>
              <w:bidi w:val="0"/>
              <w:spacing w:before="0" w:after="283"/>
              <w:jc w:val="left"/>
              <w:rPr/>
            </w:pPr>
            <w:r>
              <w:rPr/>
              <w:t> </w:t>
            </w:r>
          </w:p>
        </w:tc>
        <w:tc>
          <w:tcPr>
            <w:tcW w:w="1128"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65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sales of common stock under ATM facility, net of commissions</w:t>
            </w:r>
          </w:p>
        </w:tc>
        <w:tc>
          <w:tcPr>
            <w:tcW w:w="1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1,437</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jc w:val="left"/>
              <w:rPr/>
            </w:pPr>
            <w:r>
              <w:rPr/>
              <w:t> </w:t>
            </w:r>
          </w:p>
        </w:tc>
      </w:tr>
      <w:tr>
        <w:trPr/>
        <w:tc>
          <w:tcPr>
            <w:tcW w:w="65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Repayments of loans</w:t>
            </w:r>
          </w:p>
        </w:tc>
        <w:tc>
          <w:tcPr>
            <w:tcW w:w="150"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(308</w:t>
            </w:r>
          </w:p>
        </w:tc>
        <w:tc>
          <w:tcPr>
            <w:tcW w:w="19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6551"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cash provided by financing activities</w:t>
            </w:r>
          </w:p>
        </w:tc>
        <w:tc>
          <w:tcPr>
            <w:tcW w:w="150" w:type="dxa"/>
            <w:tcBorders/>
            <w:shd w:fill="FFFFFF" w:val="clear"/>
            <w:vAlign w:val="center"/>
          </w:tcPr>
          <w:p>
            <w:pPr>
              <w:pStyle w:val="TableContents"/>
              <w:bidi w:val="0"/>
              <w:spacing w:before="0" w:after="283"/>
              <w:jc w:val="left"/>
              <w:rPr/>
            </w:pPr>
            <w:r>
              <w:rPr/>
              <w:t> </w:t>
            </w:r>
          </w:p>
        </w:tc>
        <w:tc>
          <w:tcPr>
            <w:tcW w:w="2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1,129</w:t>
            </w:r>
          </w:p>
        </w:tc>
        <w:tc>
          <w:tcPr>
            <w:tcW w:w="1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5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5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rates on cash, cash equivalents and restricted cash</w:t>
            </w:r>
          </w:p>
        </w:tc>
        <w:tc>
          <w:tcPr>
            <w:tcW w:w="150"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9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87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8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change in cash, cash equivalents and restricted cash</w:t>
            </w:r>
          </w:p>
        </w:tc>
        <w:tc>
          <w:tcPr>
            <w:tcW w:w="1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(13,003</w:t>
            </w:r>
          </w:p>
        </w:tc>
        <w:tc>
          <w:tcPr>
            <w:tcW w:w="19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(1,956</w:t>
            </w:r>
          </w:p>
        </w:tc>
        <w:tc>
          <w:tcPr>
            <w:tcW w:w="8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beginning of period</w:t>
            </w:r>
          </w:p>
        </w:tc>
        <w:tc>
          <w:tcPr>
            <w:tcW w:w="150"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58,774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90,918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end of period</w:t>
            </w:r>
          </w:p>
        </w:tc>
        <w:tc>
          <w:tcPr>
            <w:tcW w:w="150"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45,771</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88,962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28" w:type="dxa"/>
            <w:gridSpan w:val="2"/>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1128"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655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1128" w:type="dxa"/>
            <w:gridSpan w:val="2"/>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right"/>
              <w:rPr/>
            </w:pPr>
            <w:r>
              <w:rPr/>
              <w:t> </w:t>
            </w:r>
          </w:p>
        </w:tc>
        <w:tc>
          <w:tcPr>
            <w:tcW w:w="173" w:type="dxa"/>
            <w:tcBorders/>
            <w:shd w:fill="FFFFFF" w:val="clear"/>
            <w:vAlign w:val="center"/>
          </w:tcPr>
          <w:p>
            <w:pPr>
              <w:pStyle w:val="TableContents"/>
              <w:bidi w:val="0"/>
              <w:spacing w:before="0" w:after="283"/>
              <w:jc w:val="left"/>
              <w:rPr/>
            </w:pPr>
            <w:r>
              <w:rPr/>
              <w:t> </w:t>
            </w:r>
          </w:p>
        </w:tc>
        <w:tc>
          <w:tcPr>
            <w:tcW w:w="1128"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jc w:val="right"/>
              <w:rPr/>
            </w:pPr>
            <w:r>
              <w:rPr/>
              <w:t> </w:t>
            </w:r>
          </w:p>
        </w:tc>
      </w:tr>
      <w:tr>
        <w:trPr/>
        <w:tc>
          <w:tcPr>
            <w:tcW w:w="9327" w:type="dxa"/>
            <w:gridSpan w:val="8"/>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Reconciliation of cash, cash equivalents and restricted cash to the condensed consolidated balance sheets:</w:t>
            </w:r>
          </w:p>
        </w:tc>
        <w:tc>
          <w:tcPr>
            <w:tcW w:w="811" w:type="dxa"/>
            <w:tcBorders/>
            <w:shd w:fill="CFF0FC" w:val="clear"/>
            <w:vAlign w:val="center"/>
          </w:tcPr>
          <w:p>
            <w:pPr>
              <w:pStyle w:val="TableContents"/>
              <w:bidi w:val="0"/>
              <w:spacing w:before="0" w:after="283"/>
              <w:jc w:val="left"/>
              <w:rPr/>
            </w:pPr>
            <w:r>
              <w:rPr/>
              <w:t> </w:t>
            </w:r>
          </w:p>
        </w:tc>
      </w:tr>
      <w:tr>
        <w:trPr/>
        <w:tc>
          <w:tcPr>
            <w:tcW w:w="655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5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43,981</w:t>
            </w:r>
          </w:p>
        </w:tc>
        <w:tc>
          <w:tcPr>
            <w:tcW w:w="197"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87,172</w:t>
            </w:r>
          </w:p>
        </w:tc>
        <w:tc>
          <w:tcPr>
            <w:tcW w:w="811" w:type="dxa"/>
            <w:tcBorders/>
            <w:shd w:fill="FFFFFF" w:val="clear"/>
            <w:vAlign w:val="center"/>
          </w:tcPr>
          <w:p>
            <w:pPr>
              <w:pStyle w:val="TableContents"/>
              <w:bidi w:val="0"/>
              <w:spacing w:before="0" w:after="283"/>
              <w:jc w:val="left"/>
              <w:rPr/>
            </w:pPr>
            <w:r>
              <w:rPr/>
              <w:t> </w:t>
            </w:r>
          </w:p>
        </w:tc>
      </w:tr>
      <w:tr>
        <w:trPr/>
        <w:tc>
          <w:tcPr>
            <w:tcW w:w="655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 included in other long-term assets</w:t>
            </w:r>
          </w:p>
        </w:tc>
        <w:tc>
          <w:tcPr>
            <w:tcW w:w="150"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1,790</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5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 cash, cash equivalents and restricted cash</w:t>
            </w:r>
          </w:p>
        </w:tc>
        <w:tc>
          <w:tcPr>
            <w:tcW w:w="150"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45,771</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88,962</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Arial" w:hAnsi="Arial"/>
          <w:color w:val="000000"/>
          <w:sz w:val="18"/>
        </w:rPr>
      </w:pPr>
      <w:r>
        <w:rPr>
          <w:rFonts w:ascii="Arial" w:hAnsi="Arial"/>
          <w:color w:val="000000"/>
          <w:sz w:val="18"/>
        </w:rPr>
        <w:t>See notes to condensed consolidated financial statements.</w:t>
      </w:r>
    </w:p>
    <w:p>
      <w:pPr>
        <w:pStyle w:val="TextBody"/>
        <w:bidi w:val="0"/>
        <w:spacing w:before="240" w:after="283"/>
        <w:jc w:val="center"/>
        <w:rPr>
          <w:rFonts w:ascii="Arial" w:hAnsi="Arial"/>
          <w:color w:val="000000"/>
          <w:sz w:val="18"/>
        </w:rPr>
      </w:pPr>
      <w:r>
        <w:rPr>
          <w:rFonts w:ascii="Arial" w:hAnsi="Arial"/>
          <w:color w:val="000000"/>
          <w:sz w:val="18"/>
        </w:rPr>
        <w:t>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tbl>
      <w:tblPr>
        <w:tblW w:w="8069" w:type="dxa"/>
        <w:jc w:val="left"/>
        <w:tblInd w:w="0" w:type="dxa"/>
        <w:tblLayout w:type="fixed"/>
        <w:tblCellMar>
          <w:top w:w="28" w:type="dxa"/>
          <w:left w:w="28" w:type="dxa"/>
          <w:bottom w:w="28" w:type="dxa"/>
          <w:right w:w="28" w:type="dxa"/>
        </w:tblCellMar>
      </w:tblPr>
      <w:tblGrid>
        <w:gridCol w:w="1231"/>
        <w:gridCol w:w="6039"/>
        <w:gridCol w:w="799"/>
      </w:tblGrid>
      <w:tr>
        <w:trPr/>
        <w:tc>
          <w:tcPr>
            <w:tcW w:w="1231" w:type="dxa"/>
            <w:tcBorders/>
            <w:vAlign w:val="center"/>
          </w:tcPr>
          <w:p>
            <w:pPr>
              <w:pStyle w:val="TableContents"/>
              <w:bidi w:val="0"/>
              <w:spacing w:before="0" w:after="283"/>
              <w:jc w:val="left"/>
              <w:rPr>
                <w:sz w:val="4"/>
                <w:szCs w:val="4"/>
              </w:rPr>
            </w:pPr>
            <w:r>
              <w:rPr>
                <w:sz w:val="4"/>
                <w:szCs w:val="4"/>
              </w:rPr>
            </w:r>
          </w:p>
        </w:tc>
        <w:tc>
          <w:tcPr>
            <w:tcW w:w="603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8069" w:type="dxa"/>
            <w:gridSpan w:val="3"/>
            <w:tcBorders/>
            <w:shd w:fill="FFFFFF" w:val="clear"/>
            <w:vAlign w:val="center"/>
          </w:tcPr>
          <w:p>
            <w:pPr>
              <w:pStyle w:val="TableContents"/>
              <w:bidi w:val="0"/>
              <w:spacing w:before="0" w:after="283"/>
              <w:jc w:val="center"/>
              <w:rPr>
                <w:rFonts w:ascii="Arial" w:hAnsi="Arial"/>
                <w:b/>
                <w:color w:val="000000"/>
                <w:sz w:val="18"/>
              </w:rPr>
            </w:pPr>
            <w:r>
              <w:rPr>
                <w:rFonts w:ascii="Arial" w:hAnsi="Arial"/>
                <w:b/>
                <w:color w:val="000000"/>
                <w:sz w:val="18"/>
              </w:rPr>
              <w:t>PERSONALIS, INC.</w:t>
            </w:r>
          </w:p>
        </w:tc>
      </w:tr>
      <w:tr>
        <w:trPr/>
        <w:tc>
          <w:tcPr>
            <w:tcW w:w="8069" w:type="dxa"/>
            <w:gridSpan w:val="3"/>
            <w:tcBorders/>
            <w:shd w:fill="FFFFFF" w:val="clear"/>
            <w:vAlign w:val="center"/>
          </w:tcPr>
          <w:p>
            <w:pPr>
              <w:pStyle w:val="TableContents"/>
              <w:bidi w:val="0"/>
              <w:spacing w:before="0" w:after="283"/>
              <w:jc w:val="center"/>
              <w:rPr>
                <w:rFonts w:ascii="Times New Roman" w:hAnsi="Times New Roman"/>
                <w:sz w:val="18"/>
              </w:rPr>
            </w:pPr>
            <w:bookmarkStart w:id="11" w:name="index_to_notes"/>
            <w:bookmarkEnd w:id="11"/>
            <w:r>
              <w:rPr>
                <w:rFonts w:ascii="Arial" w:hAnsi="Arial"/>
                <w:b/>
                <w:color w:val="000000"/>
                <w:sz w:val="18"/>
              </w:rPr>
              <w:t>INDEX FOR NOTES TO CONDENSED</w:t>
            </w:r>
            <w:r>
              <w:rPr>
                <w:rFonts w:ascii="Times New Roman" w:hAnsi="Times New Roman"/>
                <w:color w:val="000000"/>
                <w:sz w:val="18"/>
              </w:rPr>
              <w:t> </w:t>
            </w:r>
            <w:r>
              <w:rPr>
                <w:rFonts w:ascii="Arial" w:hAnsi="Arial"/>
                <w:b/>
                <w:color w:val="000000"/>
                <w:sz w:val="18"/>
              </w:rPr>
              <w:t>CONSOLIDATED FINANCIAL STATEMENTS (unaudited)</w:t>
            </w:r>
          </w:p>
        </w:tc>
      </w:tr>
      <w:tr>
        <w:trPr/>
        <w:tc>
          <w:tcPr>
            <w:tcW w:w="1231" w:type="dxa"/>
            <w:tcBorders/>
            <w:shd w:fill="FFFFFF" w:val="clear"/>
            <w:vAlign w:val="center"/>
          </w:tcPr>
          <w:p>
            <w:pPr>
              <w:pStyle w:val="TableContents"/>
              <w:bidi w:val="0"/>
              <w:spacing w:before="0" w:after="283"/>
              <w:jc w:val="center"/>
              <w:rPr/>
            </w:pPr>
            <w:r>
              <w:rPr/>
              <w:t> </w:t>
            </w:r>
          </w:p>
        </w:tc>
        <w:tc>
          <w:tcPr>
            <w:tcW w:w="6039" w:type="dxa"/>
            <w:tcBorders/>
            <w:shd w:fill="FFFFFF" w:val="clear"/>
            <w:vAlign w:val="center"/>
          </w:tcPr>
          <w:p>
            <w:pPr>
              <w:pStyle w:val="TableContents"/>
              <w:bidi w:val="0"/>
              <w:spacing w:before="0" w:after="283"/>
              <w:jc w:val="center"/>
              <w:rPr/>
            </w:pPr>
            <w:r>
              <w:rPr/>
              <w:t> </w:t>
            </w:r>
          </w:p>
        </w:tc>
        <w:tc>
          <w:tcPr>
            <w:tcW w:w="799" w:type="dxa"/>
            <w:tcBorders/>
            <w:shd w:fill="FFFFFF" w:val="clear"/>
            <w:vAlign w:val="center"/>
          </w:tcPr>
          <w:p>
            <w:pPr>
              <w:pStyle w:val="TableContents"/>
              <w:bidi w:val="0"/>
              <w:spacing w:before="0" w:after="283"/>
              <w:jc w:val="center"/>
              <w:rPr/>
            </w:pPr>
            <w:r>
              <w:rPr/>
              <w:t> </w:t>
            </w:r>
          </w:p>
        </w:tc>
      </w:tr>
      <w:tr>
        <w:trPr/>
        <w:tc>
          <w:tcPr>
            <w:tcW w:w="1231" w:type="dxa"/>
            <w:tcBorders/>
            <w:shd w:fill="FFFFFF" w:val="clear"/>
            <w:vAlign w:val="center"/>
          </w:tcPr>
          <w:p>
            <w:pPr>
              <w:pStyle w:val="TableContents"/>
              <w:bidi w:val="0"/>
              <w:spacing w:before="0" w:after="283"/>
              <w:jc w:val="center"/>
              <w:rPr/>
            </w:pPr>
            <w:r>
              <w:rPr/>
              <w:t> </w:t>
            </w:r>
          </w:p>
        </w:tc>
        <w:tc>
          <w:tcPr>
            <w:tcW w:w="6039" w:type="dxa"/>
            <w:tcBorders/>
            <w:shd w:fill="FFFFFF" w:val="clear"/>
            <w:vAlign w:val="center"/>
          </w:tcPr>
          <w:p>
            <w:pPr>
              <w:pStyle w:val="TableContents"/>
              <w:bidi w:val="0"/>
              <w:spacing w:before="0" w:after="283"/>
              <w:jc w:val="center"/>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Page</w:t>
            </w:r>
          </w:p>
        </w:tc>
      </w:tr>
      <w:tr>
        <w:trPr/>
        <w:tc>
          <w:tcPr>
            <w:tcW w:w="1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1.</w:t>
            </w:r>
          </w:p>
        </w:tc>
        <w:tc>
          <w:tcPr>
            <w:tcW w:w="6039" w:type="dxa"/>
            <w:tcBorders/>
            <w:shd w:fill="CFF0FC" w:val="clear"/>
            <w:vAlign w:val="center"/>
          </w:tcPr>
          <w:p>
            <w:pPr>
              <w:pStyle w:val="TableContents"/>
              <w:bidi w:val="0"/>
              <w:spacing w:before="0" w:after="283"/>
              <w:jc w:val="left"/>
              <w:rPr/>
            </w:pPr>
            <w:hyperlink w:anchor="note_1_company_and_nature_of_business">
              <w:r>
                <w:rPr>
                  <w:rStyle w:val="InternetLink"/>
                  <w:rFonts w:ascii="Arial" w:hAnsi="Arial"/>
                  <w:color w:val="0000FF"/>
                  <w:sz w:val="18"/>
                  <w:u w:val="single"/>
                </w:rPr>
                <w:t>Company and Nature of Business</w:t>
              </w:r>
            </w:hyperlink>
          </w:p>
        </w:tc>
        <w:tc>
          <w:tcPr>
            <w:tcW w:w="799"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r>
      <w:tr>
        <w:trPr/>
        <w:tc>
          <w:tcPr>
            <w:tcW w:w="1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2.</w:t>
            </w:r>
          </w:p>
        </w:tc>
        <w:tc>
          <w:tcPr>
            <w:tcW w:w="6039" w:type="dxa"/>
            <w:tcBorders/>
            <w:shd w:fill="FFFFFF" w:val="clear"/>
            <w:vAlign w:val="center"/>
          </w:tcPr>
          <w:p>
            <w:pPr>
              <w:pStyle w:val="TableContents"/>
              <w:bidi w:val="0"/>
              <w:spacing w:before="0" w:after="283"/>
              <w:jc w:val="left"/>
              <w:rPr/>
            </w:pPr>
            <w:hyperlink w:anchor="note_2_summary_significant_acctg_policie">
              <w:r>
                <w:rPr>
                  <w:rStyle w:val="InternetLink"/>
                  <w:rFonts w:ascii="Arial" w:hAnsi="Arial"/>
                  <w:color w:val="0000FF"/>
                  <w:sz w:val="18"/>
                  <w:u w:val="single"/>
                </w:rPr>
                <w:t>Summary of Significant Accounting Policies</w:t>
              </w:r>
            </w:hyperlink>
          </w:p>
        </w:tc>
        <w:tc>
          <w:tcPr>
            <w:tcW w:w="799"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10</w:t>
            </w:r>
          </w:p>
        </w:tc>
      </w:tr>
      <w:tr>
        <w:trPr/>
        <w:tc>
          <w:tcPr>
            <w:tcW w:w="1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3.</w:t>
            </w:r>
          </w:p>
        </w:tc>
        <w:tc>
          <w:tcPr>
            <w:tcW w:w="6039" w:type="dxa"/>
            <w:tcBorders/>
            <w:shd w:fill="CFF0FC" w:val="clear"/>
            <w:vAlign w:val="center"/>
          </w:tcPr>
          <w:p>
            <w:pPr>
              <w:pStyle w:val="TableContents"/>
              <w:bidi w:val="0"/>
              <w:spacing w:before="0" w:after="283"/>
              <w:jc w:val="left"/>
              <w:rPr/>
            </w:pPr>
            <w:hyperlink w:anchor="note_3_revenue">
              <w:r>
                <w:rPr>
                  <w:rStyle w:val="InternetLink"/>
                  <w:rFonts w:ascii="Arial" w:hAnsi="Arial"/>
                  <w:color w:val="0000FF"/>
                  <w:sz w:val="18"/>
                  <w:u w:val="single"/>
                </w:rPr>
                <w:t>Revenue</w:t>
              </w:r>
            </w:hyperlink>
          </w:p>
        </w:tc>
        <w:tc>
          <w:tcPr>
            <w:tcW w:w="799"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11</w:t>
            </w:r>
          </w:p>
        </w:tc>
      </w:tr>
      <w:tr>
        <w:trPr/>
        <w:tc>
          <w:tcPr>
            <w:tcW w:w="1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4.</w:t>
            </w:r>
          </w:p>
        </w:tc>
        <w:tc>
          <w:tcPr>
            <w:tcW w:w="6039" w:type="dxa"/>
            <w:tcBorders/>
            <w:shd w:fill="FFFFFF" w:val="clear"/>
            <w:vAlign w:val="center"/>
          </w:tcPr>
          <w:p>
            <w:pPr>
              <w:pStyle w:val="TableContents"/>
              <w:bidi w:val="0"/>
              <w:spacing w:before="0" w:after="283"/>
              <w:jc w:val="left"/>
              <w:rPr/>
            </w:pPr>
            <w:hyperlink w:anchor="note_4_balance_sheet_details">
              <w:r>
                <w:rPr>
                  <w:rStyle w:val="InternetLink"/>
                  <w:rFonts w:ascii="Arial" w:hAnsi="Arial"/>
                  <w:color w:val="0000FF"/>
                  <w:sz w:val="18"/>
                  <w:u w:val="single"/>
                </w:rPr>
                <w:t>Balance Sheet Details</w:t>
              </w:r>
            </w:hyperlink>
          </w:p>
        </w:tc>
        <w:tc>
          <w:tcPr>
            <w:tcW w:w="799"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12</w:t>
            </w:r>
          </w:p>
        </w:tc>
      </w:tr>
      <w:tr>
        <w:trPr/>
        <w:tc>
          <w:tcPr>
            <w:tcW w:w="1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5.</w:t>
            </w:r>
          </w:p>
        </w:tc>
        <w:tc>
          <w:tcPr>
            <w:tcW w:w="6039" w:type="dxa"/>
            <w:tcBorders/>
            <w:shd w:fill="CFF0FC" w:val="clear"/>
            <w:vAlign w:val="center"/>
          </w:tcPr>
          <w:p>
            <w:pPr>
              <w:pStyle w:val="TableContents"/>
              <w:bidi w:val="0"/>
              <w:spacing w:before="0" w:after="283"/>
              <w:jc w:val="left"/>
              <w:rPr/>
            </w:pPr>
            <w:hyperlink w:anchor="note_5_fair_value_measurements">
              <w:r>
                <w:rPr>
                  <w:rStyle w:val="InternetLink"/>
                  <w:rFonts w:ascii="Arial" w:hAnsi="Arial"/>
                  <w:color w:val="0000FF"/>
                  <w:sz w:val="18"/>
                  <w:u w:val="single"/>
                </w:rPr>
                <w:t>Fair Value Measurements</w:t>
              </w:r>
            </w:hyperlink>
          </w:p>
        </w:tc>
        <w:tc>
          <w:tcPr>
            <w:tcW w:w="799"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13</w:t>
            </w:r>
          </w:p>
        </w:tc>
      </w:tr>
      <w:tr>
        <w:trPr/>
        <w:tc>
          <w:tcPr>
            <w:tcW w:w="1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6.</w:t>
            </w:r>
          </w:p>
        </w:tc>
        <w:tc>
          <w:tcPr>
            <w:tcW w:w="6039" w:type="dxa"/>
            <w:tcBorders/>
            <w:shd w:fill="FFFFFF" w:val="clear"/>
            <w:vAlign w:val="center"/>
          </w:tcPr>
          <w:p>
            <w:pPr>
              <w:pStyle w:val="TableContents"/>
              <w:bidi w:val="0"/>
              <w:spacing w:before="0" w:after="283"/>
              <w:jc w:val="left"/>
              <w:rPr/>
            </w:pPr>
            <w:hyperlink w:anchor="note_6_loans">
              <w:r>
                <w:rPr>
                  <w:rStyle w:val="InternetLink"/>
                  <w:rFonts w:ascii="Arial" w:hAnsi="Arial"/>
                  <w:color w:val="0000FF"/>
                  <w:sz w:val="18"/>
                  <w:u w:val="single"/>
                </w:rPr>
                <w:t>Loans</w:t>
              </w:r>
            </w:hyperlink>
          </w:p>
        </w:tc>
        <w:tc>
          <w:tcPr>
            <w:tcW w:w="799"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14</w:t>
            </w:r>
          </w:p>
        </w:tc>
      </w:tr>
      <w:tr>
        <w:trPr/>
        <w:tc>
          <w:tcPr>
            <w:tcW w:w="1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7.</w:t>
            </w:r>
          </w:p>
        </w:tc>
        <w:tc>
          <w:tcPr>
            <w:tcW w:w="6039" w:type="dxa"/>
            <w:tcBorders/>
            <w:shd w:fill="CFF0FC" w:val="clear"/>
            <w:vAlign w:val="center"/>
          </w:tcPr>
          <w:p>
            <w:pPr>
              <w:pStyle w:val="TableContents"/>
              <w:bidi w:val="0"/>
              <w:spacing w:before="0" w:after="283"/>
              <w:jc w:val="left"/>
              <w:rPr/>
            </w:pPr>
            <w:hyperlink w:anchor="note_7_leases">
              <w:r>
                <w:rPr>
                  <w:rStyle w:val="InternetLink"/>
                  <w:rFonts w:ascii="Arial" w:hAnsi="Arial"/>
                  <w:color w:val="0000FF"/>
                  <w:sz w:val="18"/>
                  <w:u w:val="single"/>
                </w:rPr>
                <w:t>Leases</w:t>
              </w:r>
            </w:hyperlink>
          </w:p>
        </w:tc>
        <w:tc>
          <w:tcPr>
            <w:tcW w:w="799"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15</w:t>
            </w:r>
          </w:p>
        </w:tc>
      </w:tr>
      <w:tr>
        <w:trPr/>
        <w:tc>
          <w:tcPr>
            <w:tcW w:w="1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8.</w:t>
            </w:r>
          </w:p>
        </w:tc>
        <w:tc>
          <w:tcPr>
            <w:tcW w:w="6039" w:type="dxa"/>
            <w:tcBorders/>
            <w:shd w:fill="FFFFFF" w:val="clear"/>
            <w:vAlign w:val="center"/>
          </w:tcPr>
          <w:p>
            <w:pPr>
              <w:pStyle w:val="TableContents"/>
              <w:bidi w:val="0"/>
              <w:spacing w:before="0" w:after="283"/>
              <w:jc w:val="left"/>
              <w:rPr/>
            </w:pPr>
            <w:hyperlink w:anchor="note_8_tempus_agreement">
              <w:r>
                <w:rPr>
                  <w:rStyle w:val="InternetLink"/>
                  <w:rFonts w:ascii="Arial" w:hAnsi="Arial"/>
                  <w:color w:val="0000FF"/>
                  <w:sz w:val="18"/>
                  <w:u w:val="single"/>
                </w:rPr>
                <w:t>Tempus Agreement</w:t>
              </w:r>
            </w:hyperlink>
          </w:p>
        </w:tc>
        <w:tc>
          <w:tcPr>
            <w:tcW w:w="799"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15</w:t>
            </w:r>
          </w:p>
        </w:tc>
      </w:tr>
      <w:tr>
        <w:trPr/>
        <w:tc>
          <w:tcPr>
            <w:tcW w:w="1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9.</w:t>
            </w:r>
          </w:p>
        </w:tc>
        <w:tc>
          <w:tcPr>
            <w:tcW w:w="6039" w:type="dxa"/>
            <w:tcBorders/>
            <w:shd w:fill="CFF0FC" w:val="clear"/>
            <w:vAlign w:val="center"/>
          </w:tcPr>
          <w:p>
            <w:pPr>
              <w:pStyle w:val="TableContents"/>
              <w:bidi w:val="0"/>
              <w:spacing w:before="0" w:after="283"/>
              <w:jc w:val="left"/>
              <w:rPr/>
            </w:pPr>
            <w:hyperlink w:anchor="note_9_restructuring_and_other_charges">
              <w:r>
                <w:rPr>
                  <w:rStyle w:val="InternetLink"/>
                  <w:rFonts w:ascii="Arial" w:hAnsi="Arial"/>
                  <w:color w:val="0000FF"/>
                  <w:sz w:val="18"/>
                  <w:u w:val="single"/>
                </w:rPr>
                <w:t>Restructuring and Other Charges</w:t>
              </w:r>
            </w:hyperlink>
          </w:p>
        </w:tc>
        <w:tc>
          <w:tcPr>
            <w:tcW w:w="799"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17</w:t>
            </w:r>
          </w:p>
        </w:tc>
      </w:tr>
      <w:tr>
        <w:trPr/>
        <w:tc>
          <w:tcPr>
            <w:tcW w:w="1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10.</w:t>
            </w:r>
          </w:p>
        </w:tc>
        <w:tc>
          <w:tcPr>
            <w:tcW w:w="6039" w:type="dxa"/>
            <w:tcBorders/>
            <w:shd w:fill="FFFFFF" w:val="clear"/>
            <w:vAlign w:val="center"/>
          </w:tcPr>
          <w:p>
            <w:pPr>
              <w:pStyle w:val="TableContents"/>
              <w:bidi w:val="0"/>
              <w:spacing w:before="0" w:after="283"/>
              <w:jc w:val="left"/>
              <w:rPr/>
            </w:pPr>
            <w:hyperlink w:anchor="note_10_stock_based_compensation">
              <w:r>
                <w:rPr>
                  <w:rStyle w:val="InternetLink"/>
                  <w:rFonts w:ascii="Arial" w:hAnsi="Arial"/>
                  <w:color w:val="0000FF"/>
                  <w:sz w:val="18"/>
                  <w:u w:val="single"/>
                </w:rPr>
                <w:t>Stock-Based Compensation</w:t>
              </w:r>
            </w:hyperlink>
          </w:p>
        </w:tc>
        <w:tc>
          <w:tcPr>
            <w:tcW w:w="799"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17</w:t>
            </w:r>
          </w:p>
        </w:tc>
      </w:tr>
      <w:tr>
        <w:trPr/>
        <w:tc>
          <w:tcPr>
            <w:tcW w:w="1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11.</w:t>
            </w:r>
          </w:p>
        </w:tc>
        <w:tc>
          <w:tcPr>
            <w:tcW w:w="6039" w:type="dxa"/>
            <w:tcBorders/>
            <w:shd w:fill="CFF0FC" w:val="clear"/>
            <w:vAlign w:val="center"/>
          </w:tcPr>
          <w:p>
            <w:pPr>
              <w:pStyle w:val="TableContents"/>
              <w:bidi w:val="0"/>
              <w:spacing w:before="0" w:after="283"/>
              <w:jc w:val="left"/>
              <w:rPr/>
            </w:pPr>
            <w:hyperlink w:anchor="note_11_commitments_and_contingencies">
              <w:r>
                <w:rPr>
                  <w:rStyle w:val="InternetLink"/>
                  <w:rFonts w:ascii="Arial" w:hAnsi="Arial"/>
                  <w:color w:val="0000FF"/>
                  <w:sz w:val="18"/>
                  <w:u w:val="single"/>
                </w:rPr>
                <w:t>Contingencies</w:t>
              </w:r>
            </w:hyperlink>
          </w:p>
        </w:tc>
        <w:tc>
          <w:tcPr>
            <w:tcW w:w="799"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19</w:t>
            </w:r>
          </w:p>
        </w:tc>
      </w:tr>
      <w:tr>
        <w:trPr/>
        <w:tc>
          <w:tcPr>
            <w:tcW w:w="1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Note 12.</w:t>
            </w:r>
          </w:p>
        </w:tc>
        <w:tc>
          <w:tcPr>
            <w:tcW w:w="6039" w:type="dxa"/>
            <w:tcBorders/>
            <w:shd w:fill="FFFFFF" w:val="clear"/>
            <w:vAlign w:val="center"/>
          </w:tcPr>
          <w:p>
            <w:pPr>
              <w:pStyle w:val="TableContents"/>
              <w:bidi w:val="0"/>
              <w:spacing w:before="0" w:after="283"/>
              <w:jc w:val="left"/>
              <w:rPr/>
            </w:pPr>
            <w:hyperlink w:anchor="note_12_basic_and_diluted_net_loss_per">
              <w:r>
                <w:rPr>
                  <w:rStyle w:val="InternetLink"/>
                  <w:rFonts w:ascii="Arial" w:hAnsi="Arial"/>
                  <w:color w:val="0000FF"/>
                  <w:sz w:val="18"/>
                  <w:u w:val="single"/>
                </w:rPr>
                <w:t>Basic and Diluted Net Loss Per Common Share</w:t>
              </w:r>
            </w:hyperlink>
          </w:p>
        </w:tc>
        <w:tc>
          <w:tcPr>
            <w:tcW w:w="799"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20</w:t>
            </w:r>
          </w:p>
        </w:tc>
      </w:tr>
    </w:tbl>
    <w:p>
      <w:pPr>
        <w:pStyle w:val="TextBody"/>
        <w:bidi w:val="0"/>
        <w:jc w:val="center"/>
        <w:rPr/>
      </w:pPr>
      <w:r>
        <w:rPr/>
        <w:t> </w:t>
      </w:r>
    </w:p>
    <w:p>
      <w:pPr>
        <w:pStyle w:val="TextBody"/>
        <w:bidi w:val="0"/>
        <w:spacing w:before="240" w:after="283"/>
        <w:jc w:val="center"/>
        <w:rPr>
          <w:rFonts w:ascii="Arial" w:hAnsi="Arial"/>
          <w:color w:val="000000"/>
          <w:sz w:val="18"/>
        </w:rPr>
      </w:pPr>
      <w:r>
        <w:rPr>
          <w:rFonts w:ascii="Arial" w:hAnsi="Arial"/>
          <w:color w:val="000000"/>
          <w:sz w:val="18"/>
        </w:rPr>
        <w:t>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PERSONALIS, INC.</w:t>
      </w:r>
    </w:p>
    <w:p>
      <w:pPr>
        <w:pStyle w:val="TextBody"/>
        <w:bidi w:val="0"/>
        <w:jc w:val="center"/>
        <w:rPr>
          <w:rFonts w:ascii="Times New Roman" w:hAnsi="Times New Roman"/>
          <w:sz w:val="20"/>
        </w:rPr>
      </w:pPr>
      <w:bookmarkStart w:id="12" w:name="noates_to_financials"/>
      <w:bookmarkEnd w:id="12"/>
      <w:r>
        <w:rPr>
          <w:rFonts w:ascii="Arial" w:hAnsi="Arial"/>
          <w:b/>
          <w:color w:val="000000"/>
          <w:sz w:val="18"/>
        </w:rPr>
        <w:t>NOTES TO CONDENSED</w:t>
      </w:r>
      <w:r>
        <w:rPr>
          <w:rFonts w:ascii="Times New Roman" w:hAnsi="Times New Roman"/>
          <w:color w:val="000000"/>
          <w:sz w:val="20"/>
        </w:rPr>
        <w:t xml:space="preserve"> </w:t>
      </w:r>
      <w:r>
        <w:rPr>
          <w:rFonts w:ascii="Arial" w:hAnsi="Arial"/>
          <w:b/>
          <w:color w:val="000000"/>
          <w:sz w:val="18"/>
        </w:rPr>
        <w:t>CONSOLIDATED FINANCIAL STATEMENTS (unaudited)</w:t>
      </w:r>
    </w:p>
    <w:p>
      <w:pPr>
        <w:pStyle w:val="TextBody"/>
        <w:bidi w:val="0"/>
        <w:spacing w:before="240" w:after="283"/>
        <w:jc w:val="both"/>
        <w:rPr>
          <w:rFonts w:ascii="Times New Roman" w:hAnsi="Times New Roman"/>
          <w:sz w:val="20"/>
        </w:rPr>
      </w:pPr>
      <w:bookmarkStart w:id="13" w:name="note_1_company_and_nature_of_business"/>
      <w:bookmarkEnd w:id="13"/>
      <w:r>
        <w:rPr>
          <w:rFonts w:ascii="Arial" w:hAnsi="Arial"/>
          <w:b/>
          <w:color w:val="000000"/>
          <w:sz w:val="18"/>
        </w:rPr>
        <w:t>Note 1. Company and</w:t>
      </w:r>
      <w:r>
        <w:rPr>
          <w:rFonts w:ascii="Times New Roman" w:hAnsi="Times New Roman"/>
          <w:color w:val="000000"/>
          <w:sz w:val="20"/>
        </w:rPr>
        <w:t xml:space="preserve"> </w:t>
      </w:r>
      <w:r>
        <w:rPr>
          <w:rFonts w:ascii="Arial" w:hAnsi="Arial"/>
          <w:b/>
          <w:color w:val="000000"/>
          <w:sz w:val="18"/>
        </w:rPr>
        <w:t>Nature of Business</w:t>
      </w:r>
    </w:p>
    <w:p>
      <w:pPr>
        <w:pStyle w:val="TextBody"/>
        <w:bidi w:val="0"/>
        <w:spacing w:before="200" w:after="283"/>
        <w:jc w:val="both"/>
        <w:rPr>
          <w:rFonts w:ascii="Arial" w:hAnsi="Arial"/>
          <w:color w:val="000000"/>
          <w:sz w:val="18"/>
        </w:rPr>
      </w:pPr>
      <w:r>
        <w:rPr>
          <w:rFonts w:ascii="Arial" w:hAnsi="Arial"/>
          <w:color w:val="000000"/>
          <w:sz w:val="18"/>
        </w:rPr>
        <w:t>Personalis, Inc. (the "Company" or "Personalis") develops and markets advanced cancer genomic tests and analytics for precision oncology and personalized testing. The Company also provides sequencing and data analysis services to support population sequencing initiatives. Genomic tests are sold primarily to pharmaceutical companies, biopharmaceutical companies, diagnostics companies, universities, non-profits, and government entities, while services for population sequencing initiatives are sold primarily to government entities. The principal markets for the Company’s services are in the United States and Europe.</w:t>
      </w:r>
    </w:p>
    <w:p>
      <w:pPr>
        <w:pStyle w:val="TextBody"/>
        <w:bidi w:val="0"/>
        <w:spacing w:before="200" w:after="283"/>
        <w:jc w:val="both"/>
        <w:rPr>
          <w:rFonts w:ascii="Arial" w:hAnsi="Arial"/>
          <w:color w:val="000000"/>
          <w:sz w:val="18"/>
        </w:rPr>
      </w:pPr>
      <w:r>
        <w:rPr>
          <w:rFonts w:ascii="Arial" w:hAnsi="Arial"/>
          <w:color w:val="000000"/>
          <w:sz w:val="18"/>
        </w:rPr>
        <w:t>The Company is expanding its business model to offer genomic tests directly to cancer patients in a clinical setting. However, revenue generated from clinical customers was not significant for any periods presented.</w:t>
      </w:r>
    </w:p>
    <w:p>
      <w:pPr>
        <w:pStyle w:val="TextBody"/>
        <w:bidi w:val="0"/>
        <w:spacing w:before="200" w:after="283"/>
        <w:jc w:val="both"/>
        <w:rPr>
          <w:rFonts w:ascii="Times New Roman" w:hAnsi="Times New Roman"/>
          <w:sz w:val="20"/>
        </w:rPr>
      </w:pPr>
      <w:r>
        <w:rPr>
          <w:rFonts w:ascii="Arial" w:hAnsi="Arial"/>
          <w:color w:val="000000"/>
          <w:sz w:val="18"/>
        </w:rPr>
        <w:t>The Company was incorporated in Delaware in February 2011 and began operations in September 2011. The Company formed a wholly owned subsidiary, Personalis (UK) Ltd., in August 2013 and a wholly owned subsidiary, Shanghai Personalis Biotechnology Co., Ltd., which is referred to as “Personalis (Shanghai) Ltd” herein, in October 2020. The Company terminated its operations in China during 2023 and completed the process of dissolving the entity in the first quarter of 2024. Refer to Note 9 for further information. The Company operates and manages its business as one</w:t>
      </w:r>
      <w:r>
        <w:rPr>
          <w:rFonts w:ascii="Times New Roman" w:hAnsi="Times New Roman"/>
          <w:color w:val="000000"/>
          <w:sz w:val="20"/>
        </w:rPr>
        <w:t xml:space="preserve"> </w:t>
      </w:r>
      <w:r>
        <w:rPr>
          <w:rFonts w:ascii="Arial" w:hAnsi="Arial"/>
          <w:color w:val="000000"/>
          <w:sz w:val="18"/>
        </w:rPr>
        <w:t>reportable operating segment, which is the sale of sequencing and data analysis services.</w:t>
      </w:r>
    </w:p>
    <w:p>
      <w:pPr>
        <w:pStyle w:val="TextBody"/>
        <w:bidi w:val="0"/>
        <w:spacing w:before="200" w:after="283"/>
        <w:jc w:val="both"/>
        <w:rPr>
          <w:rFonts w:ascii="Arial" w:hAnsi="Arial"/>
          <w:color w:val="000000"/>
          <w:sz w:val="18"/>
        </w:rPr>
      </w:pPr>
      <w:r>
        <w:rPr>
          <w:rFonts w:ascii="Arial" w:hAnsi="Arial"/>
          <w:color w:val="000000"/>
          <w:sz w:val="18"/>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its equity securities and cash from operations.</w:t>
      </w:r>
    </w:p>
    <w:p>
      <w:pPr>
        <w:pStyle w:val="TextBody"/>
        <w:bidi w:val="0"/>
        <w:spacing w:before="200" w:after="283"/>
        <w:jc w:val="both"/>
        <w:rPr>
          <w:rFonts w:ascii="Times New Roman" w:hAnsi="Times New Roman"/>
          <w:sz w:val="20"/>
        </w:rPr>
      </w:pPr>
      <w:bookmarkStart w:id="14" w:name="note_2_summary_significant_acctg_policie"/>
      <w:bookmarkEnd w:id="14"/>
      <w:r>
        <w:rPr>
          <w:rFonts w:ascii="Arial" w:hAnsi="Arial"/>
          <w:b/>
          <w:color w:val="000000"/>
          <w:sz w:val="18"/>
        </w:rPr>
        <w:t>Note 2. Summary of Significant</w:t>
      </w:r>
      <w:r>
        <w:rPr>
          <w:rFonts w:ascii="Times New Roman" w:hAnsi="Times New Roman"/>
          <w:color w:val="000000"/>
          <w:sz w:val="20"/>
        </w:rPr>
        <w:t xml:space="preserve"> </w:t>
      </w:r>
      <w:r>
        <w:rPr>
          <w:rFonts w:ascii="Arial" w:hAnsi="Arial"/>
          <w:b/>
          <w:color w:val="000000"/>
          <w:sz w:val="18"/>
        </w:rPr>
        <w:t>Accounting Policies</w:t>
      </w:r>
    </w:p>
    <w:p>
      <w:pPr>
        <w:pStyle w:val="TextBody"/>
        <w:bidi w:val="0"/>
        <w:spacing w:before="200" w:after="283"/>
        <w:jc w:val="both"/>
        <w:rPr>
          <w:rFonts w:ascii="Arial" w:hAnsi="Arial"/>
          <w:b/>
          <w:i/>
          <w:color w:val="000000"/>
          <w:sz w:val="18"/>
        </w:rPr>
      </w:pPr>
      <w:r>
        <w:rPr>
          <w:rFonts w:ascii="Arial" w:hAnsi="Arial"/>
          <w:b/>
          <w:i/>
          <w:color w:val="000000"/>
          <w:sz w:val="18"/>
        </w:rPr>
        <w:t>Basis of Presentation</w:t>
      </w:r>
    </w:p>
    <w:p>
      <w:pPr>
        <w:pStyle w:val="TextBody"/>
        <w:bidi w:val="0"/>
        <w:spacing w:before="200" w:after="283"/>
        <w:jc w:val="both"/>
        <w:rPr>
          <w:rFonts w:ascii="Arial" w:hAnsi="Arial"/>
          <w:color w:val="000000"/>
          <w:sz w:val="18"/>
        </w:rPr>
      </w:pPr>
      <w:r>
        <w:rPr>
          <w:rFonts w:ascii="Arial" w:hAnsi="Arial"/>
          <w:color w:val="000000"/>
          <w:sz w:val="18"/>
        </w:rPr>
        <w:t>The unaudited condensed consolidated financial statements have been prepared in accordance with accounting principles generally accepted in the United States of America (“U.S. GAAP”) and the applicable rules and regulations of the Securities and Exchange Commission (the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2023.</w:t>
      </w:r>
    </w:p>
    <w:p>
      <w:pPr>
        <w:pStyle w:val="TextBody"/>
        <w:bidi w:val="0"/>
        <w:spacing w:before="200" w:after="283"/>
        <w:jc w:val="both"/>
        <w:rPr>
          <w:rFonts w:ascii="Times New Roman" w:hAnsi="Times New Roman"/>
          <w:sz w:val="20"/>
        </w:rPr>
      </w:pPr>
      <w:r>
        <w:rPr>
          <w:rFonts w:ascii="Arial" w:hAnsi="Arial"/>
          <w:color w:val="000000"/>
          <w:sz w:val="18"/>
        </w:rPr>
        <w:t>The condensed consolidated financial statements include the accounts of Personalis, Inc. and its wholly owned subsidiary, Personalis (UK) Ltd. All intercompany balances and transactions have been eliminated in consolidation. Upon dissolution of Personalis (Shanghai) Ltd during the first quarter of 2024, an accumulated foreign currency translation adjustment of $0.2</w:t>
      </w:r>
      <w:r>
        <w:rPr>
          <w:rFonts w:ascii="Times New Roman" w:hAnsi="Times New Roman"/>
          <w:color w:val="000000"/>
          <w:sz w:val="20"/>
        </w:rPr>
        <w:t xml:space="preserve"> </w:t>
      </w:r>
      <w:r>
        <w:rPr>
          <w:rFonts w:ascii="Arial" w:hAnsi="Arial"/>
          <w:color w:val="000000"/>
          <w:sz w:val="18"/>
        </w:rPr>
        <w:t>million was reclassified from accumulated other comprehensive loss to net loss within Other income (expense), net.</w:t>
      </w:r>
    </w:p>
    <w:p>
      <w:pPr>
        <w:pStyle w:val="TextBody"/>
        <w:bidi w:val="0"/>
        <w:spacing w:before="200" w:after="283"/>
        <w:jc w:val="both"/>
        <w:rPr>
          <w:rFonts w:ascii="Arial" w:hAnsi="Arial"/>
          <w:color w:val="000000"/>
          <w:sz w:val="18"/>
        </w:rPr>
      </w:pPr>
      <w:r>
        <w:rPr>
          <w:rFonts w:ascii="Arial" w:hAnsi="Arial"/>
          <w:color w:val="000000"/>
          <w:sz w:val="18"/>
        </w:rPr>
        <w:t>The condensed consolidated financial statements reflect all normal recurring adjustments that are necessary to present fairly the results for the interim periods presented. Interim results are not necessarily indicative of the results for the full year ending December 31, 2024.</w:t>
      </w:r>
    </w:p>
    <w:p>
      <w:pPr>
        <w:pStyle w:val="TextBody"/>
        <w:bidi w:val="0"/>
        <w:spacing w:before="200" w:after="283"/>
        <w:jc w:val="both"/>
        <w:rPr>
          <w:rFonts w:ascii="Arial" w:hAnsi="Arial"/>
          <w:b/>
          <w:i/>
          <w:color w:val="000000"/>
          <w:sz w:val="18"/>
        </w:rPr>
      </w:pPr>
      <w:r>
        <w:rPr>
          <w:rFonts w:ascii="Arial" w:hAnsi="Arial"/>
          <w:b/>
          <w:i/>
          <w:color w:val="000000"/>
          <w:sz w:val="18"/>
        </w:rPr>
        <w:t>Use of Estimates</w:t>
      </w:r>
    </w:p>
    <w:p>
      <w:pPr>
        <w:pStyle w:val="TextBody"/>
        <w:bidi w:val="0"/>
        <w:spacing w:before="200" w:after="283"/>
        <w:jc w:val="both"/>
        <w:rPr>
          <w:rFonts w:ascii="Times New Roman" w:hAnsi="Times New Roman"/>
          <w:sz w:val="20"/>
        </w:rPr>
      </w:pPr>
      <w:r>
        <w:rPr>
          <w:rFonts w:ascii="Arial" w:hAnsi="Arial"/>
          <w:color w:val="000000"/>
          <w:sz w:val="18"/>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estimates include, but are not limited to, revenue recognition, useful lives assigned to long-lived assets, discount rates for lease accounting, the valuation of stock options, the valuation of common stock warrants, provisions for income taxes, and fair value of lease right-of-use assets. Actual results could differ from these estimates, and such differences could be material to the Company’s consolidated financial position and results of operations.</w:t>
      </w:r>
      <w:r>
        <w:rPr>
          <w:rFonts w:ascii="Times New Roman" w:hAnsi="Times New Roman"/>
          <w:color w:val="000000"/>
          <w:sz w:val="20"/>
        </w:rPr>
        <w:t xml:space="preserve"> </w:t>
      </w:r>
    </w:p>
    <w:p>
      <w:pPr>
        <w:pStyle w:val="TextBody"/>
        <w:bidi w:val="0"/>
        <w:spacing w:before="200" w:after="283"/>
        <w:jc w:val="both"/>
        <w:rPr>
          <w:rFonts w:ascii="Arial" w:hAnsi="Arial"/>
          <w:b/>
          <w:i/>
          <w:color w:val="000000"/>
          <w:sz w:val="18"/>
        </w:rPr>
      </w:pPr>
      <w:r>
        <w:rPr>
          <w:rFonts w:ascii="Arial" w:hAnsi="Arial"/>
          <w:b/>
          <w:i/>
          <w:color w:val="000000"/>
          <w:sz w:val="18"/>
        </w:rPr>
        <w:t>At-the-Market Equity Offerings</w:t>
      </w:r>
    </w:p>
    <w:p>
      <w:pPr>
        <w:pStyle w:val="TextBody"/>
        <w:bidi w:val="0"/>
        <w:spacing w:before="200" w:after="283"/>
        <w:jc w:val="both"/>
        <w:rPr>
          <w:rFonts w:ascii="Arial" w:hAnsi="Arial"/>
          <w:color w:val="000000"/>
          <w:sz w:val="18"/>
        </w:rPr>
      </w:pPr>
      <w:r>
        <w:rPr>
          <w:rFonts w:ascii="Arial" w:hAnsi="Arial"/>
          <w:color w:val="000000"/>
          <w:sz w:val="18"/>
        </w:rPr>
        <w:t>In December 2021, the Company entered into an At-the-Market ("ATM") Sales Agreement (the “Sales Agreement”) with BTIG, LLC (“BTIG”) under which it may offer and sell its common stock from time to time through BTIG as its sales agent. BTIG will use commercially reasonable efforts to sell the Company’s common stock from time to time, based upon instructions from the Company (including any price, time or size limits or other customary parameters or conditions the Company may impose). The Company will pay BTIG a commission of up to 3% of the gross sales proceeds of any common stock sold under the Sales Agreement. The Company is not obligated to make any sales of common stock under the Sales Agreement.</w:t>
      </w:r>
    </w:p>
    <w:p>
      <w:pPr>
        <w:pStyle w:val="TextBody"/>
        <w:bidi w:val="0"/>
        <w:spacing w:before="240" w:after="283"/>
        <w:jc w:val="center"/>
        <w:rPr>
          <w:rFonts w:ascii="Arial" w:hAnsi="Arial"/>
          <w:color w:val="000000"/>
          <w:sz w:val="18"/>
        </w:rPr>
      </w:pPr>
      <w:r>
        <w:rPr>
          <w:rFonts w:ascii="Arial" w:hAnsi="Arial"/>
          <w:color w:val="000000"/>
          <w:sz w:val="18"/>
        </w:rPr>
        <w:t>10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color w:val="000000"/>
          <w:sz w:val="18"/>
        </w:rPr>
        <w:t>During the three months ended March 31, 2024, the Company issued and sold 0.9</w:t>
      </w:r>
      <w:r>
        <w:rPr>
          <w:rFonts w:ascii="Times New Roman" w:hAnsi="Times New Roman"/>
          <w:color w:val="000000"/>
          <w:sz w:val="20"/>
        </w:rPr>
        <w:t xml:space="preserve"> </w:t>
      </w:r>
      <w:r>
        <w:rPr>
          <w:rFonts w:ascii="Arial" w:hAnsi="Arial"/>
          <w:color w:val="000000"/>
          <w:sz w:val="18"/>
        </w:rPr>
        <w:t>million shares of its common stock under the Sales Agreement at a weighted-average price of $1.67</w:t>
      </w:r>
      <w:r>
        <w:rPr>
          <w:rFonts w:ascii="Times New Roman" w:hAnsi="Times New Roman"/>
          <w:color w:val="000000"/>
          <w:sz w:val="20"/>
        </w:rPr>
        <w:t xml:space="preserve"> </w:t>
      </w:r>
      <w:r>
        <w:rPr>
          <w:rFonts w:ascii="Arial" w:hAnsi="Arial"/>
          <w:color w:val="000000"/>
          <w:sz w:val="18"/>
        </w:rPr>
        <w:t>per share and received $1.4</w:t>
      </w:r>
      <w:r>
        <w:rPr>
          <w:rFonts w:ascii="Times New Roman" w:hAnsi="Times New Roman"/>
          <w:color w:val="000000"/>
          <w:sz w:val="20"/>
        </w:rPr>
        <w:t xml:space="preserve"> </w:t>
      </w:r>
      <w:r>
        <w:rPr>
          <w:rFonts w:ascii="Arial" w:hAnsi="Arial"/>
          <w:color w:val="000000"/>
          <w:sz w:val="18"/>
        </w:rPr>
        <w:t>million in proceeds, net of commissions.</w:t>
      </w:r>
    </w:p>
    <w:p>
      <w:pPr>
        <w:pStyle w:val="TextBody"/>
        <w:bidi w:val="0"/>
        <w:spacing w:before="200" w:after="283"/>
        <w:jc w:val="both"/>
        <w:rPr>
          <w:rFonts w:ascii="Arial" w:hAnsi="Arial"/>
          <w:b/>
          <w:i/>
          <w:color w:val="000000"/>
          <w:sz w:val="18"/>
        </w:rPr>
      </w:pPr>
      <w:r>
        <w:rPr>
          <w:rFonts w:ascii="Arial" w:hAnsi="Arial"/>
          <w:b/>
          <w:i/>
          <w:color w:val="000000"/>
          <w:sz w:val="18"/>
        </w:rPr>
        <w:t>Concentration of Credit Risk and Other Risks and Uncertainties</w:t>
      </w:r>
    </w:p>
    <w:p>
      <w:pPr>
        <w:pStyle w:val="TextBody"/>
        <w:bidi w:val="0"/>
        <w:spacing w:before="200" w:after="283"/>
        <w:jc w:val="both"/>
        <w:rPr>
          <w:rFonts w:ascii="Arial" w:hAnsi="Arial"/>
          <w:color w:val="000000"/>
          <w:sz w:val="18"/>
        </w:rPr>
      </w:pPr>
      <w:r>
        <w:rPr>
          <w:rFonts w:ascii="Arial" w:hAnsi="Arial"/>
          <w:color w:val="000000"/>
          <w:sz w:val="18"/>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pStyle w:val="TextBody"/>
        <w:bidi w:val="0"/>
        <w:spacing w:before="200" w:after="283"/>
        <w:jc w:val="both"/>
        <w:rPr>
          <w:rFonts w:ascii="Arial" w:hAnsi="Arial"/>
          <w:color w:val="000000"/>
          <w:sz w:val="18"/>
        </w:rPr>
      </w:pPr>
      <w:r>
        <w:rPr>
          <w:rFonts w:ascii="Arial" w:hAnsi="Arial"/>
          <w:color w:val="000000"/>
          <w:sz w:val="18"/>
        </w:rPr>
        <w:t>The Company also invests in investment-grade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pStyle w:val="TextBody"/>
        <w:bidi w:val="0"/>
        <w:spacing w:before="200" w:after="283"/>
        <w:jc w:val="both"/>
        <w:rPr>
          <w:rFonts w:ascii="Arial" w:hAnsi="Arial"/>
          <w:color w:val="000000"/>
          <w:sz w:val="18"/>
        </w:rPr>
      </w:pPr>
      <w:r>
        <w:rPr>
          <w:rFonts w:ascii="Arial" w:hAnsi="Arial"/>
          <w:color w:val="000000"/>
          <w:sz w:val="18"/>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pStyle w:val="TextBody"/>
        <w:bidi w:val="0"/>
        <w:spacing w:before="200" w:after="200"/>
        <w:jc w:val="both"/>
        <w:rPr>
          <w:rFonts w:ascii="Arial" w:hAnsi="Arial"/>
          <w:color w:val="000000"/>
          <w:sz w:val="18"/>
        </w:rPr>
      </w:pPr>
      <w:r>
        <w:rPr>
          <w:rFonts w:ascii="Arial" w:hAnsi="Arial"/>
          <w:color w:val="000000"/>
          <w:sz w:val="18"/>
        </w:rPr>
        <w:t>The Company routinely assesses the creditworthiness of its customers and does not require collateral. Historically, the Company has not experienced significant credit losses from accounts receivable. Multiple customers have provided more than 10% of total revenue in the periods presented, or accounted for more than 10% of accounts receivable at each respective balance sheet date, as follows:</w:t>
      </w:r>
    </w:p>
    <w:tbl>
      <w:tblPr>
        <w:tblW w:w="7101" w:type="dxa"/>
        <w:jc w:val="left"/>
        <w:tblInd w:w="0" w:type="dxa"/>
        <w:tblLayout w:type="fixed"/>
        <w:tblCellMar>
          <w:top w:w="28" w:type="dxa"/>
          <w:left w:w="28" w:type="dxa"/>
          <w:bottom w:w="28" w:type="dxa"/>
          <w:right w:w="28" w:type="dxa"/>
        </w:tblCellMar>
      </w:tblPr>
      <w:tblGrid>
        <w:gridCol w:w="1231"/>
        <w:gridCol w:w="146"/>
        <w:gridCol w:w="1107"/>
        <w:gridCol w:w="336"/>
        <w:gridCol w:w="1107"/>
        <w:gridCol w:w="146"/>
        <w:gridCol w:w="1261"/>
        <w:gridCol w:w="146"/>
        <w:gridCol w:w="1621"/>
      </w:tblGrid>
      <w:tr>
        <w:trPr/>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2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Accounts Receivable</w:t>
            </w:r>
          </w:p>
        </w:tc>
      </w:tr>
      <w:tr>
        <w:trPr/>
        <w:tc>
          <w:tcPr>
            <w:tcW w:w="12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r>
      <w:tr>
        <w:trPr/>
        <w:tc>
          <w:tcPr>
            <w:tcW w:w="12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left"/>
              <w:rPr/>
            </w:pPr>
            <w:r>
              <w:rPr/>
              <w:t> </w:t>
            </w:r>
          </w:p>
        </w:tc>
      </w:tr>
      <w:tr>
        <w:trPr/>
        <w:tc>
          <w:tcPr>
            <w:tcW w:w="1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Natera, Inc.</w:t>
            </w:r>
          </w:p>
        </w:tc>
        <w:tc>
          <w:tcPr>
            <w:tcW w:w="146"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336"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50%</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52%</w:t>
            </w:r>
          </w:p>
        </w:tc>
        <w:tc>
          <w:tcPr>
            <w:tcW w:w="146" w:type="dxa"/>
            <w:tcBorders/>
            <w:shd w:fill="CFF0FC" w:val="clear"/>
            <w:vAlign w:val="center"/>
          </w:tcPr>
          <w:p>
            <w:pPr>
              <w:pStyle w:val="TableContents"/>
              <w:bidi w:val="0"/>
              <w:spacing w:before="0" w:after="283"/>
              <w:jc w:val="left"/>
              <w:rPr/>
            </w:pPr>
            <w:r>
              <w:rPr/>
              <w:t> </w:t>
            </w:r>
          </w:p>
        </w:tc>
        <w:tc>
          <w:tcPr>
            <w:tcW w:w="162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36%</w:t>
            </w:r>
          </w:p>
        </w:tc>
      </w:tr>
      <w:tr>
        <w:trPr/>
        <w:tc>
          <w:tcPr>
            <w:tcW w:w="1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Moderna, Inc.</w:t>
            </w:r>
          </w:p>
        </w:tc>
        <w:tc>
          <w:tcPr>
            <w:tcW w:w="146"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24%</w:t>
            </w:r>
          </w:p>
        </w:tc>
        <w:tc>
          <w:tcPr>
            <w:tcW w:w="336"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12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VA MVP</w:t>
            </w:r>
          </w:p>
        </w:tc>
        <w:tc>
          <w:tcPr>
            <w:tcW w:w="146"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336" w:type="dxa"/>
            <w:tcBorders/>
            <w:shd w:fill="CFF0FC" w:val="clear"/>
            <w:vAlign w:val="center"/>
          </w:tcPr>
          <w:p>
            <w:pPr>
              <w:pStyle w:val="TableContents"/>
              <w:bidi w:val="0"/>
              <w:spacing w:before="0" w:after="283"/>
              <w:jc w:val="left"/>
              <w:rPr/>
            </w:pPr>
            <w:r>
              <w:rPr/>
              <w:t> </w:t>
            </w:r>
          </w:p>
        </w:tc>
        <w:tc>
          <w:tcPr>
            <w:tcW w:w="1107"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16%</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621"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12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Pfizer Inc.</w:t>
            </w:r>
          </w:p>
        </w:tc>
        <w:tc>
          <w:tcPr>
            <w:tcW w:w="146"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336"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22%</w:t>
            </w:r>
          </w:p>
        </w:tc>
        <w:tc>
          <w:tcPr>
            <w:tcW w:w="146"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7101" w:type="dxa"/>
            <w:gridSpan w:val="9"/>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 Less than 10% of revenue or accounts receivable</w:t>
            </w:r>
          </w:p>
        </w:tc>
      </w:tr>
    </w:tbl>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Significant Accounting Policies</w:t>
      </w:r>
    </w:p>
    <w:p>
      <w:pPr>
        <w:pStyle w:val="TextBody"/>
        <w:bidi w:val="0"/>
        <w:spacing w:before="200" w:after="283"/>
        <w:jc w:val="both"/>
        <w:rPr>
          <w:rFonts w:ascii="Arial" w:hAnsi="Arial"/>
          <w:color w:val="000000"/>
          <w:sz w:val="18"/>
        </w:rPr>
      </w:pPr>
      <w:r>
        <w:rPr>
          <w:rFonts w:ascii="Arial" w:hAnsi="Arial"/>
          <w:color w:val="000000"/>
          <w:sz w:val="18"/>
        </w:rPr>
        <w:t>As of March 31, 2024, the Company’s significant accounting policies are consistent with those discussed in Note 2 - “Summary of Significant Accounting Policies” in its consolidated financial statements included in the Company’s Annual Report on Form 10-K for the year ended December 31, 2023.</w:t>
      </w:r>
    </w:p>
    <w:p>
      <w:pPr>
        <w:pStyle w:val="TextBody"/>
        <w:bidi w:val="0"/>
        <w:spacing w:before="200" w:after="283"/>
        <w:jc w:val="both"/>
        <w:rPr>
          <w:rFonts w:ascii="Arial" w:hAnsi="Arial"/>
          <w:b/>
          <w:i/>
          <w:color w:val="000000"/>
          <w:sz w:val="18"/>
        </w:rPr>
      </w:pPr>
      <w:r>
        <w:rPr>
          <w:rFonts w:ascii="Arial" w:hAnsi="Arial"/>
          <w:b/>
          <w:i/>
          <w:color w:val="000000"/>
          <w:sz w:val="18"/>
        </w:rPr>
        <w:t>Recent Accounting Pronouncements</w:t>
      </w:r>
    </w:p>
    <w:p>
      <w:pPr>
        <w:pStyle w:val="TextBody"/>
        <w:bidi w:val="0"/>
        <w:spacing w:before="200" w:after="283"/>
        <w:jc w:val="both"/>
        <w:rPr>
          <w:rFonts w:ascii="Arial" w:hAnsi="Arial"/>
          <w:i/>
          <w:color w:val="000000"/>
          <w:sz w:val="18"/>
        </w:rPr>
      </w:pPr>
      <w:r>
        <w:rPr>
          <w:rFonts w:ascii="Arial" w:hAnsi="Arial"/>
          <w:i/>
          <w:color w:val="000000"/>
          <w:sz w:val="18"/>
        </w:rPr>
        <w:t>New Accounting Pronouncements Not Yet Adopted</w:t>
      </w:r>
    </w:p>
    <w:p>
      <w:pPr>
        <w:pStyle w:val="TextBody"/>
        <w:bidi w:val="0"/>
        <w:spacing w:before="200" w:after="283"/>
        <w:jc w:val="both"/>
        <w:rPr>
          <w:rFonts w:ascii="Arial" w:hAnsi="Arial"/>
          <w:color w:val="000000"/>
          <w:sz w:val="18"/>
        </w:rPr>
      </w:pPr>
      <w:r>
        <w:rPr>
          <w:rFonts w:ascii="Arial" w:hAnsi="Arial"/>
          <w:color w:val="000000"/>
          <w:sz w:val="18"/>
        </w:rPr>
        <w:t>In December 2023, the FASB issued ASU 2023-09, Income Taxes (Topic 740): Improvements to Income Tax Disclosures, which enhances transparency about income tax information through improvements to income tax disclosures primarily related to the rate reconciliation and income taxes paid information. The guidance will be effective for the Company's annual period ending December 31, 2025. The Company is currently evaluating the impact of the new guidance on its income tax disclosures.</w:t>
      </w:r>
    </w:p>
    <w:p>
      <w:pPr>
        <w:pStyle w:val="TextBody"/>
        <w:bidi w:val="0"/>
        <w:spacing w:before="200" w:after="283"/>
        <w:jc w:val="both"/>
        <w:rPr>
          <w:rFonts w:ascii="Arial" w:hAnsi="Arial"/>
          <w:b/>
          <w:color w:val="000000"/>
          <w:sz w:val="18"/>
        </w:rPr>
      </w:pPr>
      <w:bookmarkStart w:id="15" w:name="note_3_revenue"/>
      <w:bookmarkEnd w:id="15"/>
      <w:r>
        <w:rPr>
          <w:rFonts w:ascii="Arial" w:hAnsi="Arial"/>
          <w:b/>
          <w:color w:val="000000"/>
          <w:sz w:val="18"/>
        </w:rPr>
        <w:t>Note 3. Revenue</w:t>
      </w:r>
    </w:p>
    <w:p>
      <w:pPr>
        <w:pStyle w:val="TextBody"/>
        <w:bidi w:val="0"/>
        <w:spacing w:before="200" w:after="200"/>
        <w:jc w:val="both"/>
        <w:rPr>
          <w:rFonts w:ascii="Arial" w:hAnsi="Arial"/>
          <w:color w:val="000000"/>
          <w:sz w:val="18"/>
        </w:rPr>
      </w:pPr>
      <w:r>
        <w:rPr>
          <w:rFonts w:ascii="Arial" w:hAnsi="Arial"/>
          <w:color w:val="000000"/>
          <w:sz w:val="18"/>
        </w:rPr>
        <w:t>The Company disaggregates revenue by the following four customer types: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sz w:val="18"/>
        </w:rPr>
      </w:pPr>
      <w:r>
        <w:rPr>
          <w:rFonts w:ascii="Arial" w:hAnsi="Arial"/>
          <w:b/>
          <w:color w:val="000000"/>
          <w:sz w:val="18"/>
        </w:rPr>
        <w:t>Pharma tests and services</w:t>
      </w:r>
      <w:r>
        <w:rPr>
          <w:rFonts w:ascii="Arial" w:hAnsi="Arial"/>
          <w:color w:val="000000"/>
          <w:sz w:val="18"/>
        </w:rPr>
        <w:t xml:space="preserve"> includes sales of testing services and data analytics for clinical trials and research to pharmaceutical companies in support of their drug development programs. Contracts typically contemplate a single project and involve a range of tests and analytics to fulfill the requirements of each particular project.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sz w:val="18"/>
        </w:rPr>
      </w:pPr>
      <w:r>
        <w:rPr>
          <w:rFonts w:ascii="Arial" w:hAnsi="Arial"/>
          <w:b/>
          <w:color w:val="000000"/>
          <w:sz w:val="18"/>
        </w:rPr>
        <w:t>Enterprise sales</w:t>
      </w:r>
      <w:r>
        <w:rPr>
          <w:rFonts w:ascii="Arial" w:hAnsi="Arial"/>
          <w:color w:val="000000"/>
          <w:sz w:val="18"/>
        </w:rPr>
        <w:t xml:space="preserve"> includes sales of tumor profiling and diagnostic tests directly to another business as an input to their products. The Company is typically contracted to deliver specified tests and analytics in high volume over time. Revenue from the Company's partnership with Natera to provide advanced tumor analysis for use in Natera's molecular residual disease ("MRD") test makes up substantially all of the revenue in this category.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sz w:val="18"/>
        </w:rPr>
      </w:pPr>
      <w:r>
        <w:rPr>
          <w:rFonts w:ascii="Arial" w:hAnsi="Arial"/>
          <w:b/>
          <w:color w:val="000000"/>
          <w:sz w:val="18"/>
        </w:rPr>
        <w:t>Population sequencing</w:t>
      </w:r>
      <w:r>
        <w:rPr>
          <w:rFonts w:ascii="Arial" w:hAnsi="Arial"/>
          <w:color w:val="000000"/>
          <w:sz w:val="18"/>
        </w:rPr>
        <w:t xml:space="preserve"> includes sales of genomic sequencing services and data analytics to support large-scale genetic research programs. The Company is typically contracted to perform whole genome sequencing and provide data that can be used for analysis across a large volume of samples. All of the revenue within this category is from the Company's partnership with the VA MVP.</w:t>
      </w:r>
    </w:p>
    <w:p>
      <w:pPr>
        <w:pStyle w:val="TextBody"/>
        <w:bidi w:val="0"/>
        <w:spacing w:before="240" w:after="283"/>
        <w:jc w:val="center"/>
        <w:rPr>
          <w:rFonts w:ascii="Arial" w:hAnsi="Arial"/>
          <w:color w:val="000000"/>
          <w:sz w:val="18"/>
        </w:rPr>
      </w:pPr>
      <w:r>
        <w:rPr>
          <w:rFonts w:ascii="Arial" w:hAnsi="Arial"/>
          <w:color w:val="000000"/>
          <w:sz w:val="18"/>
        </w:rPr>
        <w:t>11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sz w:val="18"/>
        </w:rPr>
      </w:pPr>
      <w:r>
        <w:rPr>
          <w:rFonts w:ascii="Arial" w:hAnsi="Arial"/>
          <w:b/>
          <w:color w:val="000000"/>
          <w:sz w:val="18"/>
        </w:rPr>
        <w:t>Other</w:t>
      </w:r>
      <w:r>
        <w:rPr>
          <w:rFonts w:ascii="Arial" w:hAnsi="Arial"/>
          <w:color w:val="000000"/>
          <w:sz w:val="18"/>
        </w:rPr>
        <w:t xml:space="preserve"> includes sales of genomic tests and analytics to universities and non-profits. Other also includes sales of diagnostics tests ordered by healthcare providers for cancer patients.</w:t>
      </w:r>
    </w:p>
    <w:p>
      <w:pPr>
        <w:pStyle w:val="TextBody"/>
        <w:bidi w:val="0"/>
        <w:spacing w:before="200" w:after="200"/>
        <w:jc w:val="both"/>
        <w:rPr>
          <w:rFonts w:ascii="Arial" w:hAnsi="Arial"/>
          <w:color w:val="000000"/>
          <w:sz w:val="18"/>
        </w:rPr>
      </w:pPr>
      <w:r>
        <w:rPr>
          <w:rFonts w:ascii="Arial" w:hAnsi="Arial"/>
          <w:color w:val="000000"/>
          <w:sz w:val="18"/>
        </w:rPr>
        <w:t>The following table presents the Company’s revenue disaggregated by customer type (in thousands):</w:t>
      </w:r>
    </w:p>
    <w:tbl>
      <w:tblPr>
        <w:tblW w:w="5351" w:type="dxa"/>
        <w:jc w:val="left"/>
        <w:tblInd w:w="0" w:type="dxa"/>
        <w:tblLayout w:type="fixed"/>
        <w:tblCellMar>
          <w:top w:w="28" w:type="dxa"/>
          <w:left w:w="28" w:type="dxa"/>
          <w:bottom w:w="28" w:type="dxa"/>
          <w:right w:w="28" w:type="dxa"/>
        </w:tblCellMar>
      </w:tblPr>
      <w:tblGrid>
        <w:gridCol w:w="2266"/>
        <w:gridCol w:w="146"/>
        <w:gridCol w:w="260"/>
        <w:gridCol w:w="834"/>
        <w:gridCol w:w="180"/>
        <w:gridCol w:w="180"/>
        <w:gridCol w:w="260"/>
        <w:gridCol w:w="834"/>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Pharma tests and services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9,812</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6,333</w:t>
            </w:r>
          </w:p>
        </w:tc>
        <w:tc>
          <w:tcPr>
            <w:tcW w:w="3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Enterprise sales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7,972</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9,458</w:t>
            </w:r>
          </w:p>
        </w:tc>
        <w:tc>
          <w:tcPr>
            <w:tcW w:w="3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Population sequencing</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1,500</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3,005</w:t>
            </w:r>
          </w:p>
        </w:tc>
        <w:tc>
          <w:tcPr>
            <w:tcW w:w="3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19,525</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color w:val="000000"/>
          <w:sz w:val="18"/>
        </w:rPr>
      </w:pPr>
      <w:r>
        <w:rPr>
          <w:rFonts w:ascii="Arial" w:hAnsi="Arial"/>
          <w:color w:val="000000"/>
          <w:sz w:val="18"/>
        </w:rPr>
        <w:t>Revenue from countries outside of the United States, based on the billing addresses of customers, represented approximately 4% and 13% of the Company’s revenue for the three months ended March 31, 2024 and 2023, respectively.</w:t>
      </w:r>
    </w:p>
    <w:p>
      <w:pPr>
        <w:pStyle w:val="TextBody"/>
        <w:bidi w:val="0"/>
        <w:spacing w:before="200" w:after="283"/>
        <w:jc w:val="both"/>
        <w:rPr>
          <w:rFonts w:ascii="Arial" w:hAnsi="Arial"/>
          <w:b/>
          <w:i/>
          <w:color w:val="000000"/>
          <w:sz w:val="18"/>
        </w:rPr>
      </w:pPr>
      <w:r>
        <w:rPr>
          <w:rFonts w:ascii="Arial" w:hAnsi="Arial"/>
          <w:b/>
          <w:i/>
          <w:color w:val="000000"/>
          <w:sz w:val="18"/>
        </w:rPr>
        <w:t>Contract Assets and Liabilities</w:t>
      </w:r>
    </w:p>
    <w:p>
      <w:pPr>
        <w:pStyle w:val="TextBody"/>
        <w:bidi w:val="0"/>
        <w:spacing w:before="200" w:after="200"/>
        <w:jc w:val="both"/>
        <w:rPr>
          <w:rFonts w:ascii="Arial" w:hAnsi="Arial"/>
          <w:color w:val="000000"/>
          <w:sz w:val="18"/>
        </w:rPr>
      </w:pPr>
      <w:r>
        <w:rPr>
          <w:rFonts w:ascii="Arial" w:hAnsi="Arial"/>
          <w:color w:val="000000"/>
          <w:sz w:val="18"/>
        </w:rPr>
        <w:t>The opening and closing balances of receivables and contract liabilities from contracts with customers are shown below (in thousands). Contract assets were immaterial for all periods presented.</w:t>
      </w:r>
    </w:p>
    <w:tbl>
      <w:tblPr>
        <w:tblW w:w="9600" w:type="dxa"/>
        <w:jc w:val="left"/>
        <w:tblInd w:w="0" w:type="dxa"/>
        <w:tblLayout w:type="fixed"/>
        <w:tblCellMar>
          <w:top w:w="28" w:type="dxa"/>
          <w:left w:w="28" w:type="dxa"/>
          <w:bottom w:w="28" w:type="dxa"/>
          <w:right w:w="28" w:type="dxa"/>
        </w:tblCellMar>
      </w:tblPr>
      <w:tblGrid>
        <w:gridCol w:w="5736"/>
        <w:gridCol w:w="146"/>
        <w:gridCol w:w="299"/>
        <w:gridCol w:w="961"/>
        <w:gridCol w:w="146"/>
        <w:gridCol w:w="146"/>
        <w:gridCol w:w="374"/>
        <w:gridCol w:w="1201"/>
        <w:gridCol w:w="591"/>
      </w:tblGrid>
      <w:tr>
        <w:trPr/>
        <w:tc>
          <w:tcPr>
            <w:tcW w:w="5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36"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Opening balances:</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573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receivable, net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17,730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16,642</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736" w:type="dxa"/>
            <w:tcBorders/>
            <w:shd w:fill="CFF0FC" w:val="clear"/>
            <w:vAlign w:val="center"/>
          </w:tcPr>
          <w:p>
            <w:pPr>
              <w:pStyle w:val="TableContents"/>
              <w:bidi w:val="0"/>
              <w:spacing w:before="0" w:after="283"/>
              <w:ind w:left="200" w:right="0" w:firstLine="2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573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Short-term contract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1,264</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573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Long-term contract liabilities (included in other long-term liabilities)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36"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contract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1,264</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5736" w:type="dxa"/>
            <w:tcBorders/>
            <w:shd w:fill="CFF0FC" w:val="clear"/>
            <w:vAlign w:val="center"/>
          </w:tcPr>
          <w:p>
            <w:pPr>
              <w:pStyle w:val="TableContents"/>
              <w:bidi w:val="0"/>
              <w:spacing w:before="0" w:after="283"/>
              <w:ind w:left="400" w:right="0" w:firstLine="400"/>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575"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5736"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Closing balances:</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73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Accounts receivable, net</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11,345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17,730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73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75"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573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Short-term contract liabilities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3,526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3,288</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573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Long-term contract liabilities (included in other long-term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3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contract liabilities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7,216</w:t>
            </w:r>
          </w:p>
        </w:tc>
        <w:tc>
          <w:tcPr>
            <w:tcW w:w="5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color w:val="000000"/>
          <w:sz w:val="18"/>
        </w:rPr>
        <w:t>Amounts collected in advance of services being provided are deferred as contract liabilities in the condensed consolidated balance sheets. The associated revenue is recognized, and the contract liability is reduced, as the services are subsequently performed. As of March 31, 2024, amounts related to unfulfilled services under contracts with an original expected duration of more than one year</w:t>
      </w:r>
      <w:r>
        <w:rPr>
          <w:rFonts w:ascii="Times New Roman" w:hAnsi="Times New Roman"/>
          <w:color w:val="000000"/>
          <w:sz w:val="20"/>
        </w:rPr>
        <w:t xml:space="preserve"> </w:t>
      </w:r>
      <w:r>
        <w:rPr>
          <w:rFonts w:ascii="Arial" w:hAnsi="Arial"/>
          <w:color w:val="000000"/>
          <w:sz w:val="18"/>
        </w:rPr>
        <w:t>was $4.5</w:t>
      </w:r>
      <w:r>
        <w:rPr>
          <w:rFonts w:ascii="Times New Roman" w:hAnsi="Times New Roman"/>
          <w:color w:val="000000"/>
          <w:sz w:val="20"/>
        </w:rPr>
        <w:t xml:space="preserve"> </w:t>
      </w:r>
      <w:r>
        <w:rPr>
          <w:rFonts w:ascii="Arial" w:hAnsi="Arial"/>
          <w:color w:val="000000"/>
          <w:sz w:val="18"/>
        </w:rPr>
        <w:t>million. The Company expects to recognize approximately $2.4</w:t>
      </w:r>
      <w:r>
        <w:rPr>
          <w:rFonts w:ascii="Times New Roman" w:hAnsi="Times New Roman"/>
          <w:color w:val="000000"/>
          <w:sz w:val="20"/>
        </w:rPr>
        <w:t xml:space="preserve"> </w:t>
      </w:r>
      <w:r>
        <w:rPr>
          <w:rFonts w:ascii="Arial" w:hAnsi="Arial"/>
          <w:color w:val="000000"/>
          <w:sz w:val="18"/>
        </w:rPr>
        <w:t>million of this amount in the next 12</w:t>
      </w:r>
      <w:r>
        <w:rPr>
          <w:rFonts w:ascii="Times New Roman" w:hAnsi="Times New Roman"/>
          <w:color w:val="000000"/>
          <w:sz w:val="20"/>
        </w:rPr>
        <w:t xml:space="preserve"> </w:t>
      </w:r>
      <w:r>
        <w:rPr>
          <w:rFonts w:ascii="Arial" w:hAnsi="Arial"/>
          <w:color w:val="000000"/>
          <w:sz w:val="18"/>
        </w:rPr>
        <w:t>months, and the remaining $2.1</w:t>
      </w:r>
      <w:r>
        <w:rPr>
          <w:rFonts w:ascii="Times New Roman" w:hAnsi="Times New Roman"/>
          <w:color w:val="000000"/>
          <w:sz w:val="20"/>
        </w:rPr>
        <w:t xml:space="preserve"> </w:t>
      </w:r>
      <w:r>
        <w:rPr>
          <w:rFonts w:ascii="Arial" w:hAnsi="Arial"/>
          <w:color w:val="000000"/>
          <w:sz w:val="18"/>
        </w:rPr>
        <w:t>million in the 12</w:t>
      </w:r>
      <w:r>
        <w:rPr>
          <w:rFonts w:ascii="Times New Roman" w:hAnsi="Times New Roman"/>
          <w:color w:val="000000"/>
          <w:sz w:val="20"/>
        </w:rPr>
        <w:t xml:space="preserve"> </w:t>
      </w:r>
      <w:r>
        <w:rPr>
          <w:rFonts w:ascii="Arial" w:hAnsi="Arial"/>
          <w:color w:val="000000"/>
          <w:sz w:val="18"/>
        </w:rPr>
        <w:t>months after that. Revenue recognized that was included in the contract liability balance at the beginning of each reporting period was $2.0</w:t>
      </w:r>
      <w:r>
        <w:rPr>
          <w:rFonts w:ascii="Times New Roman" w:hAnsi="Times New Roman"/>
          <w:color w:val="000000"/>
          <w:sz w:val="20"/>
        </w:rPr>
        <w:t xml:space="preserve"> </w:t>
      </w:r>
      <w:r>
        <w:rPr>
          <w:rFonts w:ascii="Arial" w:hAnsi="Arial"/>
          <w:color w:val="000000"/>
          <w:sz w:val="18"/>
        </w:rPr>
        <w:t>million for the three months ended March 31, 2024, and was immaterial for the three months ended March 31, 2023.</w:t>
      </w:r>
    </w:p>
    <w:p>
      <w:pPr>
        <w:pStyle w:val="TextBody"/>
        <w:bidi w:val="0"/>
        <w:spacing w:before="200" w:after="283"/>
        <w:jc w:val="both"/>
        <w:rPr>
          <w:rFonts w:ascii="Times New Roman" w:hAnsi="Times New Roman"/>
          <w:sz w:val="20"/>
        </w:rPr>
      </w:pPr>
      <w:bookmarkStart w:id="16" w:name="note_4_balance_sheet_details"/>
      <w:bookmarkEnd w:id="16"/>
      <w:r>
        <w:rPr>
          <w:rFonts w:ascii="Arial" w:hAnsi="Arial"/>
          <w:b/>
          <w:color w:val="000000"/>
          <w:sz w:val="18"/>
        </w:rPr>
        <w:t>Note 4. Balance</w:t>
      </w:r>
      <w:r>
        <w:rPr>
          <w:rFonts w:ascii="Times New Roman" w:hAnsi="Times New Roman"/>
          <w:color w:val="000000"/>
          <w:sz w:val="20"/>
        </w:rPr>
        <w:t xml:space="preserve"> </w:t>
      </w:r>
      <w:r>
        <w:rPr>
          <w:rFonts w:ascii="Arial" w:hAnsi="Arial"/>
          <w:b/>
          <w:color w:val="000000"/>
          <w:sz w:val="18"/>
        </w:rPr>
        <w:t>Sheet Details</w:t>
      </w:r>
    </w:p>
    <w:p>
      <w:pPr>
        <w:pStyle w:val="TextBody"/>
        <w:bidi w:val="0"/>
        <w:spacing w:before="200" w:after="200"/>
        <w:jc w:val="both"/>
        <w:rPr>
          <w:rFonts w:ascii="Arial" w:hAnsi="Arial"/>
          <w:color w:val="000000"/>
          <w:sz w:val="18"/>
        </w:rPr>
      </w:pPr>
      <w:r>
        <w:rPr>
          <w:rFonts w:ascii="Arial" w:hAnsi="Arial"/>
          <w:color w:val="000000"/>
          <w:sz w:val="18"/>
        </w:rPr>
        <w:t>Inventory and other deferred costs consist of the following (in thousands):</w:t>
      </w:r>
    </w:p>
    <w:tbl>
      <w:tblPr>
        <w:tblW w:w="7210" w:type="dxa"/>
        <w:jc w:val="left"/>
        <w:tblInd w:w="0" w:type="dxa"/>
        <w:tblLayout w:type="fixed"/>
        <w:tblCellMar>
          <w:top w:w="28" w:type="dxa"/>
          <w:left w:w="28" w:type="dxa"/>
          <w:bottom w:w="28" w:type="dxa"/>
          <w:right w:w="28" w:type="dxa"/>
        </w:tblCellMar>
      </w:tblPr>
      <w:tblGrid>
        <w:gridCol w:w="3546"/>
        <w:gridCol w:w="146"/>
        <w:gridCol w:w="340"/>
        <w:gridCol w:w="920"/>
        <w:gridCol w:w="146"/>
        <w:gridCol w:w="146"/>
        <w:gridCol w:w="374"/>
        <w:gridCol w:w="1201"/>
        <w:gridCol w:w="391"/>
      </w:tblGrid>
      <w:tr>
        <w:trPr/>
        <w:tc>
          <w:tcPr>
            <w:tcW w:w="3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Raw materials</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5,661</w:t>
            </w:r>
          </w:p>
        </w:tc>
        <w:tc>
          <w:tcPr>
            <w:tcW w:w="391" w:type="dxa"/>
            <w:tcBorders/>
            <w:shd w:fill="CFF0FC" w:val="clear"/>
            <w:vAlign w:val="center"/>
          </w:tcPr>
          <w:p>
            <w:pPr>
              <w:pStyle w:val="TableContents"/>
              <w:bidi w:val="0"/>
              <w:spacing w:before="0" w:after="283"/>
              <w:jc w:val="left"/>
              <w:rPr/>
            </w:pPr>
            <w:r>
              <w:rPr/>
              <w:t> </w:t>
            </w:r>
          </w:p>
        </w:tc>
      </w:tr>
      <w:tr>
        <w:trPr/>
        <w:tc>
          <w:tcPr>
            <w:tcW w:w="354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deferred costs</w:t>
            </w:r>
          </w:p>
        </w:tc>
        <w:tc>
          <w:tcPr>
            <w:tcW w:w="146" w:type="dxa"/>
            <w:tcBorders/>
            <w:shd w:fill="FFFFFF" w:val="cle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 inventory and other deferred costs</w:t>
            </w:r>
          </w:p>
        </w:tc>
        <w:tc>
          <w:tcPr>
            <w:tcW w:w="146" w:type="dxa"/>
            <w:tcBorders/>
            <w:shd w:fill="CFF0FC" w:val="cle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10,474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i/>
          <w:color w:val="000000"/>
          <w:sz w:val="18"/>
        </w:rPr>
        <w:t>Property and equipment.</w:t>
      </w:r>
      <w:r>
        <w:rPr>
          <w:rFonts w:ascii="Times New Roman" w:hAnsi="Times New Roman"/>
          <w:color w:val="000000"/>
          <w:sz w:val="20"/>
        </w:rPr>
        <w:t xml:space="preserve"> </w:t>
      </w:r>
      <w:r>
        <w:rPr>
          <w:rFonts w:ascii="Arial" w:hAnsi="Arial"/>
          <w:color w:val="000000"/>
          <w:sz w:val="18"/>
        </w:rPr>
        <w:t>Depreciation and amortization expense for each of the three months ended March 31, 2024 and 2023 was $2.8</w:t>
      </w:r>
      <w:r>
        <w:rPr>
          <w:rFonts w:ascii="Times New Roman" w:hAnsi="Times New Roman"/>
          <w:color w:val="000000"/>
          <w:sz w:val="20"/>
        </w:rPr>
        <w:t xml:space="preserve"> </w:t>
      </w:r>
      <w:r>
        <w:rPr>
          <w:rFonts w:ascii="Arial" w:hAnsi="Arial"/>
          <w:color w:val="000000"/>
          <w:sz w:val="18"/>
        </w:rPr>
        <w:t>million. Accumulated depreciation and amortization was $40.5</w:t>
      </w:r>
      <w:r>
        <w:rPr>
          <w:rFonts w:ascii="Times New Roman" w:hAnsi="Times New Roman"/>
          <w:color w:val="000000"/>
          <w:sz w:val="20"/>
        </w:rPr>
        <w:t xml:space="preserve"> </w:t>
      </w:r>
      <w:r>
        <w:rPr>
          <w:rFonts w:ascii="Arial" w:hAnsi="Arial"/>
          <w:color w:val="000000"/>
          <w:sz w:val="18"/>
        </w:rPr>
        <w:t>million and $37.7</w:t>
      </w:r>
      <w:r>
        <w:rPr>
          <w:rFonts w:ascii="Times New Roman" w:hAnsi="Times New Roman"/>
          <w:color w:val="000000"/>
          <w:sz w:val="20"/>
        </w:rPr>
        <w:t xml:space="preserve"> </w:t>
      </w:r>
      <w:r>
        <w:rPr>
          <w:rFonts w:ascii="Arial" w:hAnsi="Arial"/>
          <w:color w:val="000000"/>
          <w:sz w:val="18"/>
        </w:rPr>
        <w:t>million as of March 31, 2024 and December 31, 2023, respectively.</w:t>
      </w:r>
    </w:p>
    <w:p>
      <w:pPr>
        <w:pStyle w:val="TextBody"/>
        <w:bidi w:val="0"/>
        <w:spacing w:before="200" w:after="283"/>
        <w:jc w:val="both"/>
        <w:rPr>
          <w:rFonts w:ascii="Times New Roman" w:hAnsi="Times New Roman"/>
          <w:sz w:val="20"/>
        </w:rPr>
      </w:pPr>
      <w:r>
        <w:rPr>
          <w:rFonts w:ascii="Arial" w:hAnsi="Arial"/>
          <w:i/>
          <w:color w:val="000000"/>
          <w:sz w:val="18"/>
        </w:rPr>
        <w:t>Restricted cash.</w:t>
      </w:r>
      <w:r>
        <w:rPr>
          <w:rFonts w:ascii="Times New Roman" w:hAnsi="Times New Roman"/>
          <w:color w:val="000000"/>
          <w:sz w:val="20"/>
        </w:rPr>
        <w:t xml:space="preserve"> </w:t>
      </w:r>
      <w:r>
        <w:rPr>
          <w:rFonts w:ascii="Arial" w:hAnsi="Arial"/>
          <w:color w:val="000000"/>
          <w:sz w:val="18"/>
        </w:rPr>
        <w:t>The Company’s restricted cash is pledged as collateral for a standby letter of credit related to a property lease. The balance of restricted cash was $1.8</w:t>
      </w:r>
      <w:r>
        <w:rPr>
          <w:rFonts w:ascii="Times New Roman" w:hAnsi="Times New Roman"/>
          <w:color w:val="000000"/>
          <w:sz w:val="20"/>
        </w:rPr>
        <w:t xml:space="preserve"> </w:t>
      </w:r>
      <w:r>
        <w:rPr>
          <w:rFonts w:ascii="Arial" w:hAnsi="Arial"/>
          <w:color w:val="000000"/>
          <w:sz w:val="18"/>
        </w:rPr>
        <w:t>million as of March 31, 2024 and December 31, 2023, and is included in other long-term assets.</w:t>
      </w:r>
    </w:p>
    <w:p>
      <w:pPr>
        <w:pStyle w:val="TextBody"/>
        <w:bidi w:val="0"/>
        <w:spacing w:before="240" w:after="283"/>
        <w:jc w:val="center"/>
        <w:rPr>
          <w:rFonts w:ascii="Arial" w:hAnsi="Arial"/>
          <w:color w:val="000000"/>
          <w:sz w:val="18"/>
        </w:rPr>
      </w:pPr>
      <w:r>
        <w:rPr>
          <w:rFonts w:ascii="Arial" w:hAnsi="Arial"/>
          <w:color w:val="000000"/>
          <w:sz w:val="18"/>
        </w:rPr>
        <w:t>12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00"/>
        <w:jc w:val="both"/>
        <w:rPr>
          <w:rFonts w:ascii="Arial" w:hAnsi="Arial"/>
          <w:color w:val="000000"/>
          <w:sz w:val="18"/>
        </w:rPr>
      </w:pPr>
      <w:r>
        <w:rPr>
          <w:rFonts w:ascii="Arial" w:hAnsi="Arial"/>
          <w:color w:val="000000"/>
          <w:sz w:val="18"/>
        </w:rPr>
        <w:t>Accrued and other current liabilities consist of the following (in thousands):</w:t>
      </w:r>
    </w:p>
    <w:tbl>
      <w:tblPr>
        <w:tblW w:w="7300" w:type="dxa"/>
        <w:jc w:val="left"/>
        <w:tblInd w:w="0" w:type="dxa"/>
        <w:tblLayout w:type="fixed"/>
        <w:tblCellMar>
          <w:top w:w="28" w:type="dxa"/>
          <w:left w:w="28" w:type="dxa"/>
          <w:bottom w:w="28" w:type="dxa"/>
          <w:right w:w="28" w:type="dxa"/>
        </w:tblCellMar>
      </w:tblPr>
      <w:tblGrid>
        <w:gridCol w:w="3636"/>
        <w:gridCol w:w="146"/>
        <w:gridCol w:w="299"/>
        <w:gridCol w:w="961"/>
        <w:gridCol w:w="146"/>
        <w:gridCol w:w="146"/>
        <w:gridCol w:w="374"/>
        <w:gridCol w:w="1201"/>
        <w:gridCol w:w="39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Accrued compensation</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12,816</w:t>
            </w:r>
          </w:p>
        </w:tc>
        <w:tc>
          <w:tcPr>
            <w:tcW w:w="391" w:type="dxa"/>
            <w:tcBorders/>
            <w:shd w:fill="CFF0FC" w:val="cle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7,809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7,761</w:t>
            </w:r>
          </w:p>
        </w:tc>
        <w:tc>
          <w:tcPr>
            <w:tcW w:w="391" w:type="dxa"/>
            <w:tcBorders/>
            <w:shd w:fill="FFFFFF" w:val="clear"/>
            <w:vAlign w:val="center"/>
          </w:tcPr>
          <w:p>
            <w:pPr>
              <w:pStyle w:val="TableContents"/>
              <w:bidi w:val="0"/>
              <w:spacing w:before="0" w:after="283"/>
              <w:jc w:val="left"/>
              <w:rPr/>
            </w:pPr>
            <w:r>
              <w:rPr/>
              <w:t> </w:t>
            </w:r>
          </w:p>
        </w:tc>
      </w:tr>
      <w:tr>
        <w:trPr/>
        <w:tc>
          <w:tcPr>
            <w:tcW w:w="3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Loans—current portion (Note 6)</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1,646</w:t>
            </w:r>
          </w:p>
        </w:tc>
        <w:tc>
          <w:tcPr>
            <w:tcW w:w="391" w:type="dxa"/>
            <w:tcBorders/>
            <w:shd w:fill="CFF0FC" w:val="cle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Accrued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858</w:t>
            </w:r>
          </w:p>
        </w:tc>
        <w:tc>
          <w:tcPr>
            <w:tcW w:w="391" w:type="dxa"/>
            <w:tcBorders/>
            <w:shd w:fill="FFFFFF" w:val="clear"/>
            <w:vAlign w:val="center"/>
          </w:tcPr>
          <w:p>
            <w:pPr>
              <w:pStyle w:val="TableContents"/>
              <w:bidi w:val="0"/>
              <w:spacing w:before="0" w:after="283"/>
              <w:jc w:val="left"/>
              <w:rPr/>
            </w:pPr>
            <w:r>
              <w:rPr/>
              <w:t> </w:t>
            </w:r>
          </w:p>
        </w:tc>
      </w:tr>
      <w:tr>
        <w:trPr/>
        <w:tc>
          <w:tcPr>
            <w:tcW w:w="3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Employee ESPP contributions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311</w:t>
            </w:r>
          </w:p>
        </w:tc>
        <w:tc>
          <w:tcPr>
            <w:tcW w:w="391" w:type="dxa"/>
            <w:tcBorders/>
            <w:shd w:fill="CFF0FC" w:val="clear"/>
            <w:vAlign w:val="center"/>
          </w:tcPr>
          <w:p>
            <w:pPr>
              <w:pStyle w:val="TableContents"/>
              <w:bidi w:val="0"/>
              <w:spacing w:before="0" w:after="283"/>
              <w:jc w:val="left"/>
              <w:rPr/>
            </w:pPr>
            <w:r>
              <w:rPr/>
              <w:t> </w:t>
            </w:r>
          </w:p>
        </w:tc>
      </w:tr>
      <w:tr>
        <w:trPr/>
        <w:tc>
          <w:tcPr>
            <w:tcW w:w="36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Accrued taxes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391" w:type="dxa"/>
            <w:tcBorders/>
            <w:shd w:fill="FFFFFF" w:val="clear"/>
            <w:vAlign w:val="center"/>
          </w:tcPr>
          <w:p>
            <w:pPr>
              <w:pStyle w:val="TableContents"/>
              <w:bidi w:val="0"/>
              <w:spacing w:before="0" w:after="283"/>
              <w:jc w:val="left"/>
              <w:rPr/>
            </w:pPr>
            <w:r>
              <w:rPr/>
              <w:t> </w:t>
            </w:r>
          </w:p>
        </w:tc>
      </w:tr>
      <w:tr>
        <w:trPr/>
        <w:tc>
          <w:tcPr>
            <w:tcW w:w="3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Customer deposits</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 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23,941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color w:val="000000"/>
          <w:sz w:val="18"/>
        </w:rPr>
      </w:pPr>
      <w:bookmarkStart w:id="17" w:name="note_5_fair_value_measurements"/>
      <w:bookmarkEnd w:id="17"/>
      <w:r>
        <w:rPr>
          <w:rFonts w:ascii="Arial" w:hAnsi="Arial"/>
          <w:b/>
          <w:color w:val="000000"/>
          <w:sz w:val="18"/>
        </w:rPr>
        <w:t>Note 5. Fair Value Measurements</w:t>
      </w:r>
    </w:p>
    <w:p>
      <w:pPr>
        <w:pStyle w:val="TextBody"/>
        <w:bidi w:val="0"/>
        <w:spacing w:before="200" w:after="200"/>
        <w:jc w:val="both"/>
        <w:rPr>
          <w:rFonts w:ascii="Arial" w:hAnsi="Arial"/>
          <w:color w:val="000000"/>
          <w:sz w:val="18"/>
        </w:rPr>
      </w:pPr>
      <w:r>
        <w:rPr>
          <w:rFonts w:ascii="Arial" w:hAnsi="Arial"/>
          <w:color w:val="000000"/>
          <w:sz w:val="18"/>
        </w:rPr>
        <w:t>The following tables show the Company’s financial assets measured at fair value on a recurring basis and the level of inputs used in such measurements as of March 31, 2024 and December 31, 2023 (in thousands):</w:t>
      </w:r>
    </w:p>
    <w:tbl>
      <w:tblPr>
        <w:tblW w:w="10205" w:type="dxa"/>
        <w:jc w:val="left"/>
        <w:tblInd w:w="0" w:type="dxa"/>
        <w:tblLayout w:type="fixed"/>
        <w:tblCellMar>
          <w:top w:w="28" w:type="dxa"/>
          <w:left w:w="28" w:type="dxa"/>
          <w:bottom w:w="28" w:type="dxa"/>
          <w:right w:w="28" w:type="dxa"/>
        </w:tblCellMar>
      </w:tblPr>
      <w:tblGrid>
        <w:gridCol w:w="2920"/>
        <w:gridCol w:w="146"/>
        <w:gridCol w:w="269"/>
        <w:gridCol w:w="862"/>
        <w:gridCol w:w="146"/>
        <w:gridCol w:w="146"/>
        <w:gridCol w:w="490"/>
        <w:gridCol w:w="804"/>
        <w:gridCol w:w="146"/>
        <w:gridCol w:w="146"/>
        <w:gridCol w:w="491"/>
        <w:gridCol w:w="874"/>
        <w:gridCol w:w="166"/>
        <w:gridCol w:w="146"/>
        <w:gridCol w:w="211"/>
        <w:gridCol w:w="676"/>
        <w:gridCol w:w="146"/>
        <w:gridCol w:w="146"/>
        <w:gridCol w:w="1274"/>
      </w:tblGrid>
      <w:tr>
        <w:trPr/>
        <w:tc>
          <w:tcPr>
            <w:tcW w:w="2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r>
      <w:tr>
        <w:trPr/>
        <w:tc>
          <w:tcPr>
            <w:tcW w:w="29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39"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r>
      <w:tr>
        <w:trPr/>
        <w:tc>
          <w:tcPr>
            <w:tcW w:w="29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Level</w:t>
            </w:r>
          </w:p>
        </w:tc>
      </w:tr>
      <w:tr>
        <w:trPr/>
        <w:tc>
          <w:tcPr>
            <w:tcW w:w="2920"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13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9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6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jc w:val="center"/>
              <w:rPr/>
            </w:pPr>
            <w:r>
              <w:rPr/>
              <w:t> </w:t>
            </w:r>
          </w:p>
        </w:tc>
      </w:tr>
      <w:tr>
        <w:trPr/>
        <w:tc>
          <w:tcPr>
            <w:tcW w:w="29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ind w:left="0" w:right="0" w:firstLine="200"/>
              <w:jc w:val="center"/>
              <w:rPr/>
            </w:pPr>
            <w:r>
              <w:rPr/>
              <w:t> </w:t>
            </w:r>
          </w:p>
        </w:tc>
      </w:tr>
      <w:tr>
        <w:trPr/>
        <w:tc>
          <w:tcPr>
            <w:tcW w:w="2920"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ind w:left="0" w:right="0" w:firstLine="200"/>
              <w:jc w:val="center"/>
              <w:rPr/>
            </w:pPr>
            <w:r>
              <w:rPr/>
              <w:t> </w:t>
            </w:r>
          </w:p>
        </w:tc>
      </w:tr>
      <w:tr>
        <w:trPr/>
        <w:tc>
          <w:tcPr>
            <w:tcW w:w="2920"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Money market funds</w:t>
            </w:r>
          </w:p>
        </w:tc>
        <w:tc>
          <w:tcPr>
            <w:tcW w:w="146"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left"/>
              <w:rPr/>
            </w:pPr>
            <w:r>
              <w:rPr/>
              <w:t> </w:t>
            </w:r>
          </w:p>
        </w:tc>
        <w:tc>
          <w:tcPr>
            <w:tcW w:w="80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1</w:t>
            </w:r>
          </w:p>
        </w:tc>
      </w:tr>
      <w:tr>
        <w:trPr/>
        <w:tc>
          <w:tcPr>
            <w:tcW w:w="2920"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Commercial paper</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31,048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920"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U.S. government securities</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920"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cash and cash equivalents</w:t>
            </w:r>
          </w:p>
        </w:tc>
        <w:tc>
          <w:tcPr>
            <w:tcW w:w="146" w:type="dxa"/>
            <w:tcBorders/>
            <w:shd w:fill="CFF0FC" w:val="clear"/>
            <w:vAlign w:val="center"/>
          </w:tcPr>
          <w:p>
            <w:pPr>
              <w:pStyle w:val="TableContents"/>
              <w:bidi w:val="0"/>
              <w:spacing w:before="0" w:after="283"/>
              <w:jc w:val="left"/>
              <w:rPr/>
            </w:pPr>
            <w:r>
              <w:rPr/>
              <w:t> </w:t>
            </w:r>
          </w:p>
        </w:tc>
        <w:tc>
          <w:tcPr>
            <w:tcW w:w="269"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43,996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left"/>
              <w:rPr/>
            </w:pPr>
            <w:r>
              <w:rPr/>
              <w:t> </w:t>
            </w:r>
          </w:p>
        </w:tc>
        <w:tc>
          <w:tcPr>
            <w:tcW w:w="80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91" w:type="dxa"/>
            <w:tcBorders/>
            <w:shd w:fill="CFF0FC" w:val="clear"/>
            <w:vAlign w:val="center"/>
          </w:tcPr>
          <w:p>
            <w:pPr>
              <w:pStyle w:val="TableContents"/>
              <w:bidi w:val="0"/>
              <w:spacing w:before="0" w:after="283"/>
              <w:jc w:val="left"/>
              <w:rPr/>
            </w:pPr>
            <w:r>
              <w:rPr/>
              <w:t> </w:t>
            </w:r>
          </w:p>
        </w:tc>
        <w:tc>
          <w:tcPr>
            <w:tcW w:w="87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43,981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jc w:val="center"/>
              <w:rPr/>
            </w:pPr>
            <w:r>
              <w:rPr/>
              <w:t> </w:t>
            </w:r>
          </w:p>
        </w:tc>
      </w:tr>
      <w:tr>
        <w:trPr/>
        <w:tc>
          <w:tcPr>
            <w:tcW w:w="29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Short-term investments:</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9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6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ind w:left="0" w:right="0" w:firstLine="200"/>
              <w:jc w:val="center"/>
              <w:rPr/>
            </w:pPr>
            <w:r>
              <w:rPr/>
              <w:t> </w:t>
            </w:r>
          </w:p>
        </w:tc>
      </w:tr>
      <w:tr>
        <w:trPr/>
        <w:tc>
          <w:tcPr>
            <w:tcW w:w="2920"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U.S. government securities</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51,438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920"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short-term investments</w:t>
            </w:r>
          </w:p>
        </w:tc>
        <w:tc>
          <w:tcPr>
            <w:tcW w:w="146" w:type="dxa"/>
            <w:tcBorders/>
            <w:shd w:fill="FFFFFF" w:val="cle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ind w:left="0" w:right="0" w:firstLine="600"/>
              <w:jc w:val="center"/>
              <w:rPr/>
            </w:pPr>
            <w:r>
              <w:rPr/>
              <w:t> </w:t>
            </w:r>
          </w:p>
        </w:tc>
      </w:tr>
      <w:tr>
        <w:trPr/>
        <w:tc>
          <w:tcPr>
            <w:tcW w:w="2920" w:type="dxa"/>
            <w:tcBorders/>
            <w:shd w:fill="CFF0FC"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95,505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95,419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jc w:val="center"/>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47"/>
        <w:gridCol w:w="146"/>
        <w:gridCol w:w="245"/>
        <w:gridCol w:w="909"/>
        <w:gridCol w:w="146"/>
        <w:gridCol w:w="146"/>
        <w:gridCol w:w="482"/>
        <w:gridCol w:w="792"/>
        <w:gridCol w:w="146"/>
        <w:gridCol w:w="146"/>
        <w:gridCol w:w="483"/>
        <w:gridCol w:w="860"/>
        <w:gridCol w:w="166"/>
        <w:gridCol w:w="146"/>
        <w:gridCol w:w="211"/>
        <w:gridCol w:w="781"/>
        <w:gridCol w:w="146"/>
        <w:gridCol w:w="146"/>
        <w:gridCol w:w="1261"/>
      </w:tblGrid>
      <w:tr>
        <w:trPr/>
        <w:tc>
          <w:tcPr>
            <w:tcW w:w="2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1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r>
      <w:tr>
        <w:trPr/>
        <w:tc>
          <w:tcPr>
            <w:tcW w:w="28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 Level</w:t>
            </w:r>
          </w:p>
        </w:tc>
      </w:tr>
      <w:tr>
        <w:trPr/>
        <w:tc>
          <w:tcPr>
            <w:tcW w:w="2847"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4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center"/>
              <w:rPr/>
            </w:pPr>
            <w:r>
              <w:rPr/>
              <w:t> </w:t>
            </w:r>
          </w:p>
        </w:tc>
      </w:tr>
      <w:tr>
        <w:trPr/>
        <w:tc>
          <w:tcPr>
            <w:tcW w:w="2847"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115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43"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ind w:left="0" w:right="0" w:firstLine="200"/>
              <w:jc w:val="center"/>
              <w:rPr/>
            </w:pPr>
            <w:r>
              <w:rPr/>
              <w:t> </w:t>
            </w:r>
          </w:p>
        </w:tc>
      </w:tr>
      <w:tr>
        <w:trPr/>
        <w:tc>
          <w:tcPr>
            <w:tcW w:w="2847"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Cash</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ind w:left="0" w:right="0" w:firstLine="200"/>
              <w:jc w:val="center"/>
              <w:rPr/>
            </w:pPr>
            <w:r>
              <w:rPr/>
              <w:t> </w:t>
            </w:r>
          </w:p>
        </w:tc>
      </w:tr>
      <w:tr>
        <w:trPr/>
        <w:tc>
          <w:tcPr>
            <w:tcW w:w="2847"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Money market funds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14,968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14,968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1</w:t>
            </w:r>
          </w:p>
        </w:tc>
      </w:tr>
      <w:tr>
        <w:trPr/>
        <w:tc>
          <w:tcPr>
            <w:tcW w:w="2847"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Commercial paper</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34,416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34,398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U.S. agency securities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U.S. government securities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847"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cash and cash equivalents</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57,001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56,984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pPr>
            <w:r>
              <w:rPr/>
              <w:t> </w:t>
            </w:r>
          </w:p>
        </w:tc>
      </w:tr>
      <w:tr>
        <w:trPr/>
        <w:tc>
          <w:tcPr>
            <w:tcW w:w="2847"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Short-term investments:</w:t>
            </w:r>
          </w:p>
        </w:tc>
        <w:tc>
          <w:tcPr>
            <w:tcW w:w="146" w:type="dxa"/>
            <w:tcBorders/>
            <w:shd w:fill="FFFFFF" w:val="clear"/>
            <w:vAlign w:val="center"/>
          </w:tcPr>
          <w:p>
            <w:pPr>
              <w:pStyle w:val="TableContents"/>
              <w:bidi w:val="0"/>
              <w:spacing w:before="0" w:after="283"/>
              <w:jc w:val="left"/>
              <w:rPr/>
            </w:pPr>
            <w:r>
              <w:rPr/>
              <w:t> </w:t>
            </w:r>
          </w:p>
        </w:tc>
        <w:tc>
          <w:tcPr>
            <w:tcW w:w="115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43"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ind w:left="0" w:right="0" w:firstLine="200"/>
              <w:jc w:val="center"/>
              <w:rPr/>
            </w:pPr>
            <w:r>
              <w:rPr/>
              <w:t> </w:t>
            </w:r>
          </w:p>
        </w:tc>
      </w:tr>
      <w:tr>
        <w:trPr/>
        <w:tc>
          <w:tcPr>
            <w:tcW w:w="2847"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Commercial paper</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2" w:type="dxa"/>
            <w:tcBorders/>
            <w:shd w:fill="CFF0FC" w:val="clear"/>
            <w:vAlign w:val="center"/>
          </w:tcPr>
          <w:p>
            <w:pPr>
              <w:pStyle w:val="TableContents"/>
              <w:bidi w:val="0"/>
              <w:spacing w:before="0" w:after="283"/>
              <w:jc w:val="left"/>
              <w:rPr/>
            </w:pPr>
            <w:r>
              <w:rPr/>
              <w:t> </w:t>
            </w:r>
          </w:p>
        </w:tc>
        <w:tc>
          <w:tcPr>
            <w:tcW w:w="79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860"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U.S. agency securities</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Level 2</w:t>
            </w:r>
          </w:p>
        </w:tc>
      </w:tr>
      <w:tr>
        <w:trPr/>
        <w:tc>
          <w:tcPr>
            <w:tcW w:w="2847"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U.S. government securities</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ind w:left="0" w:right="0" w:firstLine="400"/>
              <w:jc w:val="center"/>
              <w:rPr>
                <w:rFonts w:ascii="Arial" w:hAnsi="Arial"/>
                <w:color w:val="000000"/>
                <w:sz w:val="18"/>
              </w:rPr>
            </w:pPr>
            <w:r>
              <w:rPr>
                <w:rFonts w:ascii="Arial" w:hAnsi="Arial"/>
                <w:color w:val="000000"/>
                <w:sz w:val="18"/>
              </w:rPr>
              <w:t>Level 2</w:t>
            </w:r>
          </w:p>
        </w:tc>
      </w:tr>
      <w:tr>
        <w:trPr/>
        <w:tc>
          <w:tcPr>
            <w:tcW w:w="2847" w:type="dxa"/>
            <w:tcBorders/>
            <w:shd w:fill="FFFFFF"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short-term investments</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ind w:left="0" w:right="0" w:firstLine="600"/>
              <w:jc w:val="center"/>
              <w:rPr/>
            </w:pPr>
            <w:r>
              <w:rPr/>
              <w:t> </w:t>
            </w:r>
          </w:p>
        </w:tc>
      </w:tr>
      <w:tr>
        <w:trPr/>
        <w:tc>
          <w:tcPr>
            <w:tcW w:w="2847" w:type="dxa"/>
            <w:tcBorders/>
            <w:shd w:fill="CFF0FC"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114,192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114,179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center"/>
              <w:rPr/>
            </w:pPr>
            <w:r>
              <w:rPr/>
              <w:t> </w:t>
            </w:r>
          </w:p>
        </w:tc>
      </w:tr>
    </w:tbl>
    <w:p>
      <w:pPr>
        <w:pStyle w:val="TextBody"/>
        <w:bidi w:val="0"/>
        <w:spacing w:before="200" w:after="283"/>
        <w:jc w:val="both"/>
        <w:rPr>
          <w:rFonts w:ascii="Times New Roman" w:hAnsi="Times New Roman"/>
          <w:sz w:val="20"/>
        </w:rPr>
      </w:pPr>
      <w:r>
        <w:rPr>
          <w:rFonts w:ascii="Arial" w:hAnsi="Arial"/>
          <w:color w:val="000000"/>
          <w:sz w:val="18"/>
        </w:rPr>
        <w:t>Marketable debt securities at March 31, 2024 have maturities due in less than 12 months. No</w:t>
      </w:r>
      <w:r>
        <w:rPr>
          <w:rFonts w:ascii="Times New Roman" w:hAnsi="Times New Roman"/>
          <w:color w:val="000000"/>
          <w:sz w:val="20"/>
        </w:rPr>
        <w:t xml:space="preserve"> </w:t>
      </w:r>
      <w:r>
        <w:rPr>
          <w:rFonts w:ascii="Arial" w:hAnsi="Arial"/>
          <w:color w:val="000000"/>
          <w:sz w:val="18"/>
        </w:rPr>
        <w:t>security has been in a continuous unrealized loss position for more than 12 months and the Company does not consider any of its marketable debt securities to be impaired.</w:t>
      </w:r>
    </w:p>
    <w:p>
      <w:pPr>
        <w:pStyle w:val="TextBody"/>
        <w:bidi w:val="0"/>
        <w:spacing w:before="200" w:after="283"/>
        <w:jc w:val="both"/>
        <w:rPr>
          <w:rFonts w:ascii="Arial" w:hAnsi="Arial"/>
          <w:i/>
          <w:color w:val="000000"/>
          <w:sz w:val="18"/>
        </w:rPr>
      </w:pPr>
      <w:r>
        <w:rPr>
          <w:rFonts w:ascii="Arial" w:hAnsi="Arial"/>
          <w:i/>
          <w:color w:val="000000"/>
          <w:sz w:val="18"/>
        </w:rPr>
        <w:t>Tempus Warrants</w:t>
      </w:r>
    </w:p>
    <w:p>
      <w:pPr>
        <w:pStyle w:val="TextBody"/>
        <w:bidi w:val="0"/>
        <w:spacing w:before="200" w:after="200"/>
        <w:jc w:val="both"/>
        <w:rPr>
          <w:rFonts w:ascii="Arial" w:hAnsi="Arial"/>
          <w:color w:val="000000"/>
          <w:sz w:val="18"/>
        </w:rPr>
      </w:pPr>
      <w:r>
        <w:rPr>
          <w:rFonts w:ascii="Arial" w:hAnsi="Arial"/>
          <w:color w:val="000000"/>
          <w:sz w:val="18"/>
        </w:rPr>
        <w:t>The Black-Scholes option-pricing model was used to estimate fair value of the warrants issued to Tempus AI, Inc. (formerly known as Tempus Labs, Inc., and referred to herein as "Tempus") at the date of issuance, November 28, 2023, and at each subsequent balance sheet date. Assumptions used are listed below, which are Level 3 fair value inputs. Expected term is equal to the remaining contractual periods of each of the two warrants. Expected volatility was based on the Company's actual historical volatility over the expected terms of the warrants. The risk-free interest rate was based on the U.S. Treasury yield curve over the expected term of the warrants. Refer to Note 8 for further information about the warrants issued to Tempus.</w:t>
      </w:r>
    </w:p>
    <w:p>
      <w:pPr>
        <w:pStyle w:val="TextBody"/>
        <w:bidi w:val="0"/>
        <w:spacing w:before="240" w:after="283"/>
        <w:jc w:val="center"/>
        <w:rPr>
          <w:rFonts w:ascii="Arial" w:hAnsi="Arial"/>
          <w:color w:val="000000"/>
          <w:sz w:val="18"/>
        </w:rPr>
      </w:pPr>
      <w:r>
        <w:rPr>
          <w:rFonts w:ascii="Arial" w:hAnsi="Arial"/>
          <w:color w:val="000000"/>
          <w:sz w:val="18"/>
        </w:rPr>
        <w:t>13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tbl>
      <w:tblPr>
        <w:tblW w:w="8610" w:type="dxa"/>
        <w:jc w:val="left"/>
        <w:tblInd w:w="0" w:type="dxa"/>
        <w:tblLayout w:type="fixed"/>
        <w:tblCellMar>
          <w:top w:w="28" w:type="dxa"/>
          <w:left w:w="28" w:type="dxa"/>
          <w:bottom w:w="28" w:type="dxa"/>
          <w:right w:w="28" w:type="dxa"/>
        </w:tblCellMar>
      </w:tblPr>
      <w:tblGrid>
        <w:gridCol w:w="4216"/>
        <w:gridCol w:w="146"/>
        <w:gridCol w:w="465"/>
        <w:gridCol w:w="1260"/>
        <w:gridCol w:w="146"/>
        <w:gridCol w:w="146"/>
        <w:gridCol w:w="484"/>
        <w:gridCol w:w="1556"/>
        <w:gridCol w:w="1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Expected term (in years)</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0.75</w:t>
            </w:r>
            <w:r>
              <w:rPr>
                <w:rFonts w:ascii="Times New Roman" w:hAnsi="Times New Roman"/>
                <w:color w:val="000000"/>
                <w:sz w:val="20"/>
              </w:rPr>
              <w:t> </w:t>
            </w:r>
            <w:r>
              <w:rPr>
                <w:rFonts w:ascii="Arial" w:hAnsi="Arial"/>
                <w:color w:val="000000"/>
                <w:sz w:val="18"/>
              </w:rPr>
              <w:t>- 1.75</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0" w:type="dxa"/>
            <w:gridSpan w:val="2"/>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1.00</w:t>
            </w:r>
            <w:r>
              <w:rPr>
                <w:rFonts w:ascii="Times New Roman" w:hAnsi="Times New Roman"/>
                <w:color w:val="000000"/>
                <w:sz w:val="20"/>
              </w:rPr>
              <w:t> </w:t>
            </w:r>
            <w:r>
              <w:rPr>
                <w:rFonts w:ascii="Arial" w:hAnsi="Arial"/>
                <w:color w:val="000000"/>
                <w:sz w:val="18"/>
              </w:rPr>
              <w:t>- 2.00</w:t>
            </w:r>
          </w:p>
        </w:tc>
        <w:tc>
          <w:tcPr>
            <w:tcW w:w="191" w:type="dxa"/>
            <w:tcBorders/>
            <w:shd w:fill="FFFFFF" w:val="cle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Volatility</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center"/>
              <w:rPr>
                <w:rFonts w:ascii="Times New Roman" w:hAnsi="Times New Roman"/>
                <w:sz w:val="20"/>
              </w:rPr>
            </w:pPr>
            <w:r>
              <w:rPr>
                <w:rFonts w:ascii="Arial" w:hAnsi="Arial"/>
                <w:color w:val="000000"/>
                <w:sz w:val="18"/>
              </w:rPr>
              <w:t>103.91</w:t>
            </w:r>
            <w:r>
              <w:rPr>
                <w:rFonts w:ascii="Times New Roman" w:hAnsi="Times New Roman"/>
                <w:color w:val="000000"/>
                <w:sz w:val="20"/>
              </w:rPr>
              <w:t> </w:t>
            </w:r>
            <w:r>
              <w:rPr>
                <w:rFonts w:ascii="Arial" w:hAnsi="Arial"/>
                <w:color w:val="000000"/>
                <w:sz w:val="18"/>
              </w:rPr>
              <w:t>- 106.32%</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40" w:type="dxa"/>
            <w:gridSpan w:val="2"/>
            <w:tcBorders/>
            <w:shd w:fill="CFF0FC" w:val="clear"/>
            <w:vAlign w:val="center"/>
          </w:tcPr>
          <w:p>
            <w:pPr>
              <w:pStyle w:val="TableContents"/>
              <w:bidi w:val="0"/>
              <w:spacing w:before="0" w:after="283"/>
              <w:jc w:val="center"/>
              <w:rPr>
                <w:rFonts w:ascii="Times New Roman" w:hAnsi="Times New Roman"/>
                <w:sz w:val="20"/>
              </w:rPr>
            </w:pPr>
            <w:r>
              <w:rPr>
                <w:rFonts w:ascii="Arial" w:hAnsi="Arial"/>
                <w:color w:val="000000"/>
                <w:sz w:val="18"/>
              </w:rPr>
              <w:t>102.55</w:t>
            </w:r>
            <w:r>
              <w:rPr>
                <w:rFonts w:ascii="Times New Roman" w:hAnsi="Times New Roman"/>
                <w:color w:val="000000"/>
                <w:sz w:val="20"/>
              </w:rPr>
              <w:t> </w:t>
            </w:r>
            <w:r>
              <w:rPr>
                <w:rFonts w:ascii="Arial" w:hAnsi="Arial"/>
                <w:color w:val="000000"/>
                <w:sz w:val="18"/>
              </w:rPr>
              <w:t>- 108.46%</w:t>
            </w:r>
          </w:p>
        </w:tc>
        <w:tc>
          <w:tcPr>
            <w:tcW w:w="191" w:type="dxa"/>
            <w:tcBorders/>
            <w:shd w:fill="CFF0FC" w:val="cle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Risk-free interest rate</w:t>
            </w:r>
          </w:p>
        </w:tc>
        <w:tc>
          <w:tcPr>
            <w:tcW w:w="146" w:type="dxa"/>
            <w:tcBorders/>
            <w:shd w:fill="FFFFFF" w:val="clear"/>
            <w:vAlign w:val="center"/>
          </w:tcPr>
          <w:p>
            <w:pPr>
              <w:pStyle w:val="TableContents"/>
              <w:bidi w:val="0"/>
              <w:spacing w:before="0" w:after="283"/>
              <w:jc w:val="left"/>
              <w:rPr/>
            </w:pPr>
            <w:r>
              <w:rPr/>
              <w:t> </w:t>
            </w:r>
          </w:p>
        </w:tc>
        <w:tc>
          <w:tcPr>
            <w:tcW w:w="1725" w:type="dxa"/>
            <w:gridSpan w:val="2"/>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4.70</w:t>
            </w:r>
            <w:r>
              <w:rPr>
                <w:rFonts w:ascii="Times New Roman" w:hAnsi="Times New Roman"/>
                <w:color w:val="000000"/>
                <w:sz w:val="20"/>
              </w:rPr>
              <w:t> </w:t>
            </w:r>
            <w:r>
              <w:rPr>
                <w:rFonts w:ascii="Arial" w:hAnsi="Arial"/>
                <w:color w:val="000000"/>
                <w:sz w:val="18"/>
              </w:rPr>
              <w:t>- 5.21%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40" w:type="dxa"/>
            <w:gridSpan w:val="2"/>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4.23</w:t>
            </w:r>
            <w:r>
              <w:rPr>
                <w:rFonts w:ascii="Times New Roman" w:hAnsi="Times New Roman"/>
                <w:color w:val="000000"/>
                <w:sz w:val="20"/>
              </w:rPr>
              <w:t> </w:t>
            </w:r>
            <w:r>
              <w:rPr>
                <w:rFonts w:ascii="Arial" w:hAnsi="Arial"/>
                <w:color w:val="000000"/>
                <w:sz w:val="18"/>
              </w:rPr>
              <w:t>- 4.79%</w:t>
            </w:r>
          </w:p>
        </w:tc>
        <w:tc>
          <w:tcPr>
            <w:tcW w:w="191" w:type="dxa"/>
            <w:tcBorders/>
            <w:shd w:fill="FFFFFF" w:val="cle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Dividend yield</w:t>
            </w:r>
          </w:p>
        </w:tc>
        <w:tc>
          <w:tcPr>
            <w:tcW w:w="146" w:type="dxa"/>
            <w:tcBorders/>
            <w:shd w:fill="CFF0FC" w:val="clear"/>
            <w:vAlign w:val="center"/>
          </w:tcPr>
          <w:p>
            <w:pPr>
              <w:pStyle w:val="TableContents"/>
              <w:bidi w:val="0"/>
              <w:spacing w:before="0" w:after="283"/>
              <w:jc w:val="left"/>
              <w:rPr/>
            </w:pPr>
            <w:r>
              <w:rPr/>
              <w:t> </w:t>
            </w:r>
          </w:p>
        </w:tc>
        <w:tc>
          <w:tcPr>
            <w:tcW w:w="1725" w:type="dxa"/>
            <w:gridSpan w:val="2"/>
            <w:tcBorders/>
            <w:shd w:fill="CFF0FC" w:val="clear"/>
            <w:vAlign w:val="center"/>
          </w:tcPr>
          <w:p>
            <w:pPr>
              <w:pStyle w:val="TableContents"/>
              <w:bidi w:val="0"/>
              <w:spacing w:before="0" w:after="283"/>
              <w:jc w:val="center"/>
              <w:rPr/>
            </w:pPr>
            <w:r>
              <w:rPr>
                <w:color w:val="000000"/>
              </w:rPr>
              <w:t>–</w:t>
            </w:r>
            <w:r>
              <w:rPr>
                <w:rFonts w:ascii="Arial" w:hAnsi="Arial"/>
                <w:color w:val="000000"/>
                <w:sz w:val="18"/>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040" w:type="dxa"/>
            <w:gridSpan w:val="2"/>
            <w:tcBorders/>
            <w:shd w:fill="CFF0FC" w:val="clear"/>
            <w:vAlign w:val="center"/>
          </w:tcPr>
          <w:p>
            <w:pPr>
              <w:pStyle w:val="TableContents"/>
              <w:bidi w:val="0"/>
              <w:spacing w:before="0" w:after="283"/>
              <w:jc w:val="center"/>
              <w:rPr/>
            </w:pPr>
            <w:r>
              <w:rPr>
                <w:color w:val="000000"/>
              </w:rPr>
              <w:t>–</w:t>
            </w:r>
            <w:r>
              <w:rPr>
                <w:rFonts w:ascii="Arial" w:hAnsi="Arial"/>
                <w:color w:val="000000"/>
                <w:sz w:val="18"/>
              </w:rPr>
              <w:t>%</w:t>
            </w:r>
          </w:p>
        </w:tc>
        <w:tc>
          <w:tcPr>
            <w:tcW w:w="191" w:type="dxa"/>
            <w:tcBorders/>
            <w:shd w:fill="CFF0FC" w:val="cle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fair value of Tempus Warrants (in thousands)</w:t>
            </w:r>
          </w:p>
        </w:tc>
        <w:tc>
          <w:tcPr>
            <w:tcW w:w="146" w:type="dxa"/>
            <w:tcBorders/>
            <w:shd w:fill="FFFFFF" w:val="clear"/>
            <w:vAlign w:val="center"/>
          </w:tcPr>
          <w:p>
            <w:pPr>
              <w:pStyle w:val="TableContents"/>
              <w:bidi w:val="0"/>
              <w:spacing w:before="0" w:after="283"/>
              <w:jc w:val="left"/>
              <w:rPr/>
            </w:pPr>
            <w:r>
              <w:rPr/>
              <w:t> </w:t>
            </w:r>
          </w:p>
        </w:tc>
        <w:tc>
          <w:tcPr>
            <w:tcW w:w="46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6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5,262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10,027</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00" w:after="200"/>
        <w:jc w:val="both"/>
        <w:rPr>
          <w:rFonts w:ascii="Arial" w:hAnsi="Arial"/>
          <w:color w:val="000000"/>
          <w:sz w:val="18"/>
        </w:rPr>
      </w:pPr>
      <w:r>
        <w:rPr>
          <w:rFonts w:ascii="Arial" w:hAnsi="Arial"/>
          <w:color w:val="000000"/>
          <w:sz w:val="18"/>
        </w:rPr>
        <w:t>The following table sets forth a summary of the changes in fair value of the Tempus Warrants, which are classified as Level 3 financial instruments (in thousands):</w:t>
      </w:r>
    </w:p>
    <w:tbl>
      <w:tblPr>
        <w:tblW w:w="3840" w:type="dxa"/>
        <w:jc w:val="left"/>
        <w:tblInd w:w="0" w:type="dxa"/>
        <w:tblLayout w:type="fixed"/>
        <w:tblCellMar>
          <w:top w:w="28" w:type="dxa"/>
          <w:left w:w="28" w:type="dxa"/>
          <w:bottom w:w="28" w:type="dxa"/>
          <w:right w:w="28" w:type="dxa"/>
        </w:tblCellMar>
      </w:tblPr>
      <w:tblGrid>
        <w:gridCol w:w="2596"/>
        <w:gridCol w:w="146"/>
        <w:gridCol w:w="211"/>
        <w:gridCol w:w="676"/>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Warrant</w:t>
              <w:br/>
              <w:t>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10,027</w:t>
            </w:r>
          </w:p>
        </w:tc>
        <w:tc>
          <w:tcPr>
            <w:tcW w:w="21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Change in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9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Balance—March 31, 2024</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18"/>
        </w:rPr>
        <w:t xml:space="preserve">Note 6. </w:t>
      </w:r>
      <w:bookmarkStart w:id="18" w:name="note_6_loans"/>
      <w:bookmarkEnd w:id="18"/>
      <w:r>
        <w:rPr>
          <w:rFonts w:ascii="Arial" w:hAnsi="Arial"/>
          <w:b/>
          <w:color w:val="000000"/>
          <w:sz w:val="18"/>
        </w:rPr>
        <w:t>Loans</w:t>
      </w:r>
    </w:p>
    <w:p>
      <w:pPr>
        <w:pStyle w:val="TextBody"/>
        <w:bidi w:val="0"/>
        <w:spacing w:before="200" w:after="200"/>
        <w:jc w:val="both"/>
        <w:rPr>
          <w:rFonts w:ascii="Arial" w:hAnsi="Arial"/>
          <w:color w:val="000000"/>
          <w:sz w:val="18"/>
        </w:rPr>
      </w:pPr>
      <w:r>
        <w:rPr>
          <w:rFonts w:ascii="Arial" w:hAnsi="Arial"/>
          <w:color w:val="000000"/>
          <w:sz w:val="18"/>
        </w:rPr>
        <w:t>Amounts outstanding under loans are as follows (in thousands):</w:t>
      </w:r>
    </w:p>
    <w:tbl>
      <w:tblPr>
        <w:tblW w:w="9645" w:type="dxa"/>
        <w:jc w:val="left"/>
        <w:tblInd w:w="0" w:type="dxa"/>
        <w:tblLayout w:type="fixed"/>
        <w:tblCellMar>
          <w:top w:w="28" w:type="dxa"/>
          <w:left w:w="28" w:type="dxa"/>
          <w:bottom w:w="28" w:type="dxa"/>
          <w:right w:w="28" w:type="dxa"/>
        </w:tblCellMar>
      </w:tblPr>
      <w:tblGrid>
        <w:gridCol w:w="5961"/>
        <w:gridCol w:w="146"/>
        <w:gridCol w:w="315"/>
        <w:gridCol w:w="945"/>
        <w:gridCol w:w="166"/>
        <w:gridCol w:w="146"/>
        <w:gridCol w:w="393"/>
        <w:gridCol w:w="1182"/>
        <w:gridCol w:w="391"/>
      </w:tblGrid>
      <w:tr>
        <w:trPr/>
        <w:tc>
          <w:tcPr>
            <w:tcW w:w="5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Principal</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2,904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96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Less: unamortized discount</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carrying amount</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94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left"/>
              <w:rPr/>
            </w:pPr>
            <w:r>
              <w:rPr/>
              <w:t> </w:t>
            </w:r>
          </w:p>
        </w:tc>
        <w:tc>
          <w:tcPr>
            <w:tcW w:w="11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2,880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596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Less: current portion (included in accrued and other current liabilities)</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portion (included in other long-term liabilities)</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i/>
          <w:color w:val="000000"/>
          <w:sz w:val="18"/>
        </w:rPr>
      </w:pPr>
      <w:r>
        <w:rPr>
          <w:rFonts w:ascii="Arial" w:hAnsi="Arial"/>
          <w:i/>
          <w:color w:val="000000"/>
          <w:sz w:val="18"/>
        </w:rPr>
        <w:t>Equipment and Software Loans</w:t>
      </w:r>
    </w:p>
    <w:p>
      <w:pPr>
        <w:pStyle w:val="TextBody"/>
        <w:bidi w:val="0"/>
        <w:spacing w:before="200" w:after="283"/>
        <w:jc w:val="both"/>
        <w:rPr>
          <w:rFonts w:ascii="Times New Roman" w:hAnsi="Times New Roman"/>
          <w:sz w:val="20"/>
        </w:rPr>
      </w:pPr>
      <w:r>
        <w:rPr>
          <w:rFonts w:ascii="Arial" w:hAnsi="Arial"/>
          <w:color w:val="000000"/>
          <w:sz w:val="18"/>
        </w:rPr>
        <w:t>In April 2021, the Company entered into a secured payment agreement with a financing entity to finance the purchase of $2.4</w:t>
      </w:r>
      <w:r>
        <w:rPr>
          <w:rFonts w:ascii="Times New Roman" w:hAnsi="Times New Roman"/>
          <w:color w:val="000000"/>
          <w:sz w:val="20"/>
        </w:rPr>
        <w:t xml:space="preserve"> </w:t>
      </w:r>
      <w:r>
        <w:rPr>
          <w:rFonts w:ascii="Arial" w:hAnsi="Arial"/>
          <w:color w:val="000000"/>
          <w:sz w:val="18"/>
        </w:rPr>
        <w:t>million of internal use software licenses and related software maintenance from a vendor. The financing entity and vendor are not related. The Company repaid the financed amount in three</w:t>
      </w:r>
      <w:r>
        <w:rPr>
          <w:rFonts w:ascii="Times New Roman" w:hAnsi="Times New Roman"/>
          <w:color w:val="000000"/>
          <w:sz w:val="20"/>
        </w:rPr>
        <w:t xml:space="preserve"> </w:t>
      </w:r>
      <w:r>
        <w:rPr>
          <w:rFonts w:ascii="Arial" w:hAnsi="Arial"/>
          <w:color w:val="000000"/>
          <w:sz w:val="18"/>
        </w:rPr>
        <w:t>equal payments of $0.8</w:t>
      </w:r>
      <w:r>
        <w:rPr>
          <w:rFonts w:ascii="Times New Roman" w:hAnsi="Times New Roman"/>
          <w:color w:val="000000"/>
          <w:sz w:val="20"/>
        </w:rPr>
        <w:t xml:space="preserve"> </w:t>
      </w:r>
      <w:r>
        <w:rPr>
          <w:rFonts w:ascii="Arial" w:hAnsi="Arial"/>
          <w:color w:val="000000"/>
          <w:sz w:val="18"/>
        </w:rPr>
        <w:t>million in May 2021, May 2022, and May 2023. The payment agreement was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interest expense in the condensed consolidated statements of operations over the life of the payment agreement.</w:t>
      </w:r>
    </w:p>
    <w:p>
      <w:pPr>
        <w:pStyle w:val="TextBody"/>
        <w:bidi w:val="0"/>
        <w:spacing w:before="200" w:after="283"/>
        <w:jc w:val="both"/>
        <w:rPr>
          <w:rFonts w:ascii="Times New Roman" w:hAnsi="Times New Roman"/>
          <w:sz w:val="20"/>
        </w:rPr>
      </w:pPr>
      <w:r>
        <w:rPr>
          <w:rFonts w:ascii="Arial" w:hAnsi="Arial"/>
          <w:color w:val="000000"/>
          <w:sz w:val="18"/>
        </w:rPr>
        <w:t>The Company entered into two more secured payment agreements in April 2021 and July 2022, with the same financing entity, to finance the purchase of $3.1</w:t>
      </w:r>
      <w:r>
        <w:rPr>
          <w:rFonts w:ascii="Times New Roman" w:hAnsi="Times New Roman"/>
          <w:color w:val="000000"/>
          <w:sz w:val="20"/>
        </w:rPr>
        <w:t xml:space="preserve"> </w:t>
      </w:r>
      <w:r>
        <w:rPr>
          <w:rFonts w:ascii="Arial" w:hAnsi="Arial"/>
          <w:color w:val="000000"/>
          <w:sz w:val="18"/>
        </w:rPr>
        <w:t>million of computer hardware and related hardware maintenance and $1.3</w:t>
      </w:r>
      <w:r>
        <w:rPr>
          <w:rFonts w:ascii="Times New Roman" w:hAnsi="Times New Roman"/>
          <w:color w:val="000000"/>
          <w:sz w:val="20"/>
        </w:rPr>
        <w:t xml:space="preserve"> </w:t>
      </w:r>
      <w:r>
        <w:rPr>
          <w:rFonts w:ascii="Arial" w:hAnsi="Arial"/>
          <w:color w:val="000000"/>
          <w:sz w:val="18"/>
        </w:rPr>
        <w:t>million of internal use software licenses and related ongoing support, respectively. The Company is required to pay three</w:t>
      </w:r>
      <w:r>
        <w:rPr>
          <w:rFonts w:ascii="Times New Roman" w:hAnsi="Times New Roman"/>
          <w:color w:val="000000"/>
          <w:sz w:val="20"/>
        </w:rPr>
        <w:t xml:space="preserve"> </w:t>
      </w:r>
      <w:r>
        <w:rPr>
          <w:rFonts w:ascii="Arial" w:hAnsi="Arial"/>
          <w:color w:val="000000"/>
          <w:sz w:val="18"/>
        </w:rPr>
        <w:t>equal payments of $1.0</w:t>
      </w:r>
      <w:r>
        <w:rPr>
          <w:rFonts w:ascii="Times New Roman" w:hAnsi="Times New Roman"/>
          <w:color w:val="000000"/>
          <w:sz w:val="20"/>
        </w:rPr>
        <w:t xml:space="preserve"> </w:t>
      </w:r>
      <w:r>
        <w:rPr>
          <w:rFonts w:ascii="Arial" w:hAnsi="Arial"/>
          <w:color w:val="000000"/>
          <w:sz w:val="18"/>
        </w:rPr>
        <w:t>million in July 2021, June 2022, and June 2023 for the first agreement, and three</w:t>
      </w:r>
      <w:r>
        <w:rPr>
          <w:rFonts w:ascii="Times New Roman" w:hAnsi="Times New Roman"/>
          <w:color w:val="000000"/>
          <w:sz w:val="20"/>
        </w:rPr>
        <w:t xml:space="preserve"> </w:t>
      </w:r>
      <w:r>
        <w:rPr>
          <w:rFonts w:ascii="Arial" w:hAnsi="Arial"/>
          <w:color w:val="000000"/>
          <w:sz w:val="18"/>
        </w:rPr>
        <w:t>equal payments of $0.4</w:t>
      </w:r>
      <w:r>
        <w:rPr>
          <w:rFonts w:ascii="Times New Roman" w:hAnsi="Times New Roman"/>
          <w:color w:val="000000"/>
          <w:sz w:val="20"/>
        </w:rPr>
        <w:t xml:space="preserve"> </w:t>
      </w:r>
      <w:r>
        <w:rPr>
          <w:rFonts w:ascii="Arial" w:hAnsi="Arial"/>
          <w:color w:val="000000"/>
          <w:sz w:val="18"/>
        </w:rPr>
        <w:t>million in September 2022, September 2023, and September 2024 for the second agreement. The nature of these agreements and resulting accounting treatment are the same as the payment agreement described in the preceding paragraph, except the imputed interest rate was 9% for the July 2022 agreement.</w:t>
      </w:r>
    </w:p>
    <w:p>
      <w:pPr>
        <w:pStyle w:val="TextBody"/>
        <w:bidi w:val="0"/>
        <w:spacing w:before="200" w:after="283"/>
        <w:jc w:val="both"/>
        <w:rPr>
          <w:rFonts w:ascii="Times New Roman" w:hAnsi="Times New Roman"/>
          <w:sz w:val="20"/>
        </w:rPr>
      </w:pPr>
      <w:r>
        <w:rPr>
          <w:rFonts w:ascii="Arial" w:hAnsi="Arial"/>
          <w:color w:val="000000"/>
          <w:sz w:val="18"/>
        </w:rPr>
        <w:t>Repayments are presented as financing cash outflows. Interest expense was less than $0.1</w:t>
      </w:r>
      <w:r>
        <w:rPr>
          <w:rFonts w:ascii="Times New Roman" w:hAnsi="Times New Roman"/>
          <w:color w:val="000000"/>
          <w:sz w:val="20"/>
        </w:rPr>
        <w:t xml:space="preserve"> </w:t>
      </w:r>
      <w:r>
        <w:rPr>
          <w:rFonts w:ascii="Arial" w:hAnsi="Arial"/>
          <w:color w:val="000000"/>
          <w:sz w:val="18"/>
        </w:rPr>
        <w:t>million for periods presented.</w:t>
      </w:r>
    </w:p>
    <w:p>
      <w:pPr>
        <w:pStyle w:val="TextBody"/>
        <w:bidi w:val="0"/>
        <w:spacing w:before="200" w:after="283"/>
        <w:jc w:val="both"/>
        <w:rPr>
          <w:rFonts w:ascii="Arial" w:hAnsi="Arial"/>
          <w:i/>
          <w:color w:val="000000"/>
          <w:sz w:val="18"/>
        </w:rPr>
      </w:pPr>
      <w:r>
        <w:rPr>
          <w:rFonts w:ascii="Arial" w:hAnsi="Arial"/>
          <w:i/>
          <w:color w:val="000000"/>
          <w:sz w:val="18"/>
        </w:rPr>
        <w:t>Lab Equipment Loan</w:t>
      </w:r>
    </w:p>
    <w:p>
      <w:pPr>
        <w:pStyle w:val="TextBody"/>
        <w:bidi w:val="0"/>
        <w:spacing w:before="200" w:after="283"/>
        <w:jc w:val="both"/>
        <w:rPr>
          <w:rFonts w:ascii="Times New Roman" w:hAnsi="Times New Roman"/>
          <w:sz w:val="20"/>
        </w:rPr>
      </w:pPr>
      <w:r>
        <w:rPr>
          <w:rFonts w:ascii="Arial" w:hAnsi="Arial"/>
          <w:color w:val="000000"/>
          <w:sz w:val="18"/>
        </w:rPr>
        <w:t>In November 2023, the Company purchased lab equipment from one of its main vendors for $3.4</w:t>
      </w:r>
      <w:r>
        <w:rPr>
          <w:rFonts w:ascii="Times New Roman" w:hAnsi="Times New Roman"/>
          <w:color w:val="000000"/>
          <w:sz w:val="20"/>
        </w:rPr>
        <w:t xml:space="preserve"> </w:t>
      </w:r>
      <w:r>
        <w:rPr>
          <w:rFonts w:ascii="Arial" w:hAnsi="Arial"/>
          <w:color w:val="000000"/>
          <w:sz w:val="18"/>
        </w:rPr>
        <w:t>million. Extended payment terms were provided to the Company through a financial solutions partner of the vendor. Terms included a 30% down payment and 24</w:t>
      </w:r>
      <w:r>
        <w:rPr>
          <w:rFonts w:ascii="Times New Roman" w:hAnsi="Times New Roman"/>
          <w:color w:val="000000"/>
          <w:sz w:val="20"/>
        </w:rPr>
        <w:t xml:space="preserve"> </w:t>
      </w:r>
      <w:r>
        <w:rPr>
          <w:rFonts w:ascii="Arial" w:hAnsi="Arial"/>
          <w:color w:val="000000"/>
          <w:sz w:val="18"/>
        </w:rPr>
        <w:t>equal monthly</w:t>
      </w:r>
      <w:r>
        <w:rPr>
          <w:rFonts w:ascii="Times New Roman" w:hAnsi="Times New Roman"/>
          <w:color w:val="000000"/>
          <w:sz w:val="20"/>
        </w:rPr>
        <w:t xml:space="preserve"> </w:t>
      </w:r>
      <w:r>
        <w:rPr>
          <w:rFonts w:ascii="Arial" w:hAnsi="Arial"/>
          <w:color w:val="000000"/>
          <w:sz w:val="18"/>
        </w:rPr>
        <w:t>payments for the remaining balance, with such monthly payments commencing in January 2024, and no interest or financing charges. Title for the lab equipment transferred immediately upon delivery to the Company. The financial solutions partner retains a security interest until payoff is complete at the end of 2025. The purchase price for the lab equipment was equal to the cash price and thus the impact of imputing interest would have been de minimis. Repayments are presented as financing cash outflows.</w:t>
      </w:r>
    </w:p>
    <w:p>
      <w:pPr>
        <w:pStyle w:val="TextBody"/>
        <w:bidi w:val="0"/>
        <w:spacing w:before="240" w:after="283"/>
        <w:jc w:val="center"/>
        <w:rPr>
          <w:rFonts w:ascii="Arial" w:hAnsi="Arial"/>
          <w:color w:val="000000"/>
          <w:sz w:val="18"/>
        </w:rPr>
      </w:pPr>
      <w:r>
        <w:rPr>
          <w:rFonts w:ascii="Arial" w:hAnsi="Arial"/>
          <w:color w:val="000000"/>
          <w:sz w:val="18"/>
        </w:rPr>
        <w:t>14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bookmarkStart w:id="19" w:name="note_7_leases"/>
      <w:bookmarkEnd w:id="19"/>
      <w:r>
        <w:rPr>
          <w:rFonts w:ascii="Arial" w:hAnsi="Arial"/>
          <w:b/>
          <w:color w:val="000000"/>
          <w:sz w:val="18"/>
        </w:rPr>
        <w:t>Note 7. Leases</w:t>
      </w:r>
    </w:p>
    <w:p>
      <w:pPr>
        <w:pStyle w:val="TextBody"/>
        <w:bidi w:val="0"/>
        <w:spacing w:before="200" w:after="283"/>
        <w:jc w:val="both"/>
        <w:rPr>
          <w:rFonts w:ascii="Times New Roman" w:hAnsi="Times New Roman"/>
          <w:sz w:val="20"/>
        </w:rPr>
      </w:pPr>
      <w:r>
        <w:rPr>
          <w:rFonts w:ascii="Arial" w:hAnsi="Arial"/>
          <w:color w:val="000000"/>
          <w:sz w:val="18"/>
        </w:rPr>
        <w:t>In 2021, the Company entered into a noncancelable operating lease for approximately 100,000</w:t>
      </w:r>
      <w:r>
        <w:rPr>
          <w:rFonts w:ascii="Times New Roman" w:hAnsi="Times New Roman"/>
          <w:color w:val="000000"/>
          <w:sz w:val="20"/>
        </w:rPr>
        <w:t xml:space="preserve"> </w:t>
      </w:r>
      <w:r>
        <w:rPr>
          <w:rFonts w:ascii="Arial" w:hAnsi="Arial"/>
          <w:color w:val="000000"/>
          <w:sz w:val="18"/>
        </w:rPr>
        <w:t>square feet in Fremont, California used for laboratory operations and its corporate headquarters. The lease term is 13.5</w:t>
      </w:r>
      <w:r>
        <w:rPr>
          <w:rFonts w:ascii="Times New Roman" w:hAnsi="Times New Roman"/>
          <w:color w:val="000000"/>
          <w:sz w:val="20"/>
        </w:rPr>
        <w:t xml:space="preserve"> </w:t>
      </w:r>
      <w:r>
        <w:rPr>
          <w:rFonts w:ascii="Arial" w:hAnsi="Arial"/>
          <w:color w:val="000000"/>
          <w:sz w:val="18"/>
        </w:rPr>
        <w:t>years and commenced in October 2022. The Company gained early access to the premises for the purpose of constructing and installing tenant improvements, for which the landlord contributed $15.1</w:t>
      </w:r>
      <w:r>
        <w:rPr>
          <w:rFonts w:ascii="Times New Roman" w:hAnsi="Times New Roman"/>
          <w:color w:val="000000"/>
          <w:sz w:val="20"/>
        </w:rPr>
        <w:t xml:space="preserve"> </w:t>
      </w:r>
      <w:r>
        <w:rPr>
          <w:rFonts w:ascii="Arial" w:hAnsi="Arial"/>
          <w:color w:val="000000"/>
          <w:sz w:val="18"/>
        </w:rPr>
        <w:t>million. Such contributions were accounted for as lease incentives and are recognized as reductions to lease expense over the lease term. The lease expires at the end of March 2036</w:t>
      </w:r>
      <w:r>
        <w:rPr>
          <w:rFonts w:ascii="Times New Roman" w:hAnsi="Times New Roman"/>
          <w:color w:val="000000"/>
          <w:sz w:val="20"/>
        </w:rPr>
        <w:t xml:space="preserve"> </w:t>
      </w:r>
      <w:r>
        <w:rPr>
          <w:rFonts w:ascii="Arial" w:hAnsi="Arial"/>
          <w:color w:val="000000"/>
          <w:sz w:val="18"/>
        </w:rPr>
        <w:t>and includes</w:t>
      </w:r>
      <w:r>
        <w:rPr>
          <w:rFonts w:ascii="Times New Roman" w:hAnsi="Times New Roman"/>
          <w:color w:val="000000"/>
          <w:sz w:val="20"/>
        </w:rPr>
        <w:t xml:space="preserve"> </w:t>
      </w:r>
      <w:r>
        <w:rPr>
          <w:rFonts w:ascii="Arial" w:hAnsi="Arial"/>
          <w:color w:val="000000"/>
          <w:sz w:val="18"/>
        </w:rPr>
        <w:t>two options to extend the term for a period of five-years</w:t>
      </w:r>
      <w:r>
        <w:rPr>
          <w:rFonts w:ascii="Times New Roman" w:hAnsi="Times New Roman"/>
          <w:color w:val="000000"/>
          <w:sz w:val="20"/>
        </w:rPr>
        <w:t xml:space="preserve"> </w:t>
      </w:r>
      <w:r>
        <w:rPr>
          <w:rFonts w:ascii="Arial" w:hAnsi="Arial"/>
          <w:color w:val="000000"/>
          <w:sz w:val="18"/>
        </w:rPr>
        <w:t>per option at market rates. The Company determined the extension options are not reasonably certain to be exercised. The lease includes escalating rent payments.</w:t>
      </w:r>
    </w:p>
    <w:p>
      <w:pPr>
        <w:pStyle w:val="TextBody"/>
        <w:bidi w:val="0"/>
        <w:spacing w:before="200" w:after="283"/>
        <w:jc w:val="both"/>
        <w:rPr>
          <w:rFonts w:ascii="Times New Roman" w:hAnsi="Times New Roman"/>
          <w:sz w:val="20"/>
        </w:rPr>
      </w:pPr>
      <w:r>
        <w:rPr>
          <w:rFonts w:ascii="Arial" w:hAnsi="Arial"/>
          <w:color w:val="000000"/>
          <w:sz w:val="18"/>
        </w:rPr>
        <w:t>The Company has a noncancelable operating lease expiring in November 2027</w:t>
      </w:r>
      <w:r>
        <w:rPr>
          <w:rFonts w:ascii="Times New Roman" w:hAnsi="Times New Roman"/>
          <w:color w:val="000000"/>
          <w:sz w:val="20"/>
        </w:rPr>
        <w:t xml:space="preserve"> </w:t>
      </w:r>
      <w:r>
        <w:rPr>
          <w:rFonts w:ascii="Arial" w:hAnsi="Arial"/>
          <w:color w:val="000000"/>
          <w:sz w:val="18"/>
        </w:rPr>
        <w:t>for 31,280</w:t>
      </w:r>
      <w:r>
        <w:rPr>
          <w:rFonts w:ascii="Times New Roman" w:hAnsi="Times New Roman"/>
          <w:color w:val="000000"/>
          <w:sz w:val="20"/>
        </w:rPr>
        <w:t xml:space="preserve"> </w:t>
      </w:r>
      <w:r>
        <w:rPr>
          <w:rFonts w:ascii="Arial" w:hAnsi="Arial"/>
          <w:color w:val="000000"/>
          <w:sz w:val="18"/>
        </w:rPr>
        <w:t>square feet in Menlo Park, California previously used for laboratory operations and its former corporate headquarters. The lease includes escalating rent payments. In 2021, the Company expanded the leased premises by an additional 14,710</w:t>
      </w:r>
      <w:r>
        <w:rPr>
          <w:rFonts w:ascii="Times New Roman" w:hAnsi="Times New Roman"/>
          <w:color w:val="000000"/>
          <w:sz w:val="20"/>
        </w:rPr>
        <w:t xml:space="preserve"> </w:t>
      </w:r>
      <w:r>
        <w:rPr>
          <w:rFonts w:ascii="Arial" w:hAnsi="Arial"/>
          <w:color w:val="000000"/>
          <w:sz w:val="18"/>
        </w:rPr>
        <w:t>square feet of space (the “Expansion Lease”). The Expansion Lease expired at the end of December 2022</w:t>
      </w:r>
      <w:r>
        <w:rPr>
          <w:rFonts w:ascii="Times New Roman" w:hAnsi="Times New Roman"/>
          <w:color w:val="000000"/>
          <w:sz w:val="20"/>
        </w:rPr>
        <w:t xml:space="preserve"> </w:t>
      </w:r>
      <w:r>
        <w:rPr>
          <w:rFonts w:ascii="Arial" w:hAnsi="Arial"/>
          <w:color w:val="000000"/>
          <w:sz w:val="18"/>
        </w:rPr>
        <w:t>and was not extended. The Company moved all laboratory operations to the Fremont facility during the third quarter of 2023 and is actively marketing the vacated Menlo Park space for sublease.</w:t>
      </w:r>
    </w:p>
    <w:p>
      <w:pPr>
        <w:pStyle w:val="TextBody"/>
        <w:bidi w:val="0"/>
        <w:spacing w:before="200" w:after="283"/>
        <w:jc w:val="both"/>
        <w:rPr>
          <w:rFonts w:ascii="Times New Roman" w:hAnsi="Times New Roman"/>
          <w:sz w:val="20"/>
        </w:rPr>
      </w:pPr>
      <w:r>
        <w:rPr>
          <w:rFonts w:ascii="Arial" w:hAnsi="Arial"/>
          <w:color w:val="000000"/>
          <w:sz w:val="18"/>
        </w:rPr>
        <w:t>The Company has noncancelable operating leases for data center space expiring between 2025</w:t>
      </w:r>
      <w:r>
        <w:rPr>
          <w:rFonts w:ascii="Times New Roman" w:hAnsi="Times New Roman"/>
          <w:color w:val="000000"/>
          <w:sz w:val="20"/>
        </w:rPr>
        <w:t xml:space="preserve"> </w:t>
      </w:r>
      <w:r>
        <w:rPr>
          <w:rFonts w:ascii="Arial" w:hAnsi="Arial"/>
          <w:color w:val="000000"/>
          <w:sz w:val="18"/>
        </w:rPr>
        <w:t>and 2026. The leases include renewal options that the Company determined are not reasonably certain to be exercised. Separately, the Company also has various other short-term leases.</w:t>
      </w:r>
    </w:p>
    <w:p>
      <w:pPr>
        <w:pStyle w:val="TextBody"/>
        <w:bidi w:val="0"/>
        <w:spacing w:before="200" w:after="200"/>
        <w:jc w:val="both"/>
        <w:rPr>
          <w:rFonts w:ascii="Times New Roman" w:hAnsi="Times New Roman"/>
          <w:sz w:val="20"/>
        </w:rPr>
      </w:pPr>
      <w:r>
        <w:rPr>
          <w:rFonts w:ascii="Arial" w:hAnsi="Arial"/>
          <w:color w:val="000000"/>
          <w:sz w:val="18"/>
        </w:rPr>
        <w:t>As of March 31, 2024, operating leases had a weighted-average remaining lease term of 10.3</w:t>
      </w:r>
      <w:r>
        <w:rPr>
          <w:rFonts w:ascii="Times New Roman" w:hAnsi="Times New Roman"/>
          <w:color w:val="000000"/>
          <w:sz w:val="20"/>
        </w:rPr>
        <w:t xml:space="preserve"> </w:t>
      </w:r>
      <w:r>
        <w:rPr>
          <w:rFonts w:ascii="Arial" w:hAnsi="Arial"/>
          <w:color w:val="000000"/>
          <w:sz w:val="18"/>
        </w:rPr>
        <w:t>years and a weighted-average discount rate of 10.5%. Discount rates are based on estimates of the Company's incremental borrowing rate, as the discount rates implicit in the leases cannot be readily determined. Future lease payments under operating leases as of March 31, 2024 were as follows (in thousands):</w:t>
      </w:r>
    </w:p>
    <w:tbl>
      <w:tblPr>
        <w:tblW w:w="5600" w:type="dxa"/>
        <w:jc w:val="left"/>
        <w:tblInd w:w="0" w:type="dxa"/>
        <w:tblLayout w:type="fixed"/>
        <w:tblCellMar>
          <w:top w:w="28" w:type="dxa"/>
          <w:left w:w="28" w:type="dxa"/>
          <w:bottom w:w="28" w:type="dxa"/>
          <w:right w:w="28" w:type="dxa"/>
        </w:tblCellMar>
      </w:tblPr>
      <w:tblGrid>
        <w:gridCol w:w="4116"/>
        <w:gridCol w:w="146"/>
        <w:gridCol w:w="211"/>
        <w:gridCol w:w="736"/>
        <w:gridCol w:w="391"/>
      </w:tblGrid>
      <w:tr>
        <w:trPr/>
        <w:tc>
          <w:tcPr>
            <w:tcW w:w="4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2024 (remaining nine months)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6,111</w:t>
            </w:r>
          </w:p>
        </w:tc>
        <w:tc>
          <w:tcPr>
            <w:tcW w:w="391" w:type="dxa"/>
            <w:tcBorders/>
            <w:shd w:fill="CFF0FC" w:val="clear"/>
            <w:vAlign w:val="center"/>
          </w:tcPr>
          <w:p>
            <w:pPr>
              <w:pStyle w:val="TableContents"/>
              <w:bidi w:val="0"/>
              <w:spacing w:before="0" w:after="283"/>
              <w:jc w:val="left"/>
              <w:rPr/>
            </w:pPr>
            <w:r>
              <w:rPr/>
              <w:t> </w:t>
            </w:r>
          </w:p>
        </w:tc>
      </w:tr>
      <w:tr>
        <w:trPr/>
        <w:tc>
          <w:tcPr>
            <w:tcW w:w="41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8,057</w:t>
            </w:r>
          </w:p>
        </w:tc>
        <w:tc>
          <w:tcPr>
            <w:tcW w:w="391" w:type="dxa"/>
            <w:tcBorders/>
            <w:shd w:fill="FFFFFF" w:val="clear"/>
            <w:vAlign w:val="center"/>
          </w:tcPr>
          <w:p>
            <w:pPr>
              <w:pStyle w:val="TableContents"/>
              <w:bidi w:val="0"/>
              <w:spacing w:before="0" w:after="283"/>
              <w:jc w:val="left"/>
              <w:rPr/>
            </w:pPr>
            <w:r>
              <w:rPr/>
              <w:t> </w:t>
            </w:r>
          </w:p>
        </w:tc>
      </w:tr>
      <w:tr>
        <w:trPr/>
        <w:tc>
          <w:tcPr>
            <w:tcW w:w="41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7,230</w:t>
            </w:r>
          </w:p>
        </w:tc>
        <w:tc>
          <w:tcPr>
            <w:tcW w:w="391" w:type="dxa"/>
            <w:tcBorders/>
            <w:shd w:fill="CFF0FC" w:val="clear"/>
            <w:vAlign w:val="center"/>
          </w:tcPr>
          <w:p>
            <w:pPr>
              <w:pStyle w:val="TableContents"/>
              <w:bidi w:val="0"/>
              <w:spacing w:before="0" w:after="283"/>
              <w:jc w:val="left"/>
              <w:rPr/>
            </w:pPr>
            <w:r>
              <w:rPr/>
              <w:t> </w:t>
            </w:r>
          </w:p>
        </w:tc>
      </w:tr>
      <w:tr>
        <w:trPr/>
        <w:tc>
          <w:tcPr>
            <w:tcW w:w="41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7,189</w:t>
            </w:r>
          </w:p>
        </w:tc>
        <w:tc>
          <w:tcPr>
            <w:tcW w:w="391" w:type="dxa"/>
            <w:tcBorders/>
            <w:shd w:fill="FFFFFF" w:val="clear"/>
            <w:vAlign w:val="center"/>
          </w:tcPr>
          <w:p>
            <w:pPr>
              <w:pStyle w:val="TableContents"/>
              <w:bidi w:val="0"/>
              <w:spacing w:before="0" w:after="283"/>
              <w:jc w:val="left"/>
              <w:rPr/>
            </w:pPr>
            <w:r>
              <w:rPr/>
              <w:t> </w:t>
            </w:r>
          </w:p>
        </w:tc>
      </w:tr>
      <w:tr>
        <w:trPr/>
        <w:tc>
          <w:tcPr>
            <w:tcW w:w="41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5,215</w:t>
            </w:r>
          </w:p>
        </w:tc>
        <w:tc>
          <w:tcPr>
            <w:tcW w:w="391" w:type="dxa"/>
            <w:tcBorders/>
            <w:shd w:fill="CFF0FC" w:val="clear"/>
            <w:vAlign w:val="center"/>
          </w:tcPr>
          <w:p>
            <w:pPr>
              <w:pStyle w:val="TableContents"/>
              <w:bidi w:val="0"/>
              <w:spacing w:before="0" w:after="283"/>
              <w:jc w:val="left"/>
              <w:rPr/>
            </w:pPr>
            <w:r>
              <w:rPr/>
              <w:t> </w:t>
            </w:r>
          </w:p>
        </w:tc>
      </w:tr>
      <w:tr>
        <w:trPr/>
        <w:tc>
          <w:tcPr>
            <w:tcW w:w="411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2029 and 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future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76,600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Less: imputed interest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1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Present value of future minimum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45,243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1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Less: current portion of 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11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sz w:val="20"/>
        </w:rPr>
      </w:pPr>
      <w:r>
        <w:rPr>
          <w:rFonts w:ascii="Arial" w:hAnsi="Arial"/>
          <w:color w:val="000000"/>
          <w:sz w:val="18"/>
        </w:rPr>
        <w:t>Cash paid for operating lease liabilities, included in cash flows from operating activities in the condensed consolidated statements of cash flows, for the three months ended March 31, 2024 and 2023, was $2.0</w:t>
      </w:r>
      <w:r>
        <w:rPr>
          <w:rFonts w:ascii="Times New Roman" w:hAnsi="Times New Roman"/>
          <w:color w:val="000000"/>
          <w:sz w:val="20"/>
        </w:rPr>
        <w:t xml:space="preserve"> </w:t>
      </w:r>
      <w:r>
        <w:rPr>
          <w:rFonts w:ascii="Arial" w:hAnsi="Arial"/>
          <w:color w:val="000000"/>
          <w:sz w:val="18"/>
        </w:rPr>
        <w:t>million and $0.8</w:t>
      </w:r>
      <w:r>
        <w:rPr>
          <w:rFonts w:ascii="Times New Roman" w:hAnsi="Times New Roman"/>
          <w:color w:val="000000"/>
          <w:sz w:val="20"/>
        </w:rPr>
        <w:t xml:space="preserve"> </w:t>
      </w:r>
      <w:r>
        <w:rPr>
          <w:rFonts w:ascii="Arial" w:hAnsi="Arial"/>
          <w:color w:val="000000"/>
          <w:sz w:val="18"/>
        </w:rPr>
        <w:t>million, respectively.</w:t>
      </w:r>
    </w:p>
    <w:p>
      <w:pPr>
        <w:pStyle w:val="TextBody"/>
        <w:bidi w:val="0"/>
        <w:spacing w:before="200" w:after="200"/>
        <w:jc w:val="both"/>
        <w:rPr>
          <w:rFonts w:ascii="Arial" w:hAnsi="Arial"/>
          <w:color w:val="000000"/>
          <w:sz w:val="18"/>
        </w:rPr>
      </w:pPr>
      <w:r>
        <w:rPr>
          <w:rFonts w:ascii="Arial" w:hAnsi="Arial"/>
          <w:color w:val="000000"/>
          <w:sz w:val="18"/>
        </w:rPr>
        <w:t>Components of lease costs were as follows (in thousands):</w:t>
      </w:r>
    </w:p>
    <w:tbl>
      <w:tblPr>
        <w:tblW w:w="5331" w:type="dxa"/>
        <w:jc w:val="left"/>
        <w:tblInd w:w="0" w:type="dxa"/>
        <w:tblLayout w:type="fixed"/>
        <w:tblCellMar>
          <w:top w:w="28" w:type="dxa"/>
          <w:left w:w="28" w:type="dxa"/>
          <w:bottom w:w="28" w:type="dxa"/>
          <w:right w:w="28" w:type="dxa"/>
        </w:tblCellMar>
      </w:tblPr>
      <w:tblGrid>
        <w:gridCol w:w="2046"/>
        <w:gridCol w:w="146"/>
        <w:gridCol w:w="290"/>
        <w:gridCol w:w="784"/>
        <w:gridCol w:w="200"/>
        <w:gridCol w:w="200"/>
        <w:gridCol w:w="290"/>
        <w:gridCol w:w="784"/>
        <w:gridCol w:w="591"/>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Lease cost</w:t>
            </w:r>
          </w:p>
        </w:tc>
        <w:tc>
          <w:tcPr>
            <w:tcW w:w="146"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right"/>
              <w:rPr/>
            </w:pPr>
            <w:r>
              <w:rPr/>
              <w:t> </w:t>
            </w:r>
          </w:p>
        </w:tc>
        <w:tc>
          <w:tcPr>
            <w:tcW w:w="200" w:type="dxa"/>
            <w:tcBorders/>
            <w:shd w:fill="CFF0FC" w:val="clear"/>
            <w:vAlign w:val="center"/>
          </w:tcPr>
          <w:p>
            <w:pPr>
              <w:pStyle w:val="TableContents"/>
              <w:bidi w:val="0"/>
              <w:spacing w:before="0" w:after="283"/>
              <w:jc w:val="left"/>
              <w:rPr/>
            </w:pPr>
            <w:r>
              <w:rPr/>
              <w:t> </w:t>
            </w:r>
          </w:p>
        </w:tc>
        <w:tc>
          <w:tcPr>
            <w:tcW w:w="1074"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20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Operating lease cost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1,521</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1,749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204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Short-term lease cost</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187</w:t>
            </w:r>
          </w:p>
        </w:tc>
        <w:tc>
          <w:tcPr>
            <w:tcW w:w="200"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204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Variable lease cost</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4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lease cost</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2,068</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bookmarkStart w:id="20" w:name="note_8_tempus_agreement"/>
      <w:bookmarkEnd w:id="20"/>
      <w:r>
        <w:rPr>
          <w:rFonts w:ascii="Arial" w:hAnsi="Arial"/>
          <w:b/>
          <w:color w:val="000000"/>
          <w:sz w:val="18"/>
        </w:rPr>
        <w:t>Note 8. Tempus</w:t>
      </w:r>
      <w:r>
        <w:rPr>
          <w:rFonts w:ascii="Times New Roman" w:hAnsi="Times New Roman"/>
          <w:color w:val="000000"/>
          <w:sz w:val="20"/>
        </w:rPr>
        <w:t xml:space="preserve"> </w:t>
      </w:r>
      <w:r>
        <w:rPr>
          <w:rFonts w:ascii="Arial" w:hAnsi="Arial"/>
          <w:b/>
          <w:color w:val="000000"/>
          <w:sz w:val="18"/>
        </w:rPr>
        <w:t>Agreement</w:t>
      </w:r>
    </w:p>
    <w:p>
      <w:pPr>
        <w:pStyle w:val="TextBody"/>
        <w:bidi w:val="0"/>
        <w:spacing w:before="200" w:after="283"/>
        <w:jc w:val="both"/>
        <w:rPr>
          <w:rFonts w:ascii="Arial" w:hAnsi="Arial"/>
          <w:i/>
          <w:color w:val="000000"/>
          <w:sz w:val="18"/>
        </w:rPr>
      </w:pPr>
      <w:r>
        <w:rPr>
          <w:rFonts w:ascii="Arial" w:hAnsi="Arial"/>
          <w:i/>
          <w:color w:val="000000"/>
          <w:sz w:val="18"/>
        </w:rPr>
        <w:t>Overview</w:t>
      </w:r>
    </w:p>
    <w:p>
      <w:pPr>
        <w:pStyle w:val="TextBody"/>
        <w:bidi w:val="0"/>
        <w:spacing w:before="200" w:after="283"/>
        <w:jc w:val="both"/>
        <w:rPr>
          <w:rFonts w:ascii="Arial" w:hAnsi="Arial"/>
          <w:color w:val="000000"/>
          <w:sz w:val="18"/>
        </w:rPr>
      </w:pPr>
      <w:r>
        <w:rPr>
          <w:rFonts w:ascii="Arial" w:hAnsi="Arial"/>
          <w:color w:val="000000"/>
          <w:sz w:val="18"/>
        </w:rPr>
        <w:t>On November 25, 2023, the Company entered into a Commercialization and Reference Laboratory Agreement (the “Tempus Agreement”) with Tempus pursuant to which Tempus will market the Company's NeXT Personal Dx test in the United States and the Company will conduct development activities to analytically validate the test in breast cancer, lung cancer and immuno-oncology monitoring indications. The Company will perform tests ordered by patients through Tempus and the Company will bill such patients or payors.</w:t>
      </w:r>
    </w:p>
    <w:p>
      <w:pPr>
        <w:pStyle w:val="TextBody"/>
        <w:bidi w:val="0"/>
        <w:spacing w:before="200" w:after="283"/>
        <w:jc w:val="both"/>
        <w:rPr>
          <w:rFonts w:ascii="Times New Roman" w:hAnsi="Times New Roman"/>
          <w:sz w:val="20"/>
        </w:rPr>
      </w:pPr>
      <w:r>
        <w:rPr>
          <w:rFonts w:ascii="Arial" w:hAnsi="Arial"/>
          <w:color w:val="000000"/>
          <w:sz w:val="18"/>
        </w:rPr>
        <w:t>In consideration of the Company performing development activities, Tempus will pay the Company fees of up to $12</w:t>
      </w:r>
      <w:r>
        <w:rPr>
          <w:rFonts w:ascii="Times New Roman" w:hAnsi="Times New Roman"/>
          <w:color w:val="000000"/>
          <w:sz w:val="20"/>
        </w:rPr>
        <w:t xml:space="preserve"> </w:t>
      </w:r>
      <w:r>
        <w:rPr>
          <w:rFonts w:ascii="Arial" w:hAnsi="Arial"/>
          <w:color w:val="000000"/>
          <w:sz w:val="18"/>
        </w:rPr>
        <w:t>million (the "Market Development Fees"), consisting of an activation fee of $3</w:t>
      </w:r>
      <w:r>
        <w:rPr>
          <w:rFonts w:ascii="Times New Roman" w:hAnsi="Times New Roman"/>
          <w:color w:val="000000"/>
          <w:sz w:val="20"/>
        </w:rPr>
        <w:t xml:space="preserve"> </w:t>
      </w:r>
      <w:r>
        <w:rPr>
          <w:rFonts w:ascii="Arial" w:hAnsi="Arial"/>
          <w:color w:val="000000"/>
          <w:sz w:val="18"/>
        </w:rPr>
        <w:t>million, a first milestone fee of $3</w:t>
      </w:r>
      <w:r>
        <w:rPr>
          <w:rFonts w:ascii="Times New Roman" w:hAnsi="Times New Roman"/>
          <w:color w:val="000000"/>
          <w:sz w:val="20"/>
        </w:rPr>
        <w:t xml:space="preserve"> </w:t>
      </w:r>
      <w:r>
        <w:rPr>
          <w:rFonts w:ascii="Arial" w:hAnsi="Arial"/>
          <w:color w:val="000000"/>
          <w:sz w:val="18"/>
        </w:rPr>
        <w:t>million (upon achievement of a specified clinical validation), and a second milestone fee payable in six quarterly installments totaling $6</w:t>
      </w:r>
      <w:r>
        <w:rPr>
          <w:rFonts w:ascii="Times New Roman" w:hAnsi="Times New Roman"/>
          <w:color w:val="000000"/>
          <w:sz w:val="20"/>
        </w:rPr>
        <w:t xml:space="preserve"> </w:t>
      </w:r>
      <w:r>
        <w:rPr>
          <w:rFonts w:ascii="Arial" w:hAnsi="Arial"/>
          <w:color w:val="000000"/>
          <w:sz w:val="18"/>
        </w:rPr>
        <w:t>million (subject to achieving two additional clinical validations). If the Company does not achieve the second milestone by June 2024, Tempus may withhold installment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15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payments, and Tempus will have the right to terminate the Tempus Agreement or convert it to a non-exclusive arrangement. Upon termination or conversion, the Company will refund to Tempus fees received other than the activation fee, subject to certain reductions.</w:t>
      </w:r>
    </w:p>
    <w:p>
      <w:pPr>
        <w:pStyle w:val="TextBody"/>
        <w:bidi w:val="0"/>
        <w:spacing w:before="200" w:after="283"/>
        <w:jc w:val="both"/>
        <w:rPr>
          <w:rFonts w:ascii="Times New Roman" w:hAnsi="Times New Roman"/>
          <w:sz w:val="20"/>
        </w:rPr>
      </w:pPr>
      <w:r>
        <w:rPr>
          <w:rFonts w:ascii="Arial" w:hAnsi="Arial"/>
          <w:color w:val="000000"/>
          <w:sz w:val="18"/>
        </w:rPr>
        <w:t>The Company will compensate Tempus for the fair market value of order requisition services (Tempus will enable its base of ordering providers to order the Personalis test and provide specimen collection and procurement support) and results delivery services (Tempus will provide results delivery services from test completion to report delivery) on a per-test basis. In addition, the parties will perform co-promotion activities and the Company will compensate Tempus for the fair market value of promotional and commercialization services provided by Tempus in an amount up to $9.6</w:t>
      </w:r>
      <w:r>
        <w:rPr>
          <w:rFonts w:ascii="Times New Roman" w:hAnsi="Times New Roman"/>
          <w:color w:val="000000"/>
          <w:sz w:val="20"/>
        </w:rPr>
        <w:t xml:space="preserve"> </w:t>
      </w:r>
      <w:r>
        <w:rPr>
          <w:rFonts w:ascii="Arial" w:hAnsi="Arial"/>
          <w:color w:val="000000"/>
          <w:sz w:val="18"/>
        </w:rPr>
        <w:t>million.</w:t>
      </w:r>
    </w:p>
    <w:p>
      <w:pPr>
        <w:pStyle w:val="TextBody"/>
        <w:bidi w:val="0"/>
        <w:spacing w:before="200" w:after="283"/>
        <w:jc w:val="left"/>
        <w:rPr>
          <w:rFonts w:ascii="Times New Roman" w:hAnsi="Times New Roman"/>
          <w:sz w:val="20"/>
        </w:rPr>
      </w:pPr>
      <w:r>
        <w:rPr>
          <w:rFonts w:ascii="Arial" w:hAnsi="Arial"/>
          <w:color w:val="000000"/>
          <w:sz w:val="18"/>
        </w:rPr>
        <w:t>The Tempus Agreement also grants Tempus access to initial and longitudinal genomic data derived from performance of the tests and Tempus will have the right to use such data. If Tempus licenses such data to a third party and Tempus recognizes revenue from such license, Tempus will pay the Company a percentage of its gross revenues attributable to such license that is in the range of 10</w:t>
      </w:r>
      <w:r>
        <w:rPr>
          <w:rFonts w:ascii="Times New Roman" w:hAnsi="Times New Roman"/>
          <w:color w:val="000000"/>
          <w:sz w:val="20"/>
        </w:rPr>
        <w:t xml:space="preserve"> </w:t>
      </w:r>
      <w:r>
        <w:rPr>
          <w:rFonts w:ascii="Arial" w:hAnsi="Arial"/>
          <w:color w:val="000000"/>
          <w:sz w:val="18"/>
        </w:rPr>
        <w:t>to 20</w:t>
      </w:r>
      <w:r>
        <w:rPr>
          <w:rFonts w:ascii="Times New Roman" w:hAnsi="Times New Roman"/>
          <w:color w:val="000000"/>
          <w:sz w:val="20"/>
        </w:rPr>
        <w:t xml:space="preserve"> </w:t>
      </w:r>
      <w:r>
        <w:rPr>
          <w:rFonts w:ascii="Arial" w:hAnsi="Arial"/>
          <w:color w:val="000000"/>
          <w:sz w:val="18"/>
        </w:rPr>
        <w:t>percent. Such revenue share shall be payable during the term of the Tempus Agreement and for 10 years thereafter.</w:t>
      </w:r>
    </w:p>
    <w:p>
      <w:pPr>
        <w:pStyle w:val="TextBody"/>
        <w:bidi w:val="0"/>
        <w:spacing w:before="200" w:after="283"/>
        <w:jc w:val="left"/>
        <w:rPr>
          <w:rFonts w:ascii="Arial" w:hAnsi="Arial"/>
          <w:color w:val="000000"/>
          <w:sz w:val="18"/>
        </w:rPr>
      </w:pPr>
      <w:r>
        <w:rPr>
          <w:rFonts w:ascii="Arial" w:hAnsi="Arial"/>
          <w:color w:val="000000"/>
          <w:sz w:val="18"/>
        </w:rPr>
        <w:t>Additionally, in consideration of Tempus' obligations to the Company under the agreement, on November 28, 2023, the Company issued warrants to Tempus. See "Tempus Warrants" section further below for discussion.</w:t>
      </w:r>
    </w:p>
    <w:p>
      <w:pPr>
        <w:pStyle w:val="TextBody"/>
        <w:bidi w:val="0"/>
        <w:spacing w:before="200" w:after="283"/>
        <w:jc w:val="both"/>
        <w:rPr>
          <w:rFonts w:ascii="Arial" w:hAnsi="Arial"/>
          <w:color w:val="000000"/>
          <w:sz w:val="18"/>
        </w:rPr>
      </w:pPr>
      <w:r>
        <w:rPr>
          <w:rFonts w:ascii="Arial" w:hAnsi="Arial"/>
          <w:color w:val="000000"/>
          <w:sz w:val="18"/>
        </w:rPr>
        <w:t>Pursuant to the agreement, the Company will not allow another third party to market the test in such indications and Tempus will not market another tumor-informed molecular residual disease test for use in such indications (whether its own or that of a third party), in each case subject to certain exceptions. These exclusivity obligations terminate on December 31, 2027, to the extent they do not expire earlier. In addition, each party has the right to convert the Tempus Agreement to a non-exclusive arrangement upon the occurrence of certain specified events.</w:t>
      </w:r>
    </w:p>
    <w:p>
      <w:pPr>
        <w:pStyle w:val="TextBody"/>
        <w:bidi w:val="0"/>
        <w:spacing w:before="200" w:after="283"/>
        <w:jc w:val="both"/>
        <w:rPr>
          <w:rFonts w:ascii="Arial" w:hAnsi="Arial"/>
          <w:color w:val="000000"/>
          <w:sz w:val="18"/>
        </w:rPr>
      </w:pPr>
      <w:r>
        <w:rPr>
          <w:rFonts w:ascii="Arial" w:hAnsi="Arial"/>
          <w:color w:val="000000"/>
          <w:sz w:val="18"/>
        </w:rPr>
        <w:t>The term of the Tempus Agreement is five years, which may be extended for successive one-year terms. Either party may terminate the Tempus Agreement for convenience upon 18 months prior written notice. Tempus may terminate the agreement if the Company does not achieve the second milestone by a specified date.</w:t>
      </w:r>
    </w:p>
    <w:p>
      <w:pPr>
        <w:pStyle w:val="TextBody"/>
        <w:bidi w:val="0"/>
        <w:spacing w:before="200" w:after="283"/>
        <w:jc w:val="both"/>
        <w:rPr>
          <w:rFonts w:ascii="Arial" w:hAnsi="Arial"/>
          <w:i/>
          <w:color w:val="000000"/>
          <w:sz w:val="18"/>
        </w:rPr>
      </w:pPr>
      <w:r>
        <w:rPr>
          <w:rFonts w:ascii="Arial" w:hAnsi="Arial"/>
          <w:i/>
          <w:color w:val="000000"/>
          <w:sz w:val="18"/>
        </w:rPr>
        <w:t>Impact of Tempus Agreement on the Financial Statements</w:t>
      </w:r>
    </w:p>
    <w:p>
      <w:pPr>
        <w:pStyle w:val="TextBody"/>
        <w:bidi w:val="0"/>
        <w:spacing w:before="200" w:after="283"/>
        <w:jc w:val="left"/>
        <w:rPr>
          <w:rFonts w:ascii="Times New Roman" w:hAnsi="Times New Roman"/>
          <w:sz w:val="20"/>
        </w:rPr>
      </w:pPr>
      <w:r>
        <w:rPr>
          <w:rFonts w:ascii="Arial" w:hAnsi="Arial"/>
          <w:color w:val="000000"/>
          <w:sz w:val="18"/>
        </w:rPr>
        <w:t>The Company had achieved the first clinical validation milestone at the time of entering the Tempus Agreement and was therefore entitled to Market Development Fees of $6</w:t>
      </w:r>
      <w:r>
        <w:rPr>
          <w:rFonts w:ascii="Times New Roman" w:hAnsi="Times New Roman"/>
          <w:color w:val="000000"/>
          <w:sz w:val="20"/>
        </w:rPr>
        <w:t xml:space="preserve"> </w:t>
      </w:r>
      <w:r>
        <w:rPr>
          <w:rFonts w:ascii="Arial" w:hAnsi="Arial"/>
          <w:color w:val="000000"/>
          <w:sz w:val="18"/>
        </w:rPr>
        <w:t>million, consisting of the first milestone fee of $3</w:t>
      </w:r>
      <w:r>
        <w:rPr>
          <w:rFonts w:ascii="Times New Roman" w:hAnsi="Times New Roman"/>
          <w:color w:val="000000"/>
          <w:sz w:val="20"/>
        </w:rPr>
        <w:t xml:space="preserve"> </w:t>
      </w:r>
      <w:r>
        <w:rPr>
          <w:rFonts w:ascii="Arial" w:hAnsi="Arial"/>
          <w:color w:val="000000"/>
          <w:sz w:val="18"/>
        </w:rPr>
        <w:t>million and the activation fee of $3</w:t>
      </w:r>
      <w:r>
        <w:rPr>
          <w:rFonts w:ascii="Times New Roman" w:hAnsi="Times New Roman"/>
          <w:color w:val="000000"/>
          <w:sz w:val="20"/>
        </w:rPr>
        <w:t xml:space="preserve"> </w:t>
      </w:r>
      <w:r>
        <w:rPr>
          <w:rFonts w:ascii="Arial" w:hAnsi="Arial"/>
          <w:color w:val="000000"/>
          <w:sz w:val="18"/>
        </w:rPr>
        <w:t>million. These proceeds of $6</w:t>
      </w:r>
      <w:r>
        <w:rPr>
          <w:rFonts w:ascii="Times New Roman" w:hAnsi="Times New Roman"/>
          <w:color w:val="000000"/>
          <w:sz w:val="20"/>
        </w:rPr>
        <w:t xml:space="preserve"> </w:t>
      </w:r>
      <w:r>
        <w:rPr>
          <w:rFonts w:ascii="Arial" w:hAnsi="Arial"/>
          <w:color w:val="000000"/>
          <w:sz w:val="18"/>
        </w:rPr>
        <w:t>million were received in 2023 and allocated to the Tempus Warrants (defined below). The remainder of Market Development Fees to be paid by Tempus—$6</w:t>
      </w:r>
      <w:r>
        <w:rPr>
          <w:rFonts w:ascii="Times New Roman" w:hAnsi="Times New Roman"/>
          <w:color w:val="000000"/>
          <w:sz w:val="20"/>
        </w:rPr>
        <w:t xml:space="preserve"> </w:t>
      </w:r>
      <w:r>
        <w:rPr>
          <w:rFonts w:ascii="Arial" w:hAnsi="Arial"/>
          <w:color w:val="000000"/>
          <w:sz w:val="18"/>
        </w:rPr>
        <w:t>million, payable in six quarterly installments—were not yet due as of March 31, 2024.</w:t>
      </w:r>
    </w:p>
    <w:p>
      <w:pPr>
        <w:pStyle w:val="TextBody"/>
        <w:bidi w:val="0"/>
        <w:spacing w:before="200" w:after="283"/>
        <w:jc w:val="left"/>
        <w:rPr>
          <w:rFonts w:ascii="Arial" w:hAnsi="Arial"/>
          <w:color w:val="000000"/>
          <w:sz w:val="18"/>
        </w:rPr>
      </w:pPr>
      <w:r>
        <w:rPr>
          <w:rFonts w:ascii="Arial" w:hAnsi="Arial"/>
          <w:color w:val="000000"/>
          <w:sz w:val="18"/>
        </w:rPr>
        <w:t>During the three months ended March 31, 2024, co-promotion activities commenced. The Company recognized an insignificant amount of selling, general and administrative expense in connection with these activities. Except for the co-promotion activities and ongoing accounting for the Tempus Warrants (described below), there were no other activities under the Tempus Agreement that impacted the Company's condensed consolidated balance sheets or statements of operations for periods presented.</w:t>
      </w:r>
    </w:p>
    <w:p>
      <w:pPr>
        <w:pStyle w:val="TextBody"/>
        <w:bidi w:val="0"/>
        <w:spacing w:before="200" w:after="283"/>
        <w:jc w:val="both"/>
        <w:rPr>
          <w:rFonts w:ascii="Arial" w:hAnsi="Arial"/>
          <w:i/>
          <w:color w:val="000000"/>
          <w:sz w:val="18"/>
        </w:rPr>
      </w:pPr>
      <w:r>
        <w:rPr>
          <w:rFonts w:ascii="Arial" w:hAnsi="Arial"/>
          <w:i/>
          <w:color w:val="000000"/>
          <w:sz w:val="18"/>
        </w:rPr>
        <w:t>Tempus Warrants</w:t>
      </w:r>
    </w:p>
    <w:p>
      <w:pPr>
        <w:pStyle w:val="TextBody"/>
        <w:bidi w:val="0"/>
        <w:spacing w:before="200" w:after="283"/>
        <w:jc w:val="both"/>
        <w:rPr>
          <w:rFonts w:ascii="Times New Roman" w:hAnsi="Times New Roman"/>
          <w:sz w:val="20"/>
        </w:rPr>
      </w:pPr>
      <w:r>
        <w:rPr>
          <w:rFonts w:ascii="Arial" w:hAnsi="Arial"/>
          <w:color w:val="000000"/>
          <w:sz w:val="18"/>
        </w:rPr>
        <w:t>In consideration of Tempus’ obligations to Personalis under the agreement, on November 28, 2023, the Company issued to Tempus (1) a warrant to purchase up to 4,609,400</w:t>
      </w:r>
      <w:r>
        <w:rPr>
          <w:rFonts w:ascii="Times New Roman" w:hAnsi="Times New Roman"/>
          <w:color w:val="000000"/>
          <w:sz w:val="20"/>
        </w:rPr>
        <w:t xml:space="preserve"> </w:t>
      </w:r>
      <w:r>
        <w:rPr>
          <w:rFonts w:ascii="Arial" w:hAnsi="Arial"/>
          <w:color w:val="000000"/>
          <w:sz w:val="18"/>
        </w:rPr>
        <w:t>shares of Personalis common stock at an exercise price per share of $1.50, with an expiration date of December 31, 2024</w:t>
      </w:r>
      <w:r>
        <w:rPr>
          <w:rFonts w:ascii="Times New Roman" w:hAnsi="Times New Roman"/>
          <w:color w:val="000000"/>
          <w:sz w:val="20"/>
        </w:rPr>
        <w:t xml:space="preserve"> </w:t>
      </w:r>
      <w:r>
        <w:rPr>
          <w:rFonts w:ascii="Arial" w:hAnsi="Arial"/>
          <w:color w:val="000000"/>
          <w:sz w:val="18"/>
        </w:rPr>
        <w:t>(the “First Warrant”), and (2) a warrant to purchase up to 4,609,400</w:t>
      </w:r>
      <w:r>
        <w:rPr>
          <w:rFonts w:ascii="Times New Roman" w:hAnsi="Times New Roman"/>
          <w:color w:val="000000"/>
          <w:sz w:val="20"/>
        </w:rPr>
        <w:t xml:space="preserve"> </w:t>
      </w:r>
      <w:r>
        <w:rPr>
          <w:rFonts w:ascii="Arial" w:hAnsi="Arial"/>
          <w:color w:val="000000"/>
          <w:sz w:val="18"/>
        </w:rPr>
        <w:t>shares of Personalis common stock at an exercise price per share of $2.50, with an expiration date of December 31, 2025</w:t>
      </w:r>
      <w:r>
        <w:rPr>
          <w:rFonts w:ascii="Times New Roman" w:hAnsi="Times New Roman"/>
          <w:color w:val="000000"/>
          <w:sz w:val="20"/>
        </w:rPr>
        <w:t xml:space="preserve"> </w:t>
      </w:r>
      <w:r>
        <w:rPr>
          <w:rFonts w:ascii="Arial" w:hAnsi="Arial"/>
          <w:color w:val="000000"/>
          <w:sz w:val="18"/>
        </w:rPr>
        <w:t>(the “Second Warrant” and, together with the First Warrant, the “Tempus Warrants”). The Tempus Warrants are exercisable for cash at any time prior to the applicable expiration date, may be net exercised in certain circumstances, and will be automatically net exercised in connection with a change of control of Personalis if the value ascribed to the consideration to be paid for one share of common stock is greater than the applicable exercise price. If Tempus acquires any shares of common stock directly from the Company other than by exercising the Tempus Warrants (any such shares, “Non-Warrant Shares”), then the total number of shares issuable upon exercise of the Tempus Warrants will be reduced by the Non-Warrant Shares on a share-for-share basis, proportionally between the First Warrant and the Second Warrant based on how many shares are then underlying the Tempus Warrants. Subject to limited exceptions, neither the warrants nor any interest therein may be transferred or assigned without the prior written consent of Personalis.</w:t>
      </w:r>
    </w:p>
    <w:p>
      <w:pPr>
        <w:pStyle w:val="TextBody"/>
        <w:bidi w:val="0"/>
        <w:spacing w:before="200" w:after="283"/>
        <w:jc w:val="both"/>
        <w:rPr>
          <w:rFonts w:ascii="Times New Roman" w:hAnsi="Times New Roman"/>
          <w:sz w:val="20"/>
        </w:rPr>
      </w:pPr>
      <w:r>
        <w:rPr>
          <w:rFonts w:ascii="Arial" w:hAnsi="Arial"/>
          <w:color w:val="000000"/>
          <w:sz w:val="18"/>
        </w:rPr>
        <w:t>Because the number of shares issuable upon settlement are subject to adjustment if Tempus acquires Non-Warrant Shares, the Tempus Warrants are classified as liability instruments and are subject to remeasurement at each balance sheet date, with changes in fair value recognized as Other Income (Expense) in the condensed consolidated statements of operations. Fair values of each of the two</w:t>
      </w:r>
      <w:r>
        <w:rPr>
          <w:rFonts w:ascii="Times New Roman" w:hAnsi="Times New Roman"/>
          <w:color w:val="000000"/>
          <w:sz w:val="20"/>
        </w:rPr>
        <w:t xml:space="preserve"> </w:t>
      </w:r>
      <w:r>
        <w:rPr>
          <w:rFonts w:ascii="Arial" w:hAnsi="Arial"/>
          <w:color w:val="000000"/>
          <w:sz w:val="18"/>
        </w:rPr>
        <w:t>warrants are estimated using the Black-Scholes option-pricing model.</w:t>
      </w:r>
    </w:p>
    <w:p>
      <w:pPr>
        <w:pStyle w:val="TextBody"/>
        <w:bidi w:val="0"/>
        <w:spacing w:before="200" w:after="283"/>
        <w:jc w:val="both"/>
        <w:rPr>
          <w:rFonts w:ascii="Times New Roman" w:hAnsi="Times New Roman"/>
          <w:sz w:val="20"/>
        </w:rPr>
      </w:pPr>
      <w:r>
        <w:rPr>
          <w:rFonts w:ascii="Arial" w:hAnsi="Arial"/>
          <w:color w:val="000000"/>
          <w:sz w:val="18"/>
        </w:rPr>
        <w:t>See Note 5 Fair Value Measurements for discussion of inputs used in the measurements of the Tempus Warrants. Fair value of the Tempus Warrants decreased by $4.8</w:t>
      </w:r>
      <w:r>
        <w:rPr>
          <w:rFonts w:ascii="Times New Roman" w:hAnsi="Times New Roman"/>
          <w:color w:val="000000"/>
          <w:sz w:val="20"/>
        </w:rPr>
        <w:t xml:space="preserve"> </w:t>
      </w:r>
      <w:r>
        <w:rPr>
          <w:rFonts w:ascii="Arial" w:hAnsi="Arial"/>
          <w:color w:val="000000"/>
          <w:sz w:val="18"/>
        </w:rPr>
        <w:t>million from December 31, 2023 to March 31, 2024. The decrease in fair value resulted in a $4.8</w:t>
      </w:r>
      <w:r>
        <w:rPr>
          <w:rFonts w:ascii="Times New Roman" w:hAnsi="Times New Roman"/>
          <w:color w:val="000000"/>
          <w:sz w:val="20"/>
        </w:rPr>
        <w:t xml:space="preserve"> </w:t>
      </w:r>
      <w:r>
        <w:rPr>
          <w:rFonts w:ascii="Arial" w:hAnsi="Arial"/>
          <w:color w:val="000000"/>
          <w:sz w:val="18"/>
        </w:rPr>
        <w:t>million gain recognized in Other Income (Expense) in the condensed consolidated statements of operations for the three months ended March 31, 2024.</w:t>
      </w:r>
    </w:p>
    <w:p>
      <w:pPr>
        <w:pStyle w:val="TextBody"/>
        <w:bidi w:val="0"/>
        <w:spacing w:before="240" w:after="283"/>
        <w:jc w:val="center"/>
        <w:rPr>
          <w:rFonts w:ascii="Arial" w:hAnsi="Arial"/>
          <w:color w:val="000000"/>
          <w:sz w:val="18"/>
        </w:rPr>
      </w:pPr>
      <w:r>
        <w:rPr>
          <w:rFonts w:ascii="Arial" w:hAnsi="Arial"/>
          <w:color w:val="000000"/>
          <w:sz w:val="18"/>
        </w:rPr>
        <w:t>16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bookmarkStart w:id="21" w:name="note_9_restructuring_and_other_charges"/>
      <w:bookmarkEnd w:id="21"/>
      <w:r>
        <w:rPr>
          <w:rFonts w:ascii="Arial" w:hAnsi="Arial"/>
          <w:b/>
          <w:color w:val="000000"/>
          <w:sz w:val="18"/>
        </w:rPr>
        <w:t>Note 9. Restructuring and Other Charges</w:t>
      </w:r>
    </w:p>
    <w:p>
      <w:pPr>
        <w:pStyle w:val="TextBody"/>
        <w:bidi w:val="0"/>
        <w:spacing w:before="200" w:after="283"/>
        <w:jc w:val="both"/>
        <w:rPr>
          <w:rFonts w:ascii="Arial" w:hAnsi="Arial"/>
          <w:color w:val="000000"/>
          <w:sz w:val="18"/>
        </w:rPr>
      </w:pPr>
      <w:r>
        <w:rPr>
          <w:rFonts w:ascii="Arial" w:hAnsi="Arial"/>
          <w:color w:val="000000"/>
          <w:sz w:val="18"/>
        </w:rPr>
        <w:t>Costs related to the Company's reductions in workforce and closure of its China operations are included within Restructuring and Other Charges in the condensed consolidated statements of operations.</w:t>
      </w:r>
    </w:p>
    <w:p>
      <w:pPr>
        <w:pStyle w:val="TextBody"/>
        <w:bidi w:val="0"/>
        <w:spacing w:before="200" w:after="283"/>
        <w:jc w:val="both"/>
        <w:rPr>
          <w:rFonts w:ascii="Arial" w:hAnsi="Arial"/>
          <w:i/>
          <w:color w:val="000000"/>
          <w:sz w:val="18"/>
        </w:rPr>
      </w:pPr>
      <w:r>
        <w:rPr>
          <w:rFonts w:ascii="Arial" w:hAnsi="Arial"/>
          <w:i/>
          <w:color w:val="000000"/>
          <w:sz w:val="18"/>
        </w:rPr>
        <w:t>Restructuring</w:t>
      </w:r>
    </w:p>
    <w:p>
      <w:pPr>
        <w:pStyle w:val="TextBody"/>
        <w:bidi w:val="0"/>
        <w:spacing w:before="200" w:after="283"/>
        <w:jc w:val="both"/>
        <w:rPr>
          <w:rFonts w:ascii="Times New Roman" w:hAnsi="Times New Roman"/>
          <w:sz w:val="20"/>
        </w:rPr>
      </w:pPr>
      <w:r>
        <w:rPr>
          <w:rFonts w:ascii="Arial" w:hAnsi="Arial"/>
          <w:color w:val="000000"/>
          <w:sz w:val="18"/>
        </w:rPr>
        <w:t>In January 2023, the Company initiated a reduction in workforce to reduce operating costs and improve operating efficiency. The workforce reduction affected nearly 100</w:t>
      </w:r>
      <w:r>
        <w:rPr>
          <w:rFonts w:ascii="Times New Roman" w:hAnsi="Times New Roman"/>
          <w:color w:val="000000"/>
          <w:sz w:val="20"/>
        </w:rPr>
        <w:t xml:space="preserve"> </w:t>
      </w:r>
      <w:r>
        <w:rPr>
          <w:rFonts w:ascii="Arial" w:hAnsi="Arial"/>
          <w:color w:val="000000"/>
          <w:sz w:val="18"/>
        </w:rPr>
        <w:t>employees and was substantially completed during the first quarter of 2023. The Company recognized $3.1</w:t>
      </w:r>
      <w:r>
        <w:rPr>
          <w:rFonts w:ascii="Times New Roman" w:hAnsi="Times New Roman"/>
          <w:color w:val="000000"/>
          <w:sz w:val="20"/>
        </w:rPr>
        <w:t xml:space="preserve"> </w:t>
      </w:r>
      <w:r>
        <w:rPr>
          <w:rFonts w:ascii="Arial" w:hAnsi="Arial"/>
          <w:color w:val="000000"/>
          <w:sz w:val="18"/>
        </w:rPr>
        <w:t>million in one-time employee termination benefits in the first quarter of 2023 in connection with the reduction in workforce, comprising separation pay and healthcare benefits payable in cash, all of which were paid by the end of the second quarter of 2023.</w:t>
      </w:r>
    </w:p>
    <w:p>
      <w:pPr>
        <w:pStyle w:val="TextBody"/>
        <w:bidi w:val="0"/>
        <w:spacing w:before="200" w:after="283"/>
        <w:jc w:val="both"/>
        <w:rPr>
          <w:rFonts w:ascii="Times New Roman" w:hAnsi="Times New Roman"/>
          <w:sz w:val="20"/>
        </w:rPr>
      </w:pPr>
      <w:r>
        <w:rPr>
          <w:rFonts w:ascii="Arial" w:hAnsi="Arial"/>
          <w:color w:val="000000"/>
          <w:sz w:val="18"/>
        </w:rPr>
        <w:t>In December 2023, the Company initiated a second reduction in workforce to further reduce operating costs and improve operating efficiency. The workforce reduction affected approximately 60</w:t>
      </w:r>
      <w:r>
        <w:rPr>
          <w:rFonts w:ascii="Times New Roman" w:hAnsi="Times New Roman"/>
          <w:color w:val="000000"/>
          <w:sz w:val="20"/>
        </w:rPr>
        <w:t xml:space="preserve"> </w:t>
      </w:r>
      <w:r>
        <w:rPr>
          <w:rFonts w:ascii="Arial" w:hAnsi="Arial"/>
          <w:color w:val="000000"/>
          <w:sz w:val="18"/>
        </w:rPr>
        <w:t>employees and was completed during the first quarter of 2024. The Company recognized $4.0</w:t>
      </w:r>
      <w:r>
        <w:rPr>
          <w:rFonts w:ascii="Times New Roman" w:hAnsi="Times New Roman"/>
          <w:color w:val="000000"/>
          <w:sz w:val="20"/>
        </w:rPr>
        <w:t xml:space="preserve"> </w:t>
      </w:r>
      <w:r>
        <w:rPr>
          <w:rFonts w:ascii="Arial" w:hAnsi="Arial"/>
          <w:color w:val="000000"/>
          <w:sz w:val="18"/>
        </w:rPr>
        <w:t>million in one-time employee termination benefits in the fourth quarter of 2023 in connection with the reduction in workforce, comprising separation pay and healthcare benefits payable in cash. Substantially all of such termination benefits were paid by the end of March 31, 2024. The Company does not expect to incur any material additional costs in connection with the reductions in workforce.</w:t>
      </w:r>
    </w:p>
    <w:p>
      <w:pPr>
        <w:pStyle w:val="TextBody"/>
        <w:bidi w:val="0"/>
        <w:spacing w:before="200" w:after="283"/>
        <w:jc w:val="both"/>
        <w:rPr>
          <w:rFonts w:ascii="Arial" w:hAnsi="Arial"/>
          <w:i/>
          <w:color w:val="000000"/>
          <w:sz w:val="18"/>
        </w:rPr>
      </w:pPr>
      <w:r>
        <w:rPr>
          <w:rFonts w:ascii="Arial" w:hAnsi="Arial"/>
          <w:i/>
          <w:color w:val="000000"/>
          <w:sz w:val="18"/>
        </w:rPr>
        <w:t>Closure of China Operations</w:t>
      </w:r>
    </w:p>
    <w:p>
      <w:pPr>
        <w:pStyle w:val="TextBody"/>
        <w:bidi w:val="0"/>
        <w:spacing w:before="200" w:after="283"/>
        <w:jc w:val="both"/>
        <w:rPr>
          <w:rFonts w:ascii="Arial" w:hAnsi="Arial"/>
          <w:color w:val="000000"/>
          <w:sz w:val="18"/>
        </w:rPr>
      </w:pPr>
      <w:r>
        <w:rPr>
          <w:rFonts w:ascii="Arial" w:hAnsi="Arial"/>
          <w:color w:val="000000"/>
          <w:sz w:val="18"/>
        </w:rPr>
        <w:t>During the first half of 2023, the Company terminated its operations in China with the objective of streamlining international operations and reducing operating costs. The disposal did not qualify for reporting as a discontinued operation because it did not represent a strategic shift that has or will have a major effect on our operations and financial results. The Company completed the process of dissolving the Personalis (Shanghai) Ltd entity in February 2024.</w:t>
      </w:r>
    </w:p>
    <w:p>
      <w:pPr>
        <w:pStyle w:val="TextBody"/>
        <w:bidi w:val="0"/>
        <w:spacing w:before="200" w:after="283"/>
        <w:jc w:val="both"/>
        <w:rPr>
          <w:rFonts w:ascii="Times New Roman" w:hAnsi="Times New Roman"/>
          <w:sz w:val="20"/>
        </w:rPr>
      </w:pPr>
      <w:r>
        <w:rPr>
          <w:rFonts w:ascii="Arial" w:hAnsi="Arial"/>
          <w:color w:val="000000"/>
          <w:sz w:val="18"/>
        </w:rPr>
        <w:t>Expenses of $0.9</w:t>
      </w:r>
      <w:r>
        <w:rPr>
          <w:rFonts w:ascii="Times New Roman" w:hAnsi="Times New Roman"/>
          <w:color w:val="000000"/>
          <w:sz w:val="20"/>
        </w:rPr>
        <w:t xml:space="preserve"> </w:t>
      </w:r>
      <w:r>
        <w:rPr>
          <w:rFonts w:ascii="Arial" w:hAnsi="Arial"/>
          <w:color w:val="000000"/>
          <w:sz w:val="18"/>
        </w:rPr>
        <w:t>million were recognized in the first quarter of 2023 in connection with closure activities, of which $0.3</w:t>
      </w:r>
      <w:r>
        <w:rPr>
          <w:rFonts w:ascii="Times New Roman" w:hAnsi="Times New Roman"/>
          <w:color w:val="000000"/>
          <w:sz w:val="20"/>
        </w:rPr>
        <w:t xml:space="preserve"> </w:t>
      </w:r>
      <w:r>
        <w:rPr>
          <w:rFonts w:ascii="Arial" w:hAnsi="Arial"/>
          <w:color w:val="000000"/>
          <w:sz w:val="18"/>
        </w:rPr>
        <w:t>million was related to one-time employee termination benefits for the Company's 12</w:t>
      </w:r>
      <w:r>
        <w:rPr>
          <w:rFonts w:ascii="Times New Roman" w:hAnsi="Times New Roman"/>
          <w:color w:val="000000"/>
          <w:sz w:val="20"/>
        </w:rPr>
        <w:t xml:space="preserve"> </w:t>
      </w:r>
      <w:r>
        <w:rPr>
          <w:rFonts w:ascii="Arial" w:hAnsi="Arial"/>
          <w:color w:val="000000"/>
          <w:sz w:val="18"/>
        </w:rPr>
        <w:t>former employees located in China and were payable in cash. Substantially all of the terminations were completed during the first quarter of 2023, along with the related cash outlays. The remaining $0.6</w:t>
      </w:r>
      <w:r>
        <w:rPr>
          <w:rFonts w:ascii="Times New Roman" w:hAnsi="Times New Roman"/>
          <w:color w:val="000000"/>
          <w:sz w:val="20"/>
        </w:rPr>
        <w:t xml:space="preserve"> </w:t>
      </w:r>
      <w:r>
        <w:rPr>
          <w:rFonts w:ascii="Arial" w:hAnsi="Arial"/>
          <w:color w:val="000000"/>
          <w:sz w:val="18"/>
        </w:rPr>
        <w:t>million in expenses were comprised primarily of noncash charges, including losses on disposal of fixed assets and impairments of other assets.</w:t>
      </w:r>
    </w:p>
    <w:p>
      <w:pPr>
        <w:pStyle w:val="TextBody"/>
        <w:bidi w:val="0"/>
        <w:spacing w:before="200" w:after="283"/>
        <w:jc w:val="both"/>
        <w:rPr>
          <w:rFonts w:ascii="Times New Roman" w:hAnsi="Times New Roman"/>
          <w:sz w:val="20"/>
        </w:rPr>
      </w:pPr>
      <w:bookmarkStart w:id="22" w:name="note_10_stock_based_compensation"/>
      <w:bookmarkEnd w:id="22"/>
      <w:r>
        <w:rPr>
          <w:rFonts w:ascii="Arial" w:hAnsi="Arial"/>
          <w:b/>
          <w:color w:val="000000"/>
          <w:sz w:val="18"/>
        </w:rPr>
        <w:t>Note 10. Stock-Based</w:t>
      </w:r>
      <w:r>
        <w:rPr>
          <w:rFonts w:ascii="Times New Roman" w:hAnsi="Times New Roman"/>
          <w:color w:val="000000"/>
          <w:sz w:val="20"/>
        </w:rPr>
        <w:t xml:space="preserve"> </w:t>
      </w:r>
      <w:r>
        <w:rPr>
          <w:rFonts w:ascii="Arial" w:hAnsi="Arial"/>
          <w:b/>
          <w:color w:val="000000"/>
          <w:sz w:val="18"/>
        </w:rPr>
        <w:t>Compensation</w:t>
      </w:r>
    </w:p>
    <w:p>
      <w:pPr>
        <w:pStyle w:val="TextBody"/>
        <w:bidi w:val="0"/>
        <w:spacing w:before="200" w:after="200"/>
        <w:jc w:val="both"/>
        <w:rPr>
          <w:rFonts w:ascii="Arial" w:hAnsi="Arial"/>
          <w:color w:val="000000"/>
          <w:sz w:val="18"/>
        </w:rPr>
      </w:pPr>
      <w:r>
        <w:rPr>
          <w:rFonts w:ascii="Arial" w:hAnsi="Arial"/>
          <w:color w:val="000000"/>
          <w:sz w:val="18"/>
        </w:rPr>
        <w:t>Shares of common stock reserved for issuance under the Company’s equity incentive plans were as follows:</w:t>
      </w:r>
    </w:p>
    <w:tbl>
      <w:tblPr>
        <w:tblW w:w="5868" w:type="dxa"/>
        <w:jc w:val="left"/>
        <w:tblInd w:w="0" w:type="dxa"/>
        <w:tblLayout w:type="fixed"/>
        <w:tblCellMar>
          <w:top w:w="28" w:type="dxa"/>
          <w:left w:w="28" w:type="dxa"/>
          <w:bottom w:w="28" w:type="dxa"/>
          <w:right w:w="28" w:type="dxa"/>
        </w:tblCellMar>
      </w:tblPr>
      <w:tblGrid>
        <w:gridCol w:w="4071"/>
        <w:gridCol w:w="146"/>
        <w:gridCol w:w="155"/>
        <w:gridCol w:w="1105"/>
        <w:gridCol w:w="391"/>
      </w:tblGrid>
      <w:tr>
        <w:trPr/>
        <w:tc>
          <w:tcPr>
            <w:tcW w:w="4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Outstanding stock awards</w:t>
            </w:r>
          </w:p>
        </w:tc>
        <w:tc>
          <w:tcPr>
            <w:tcW w:w="14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110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9,261,193</w:t>
            </w:r>
          </w:p>
        </w:tc>
        <w:tc>
          <w:tcPr>
            <w:tcW w:w="391" w:type="dxa"/>
            <w:tcBorders/>
            <w:shd w:fill="CFF0FC" w:val="clear"/>
            <w:vAlign w:val="center"/>
          </w:tcPr>
          <w:p>
            <w:pPr>
              <w:pStyle w:val="TableContents"/>
              <w:bidi w:val="0"/>
              <w:spacing w:before="0" w:after="283"/>
              <w:jc w:val="left"/>
              <w:rPr/>
            </w:pPr>
            <w:r>
              <w:rPr/>
              <w:t> </w:t>
            </w:r>
          </w:p>
        </w:tc>
      </w:tr>
      <w:tr>
        <w:trPr/>
        <w:tc>
          <w:tcPr>
            <w:tcW w:w="40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Reserved for future award grants</w:t>
            </w:r>
          </w:p>
        </w:tc>
        <w:tc>
          <w:tcPr>
            <w:tcW w:w="14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5,528,052</w:t>
            </w:r>
          </w:p>
        </w:tc>
        <w:tc>
          <w:tcPr>
            <w:tcW w:w="391" w:type="dxa"/>
            <w:tcBorders/>
            <w:shd w:fill="FFFFFF" w:val="clear"/>
            <w:vAlign w:val="center"/>
          </w:tcPr>
          <w:p>
            <w:pPr>
              <w:pStyle w:val="TableContents"/>
              <w:bidi w:val="0"/>
              <w:spacing w:before="0" w:after="283"/>
              <w:jc w:val="left"/>
              <w:rPr/>
            </w:pPr>
            <w:r>
              <w:rPr/>
              <w:t> </w:t>
            </w:r>
          </w:p>
        </w:tc>
      </w:tr>
      <w:tr>
        <w:trPr/>
        <w:tc>
          <w:tcPr>
            <w:tcW w:w="40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Reserved for future ESPP</w:t>
            </w:r>
          </w:p>
        </w:tc>
        <w:tc>
          <w:tcPr>
            <w:tcW w:w="146" w:type="dxa"/>
            <w:tcBorders/>
            <w:shd w:fill="CFF0FC" w:val="cle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583,756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7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 common stock reserved for stock awards</w:t>
            </w:r>
          </w:p>
        </w:tc>
        <w:tc>
          <w:tcPr>
            <w:tcW w:w="146"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15,373,001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i/>
          <w:color w:val="000000"/>
          <w:sz w:val="18"/>
        </w:rPr>
      </w:pPr>
      <w:r>
        <w:rPr>
          <w:rFonts w:ascii="Arial" w:hAnsi="Arial"/>
          <w:i/>
          <w:color w:val="000000"/>
          <w:sz w:val="18"/>
        </w:rPr>
        <w:t>Service-Based Stock Option Activity</w:t>
      </w:r>
    </w:p>
    <w:p>
      <w:pPr>
        <w:pStyle w:val="TextBody"/>
        <w:bidi w:val="0"/>
        <w:spacing w:before="200" w:after="200"/>
        <w:jc w:val="both"/>
        <w:rPr>
          <w:rFonts w:ascii="Arial" w:hAnsi="Arial"/>
          <w:color w:val="000000"/>
          <w:sz w:val="18"/>
        </w:rPr>
      </w:pPr>
      <w:r>
        <w:rPr>
          <w:rFonts w:ascii="Arial" w:hAnsi="Arial"/>
          <w:color w:val="000000"/>
          <w:sz w:val="18"/>
        </w:rPr>
        <w:t>A summary of the Company’s service-based stock option activity (excluding performance-based stock option activity, which is presented separately below) for the three months ended March 31, 2024 is as follows:</w:t>
      </w:r>
    </w:p>
    <w:tbl>
      <w:tblPr>
        <w:tblW w:w="10172" w:type="dxa"/>
        <w:jc w:val="left"/>
        <w:tblInd w:w="0" w:type="dxa"/>
        <w:tblLayout w:type="fixed"/>
        <w:tblCellMar>
          <w:top w:w="28" w:type="dxa"/>
          <w:left w:w="28" w:type="dxa"/>
          <w:bottom w:w="28" w:type="dxa"/>
          <w:right w:w="28" w:type="dxa"/>
        </w:tblCellMar>
      </w:tblPr>
      <w:tblGrid>
        <w:gridCol w:w="4441"/>
        <w:gridCol w:w="146"/>
        <w:gridCol w:w="146"/>
        <w:gridCol w:w="931"/>
        <w:gridCol w:w="166"/>
        <w:gridCol w:w="146"/>
        <w:gridCol w:w="373"/>
        <w:gridCol w:w="827"/>
        <w:gridCol w:w="146"/>
        <w:gridCol w:w="146"/>
        <w:gridCol w:w="307"/>
        <w:gridCol w:w="983"/>
        <w:gridCol w:w="146"/>
        <w:gridCol w:w="146"/>
        <w:gridCol w:w="352"/>
        <w:gridCol w:w="579"/>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3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Service-Based 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data)</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5,805,586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191" w:type="dxa"/>
            <w:tcBorders/>
            <w:shd w:fill="CFF0FC" w:val="clear"/>
            <w:vAlign w:val="center"/>
          </w:tcPr>
          <w:p>
            <w:pPr>
              <w:pStyle w:val="TableContents"/>
              <w:bidi w:val="0"/>
              <w:spacing w:before="0" w:after="283"/>
              <w:jc w:val="left"/>
              <w:rPr/>
            </w:pPr>
            <w:r>
              <w:rPr/>
              <w:t> </w:t>
            </w:r>
          </w:p>
        </w:tc>
      </w:tr>
      <w:tr>
        <w:trPr/>
        <w:tc>
          <w:tcPr>
            <w:tcW w:w="44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Options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2,400,500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4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Options 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pPr>
            <w:r>
              <w:rPr/>
              <w:t> </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9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4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Options forfeited or 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4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7,949,182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7" w:type="dxa"/>
            <w:tcBorders/>
            <w:shd w:fill="CFF0FC" w:val="clear"/>
            <w:vAlign w:val="center"/>
          </w:tcPr>
          <w:p>
            <w:pPr>
              <w:pStyle w:val="TableContents"/>
              <w:bidi w:val="0"/>
              <w:spacing w:before="0" w:after="283"/>
              <w:jc w:val="left"/>
              <w:rPr/>
            </w:pPr>
            <w:r>
              <w:rPr/>
              <w:t> </w:t>
            </w:r>
          </w:p>
        </w:tc>
        <w:tc>
          <w:tcPr>
            <w:tcW w:w="9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191" w:type="dxa"/>
            <w:tcBorders/>
            <w:shd w:fill="CFF0FC" w:val="clear"/>
            <w:vAlign w:val="center"/>
          </w:tcPr>
          <w:p>
            <w:pPr>
              <w:pStyle w:val="TableContents"/>
              <w:bidi w:val="0"/>
              <w:spacing w:before="0" w:after="283"/>
              <w:jc w:val="left"/>
              <w:rPr/>
            </w:pPr>
            <w:r>
              <w:rPr/>
              <w:t> </w:t>
            </w:r>
          </w:p>
        </w:tc>
      </w:tr>
      <w:tr>
        <w:trPr/>
        <w:tc>
          <w:tcPr>
            <w:tcW w:w="44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Options vested and exercisable as of March 31, 2024</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3,321,228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17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color w:val="000000"/>
          <w:sz w:val="18"/>
        </w:rPr>
        <w:t>The weighted-average grant date fair value of options granted was $1.61</w:t>
      </w:r>
      <w:r>
        <w:rPr>
          <w:rFonts w:ascii="Times New Roman" w:hAnsi="Times New Roman"/>
          <w:color w:val="000000"/>
          <w:sz w:val="20"/>
        </w:rPr>
        <w:t xml:space="preserve"> </w:t>
      </w:r>
      <w:r>
        <w:rPr>
          <w:rFonts w:ascii="Arial" w:hAnsi="Arial"/>
          <w:color w:val="000000"/>
          <w:sz w:val="18"/>
        </w:rPr>
        <w:t>and $1.91</w:t>
      </w:r>
      <w:r>
        <w:rPr>
          <w:rFonts w:ascii="Times New Roman" w:hAnsi="Times New Roman"/>
          <w:color w:val="000000"/>
          <w:sz w:val="20"/>
        </w:rPr>
        <w:t xml:space="preserve"> </w:t>
      </w:r>
      <w:r>
        <w:rPr>
          <w:rFonts w:ascii="Arial" w:hAnsi="Arial"/>
          <w:color w:val="000000"/>
          <w:sz w:val="18"/>
        </w:rPr>
        <w:t>per share for the three months ended March 31, 2024 and 2023, respectively. As of March 31, 2024, the unrecognized stock-based compensation cost of unvested options was $7.9</w:t>
      </w:r>
      <w:r>
        <w:rPr>
          <w:rFonts w:ascii="Times New Roman" w:hAnsi="Times New Roman"/>
          <w:color w:val="000000"/>
          <w:sz w:val="20"/>
        </w:rPr>
        <w:t xml:space="preserve"> </w:t>
      </w:r>
      <w:r>
        <w:rPr>
          <w:rFonts w:ascii="Arial" w:hAnsi="Arial"/>
          <w:color w:val="000000"/>
          <w:sz w:val="18"/>
        </w:rPr>
        <w:t>million, which is expected to be recognized over a weighted-average period of 2.3</w:t>
      </w:r>
      <w:r>
        <w:rPr>
          <w:rFonts w:ascii="Times New Roman" w:hAnsi="Times New Roman"/>
          <w:color w:val="000000"/>
          <w:sz w:val="20"/>
        </w:rPr>
        <w:t xml:space="preserve"> </w:t>
      </w:r>
      <w:r>
        <w:rPr>
          <w:rFonts w:ascii="Arial" w:hAnsi="Arial"/>
          <w:color w:val="000000"/>
          <w:sz w:val="18"/>
        </w:rPr>
        <w:t>years.</w:t>
      </w:r>
    </w:p>
    <w:p>
      <w:pPr>
        <w:pStyle w:val="TextBody"/>
        <w:bidi w:val="0"/>
        <w:spacing w:before="200" w:after="283"/>
        <w:jc w:val="both"/>
        <w:rPr>
          <w:rFonts w:ascii="Arial" w:hAnsi="Arial"/>
          <w:i/>
          <w:color w:val="000000"/>
          <w:sz w:val="18"/>
        </w:rPr>
      </w:pPr>
      <w:r>
        <w:rPr>
          <w:rFonts w:ascii="Arial" w:hAnsi="Arial"/>
          <w:i/>
          <w:color w:val="000000"/>
          <w:sz w:val="18"/>
        </w:rPr>
        <w:t>Valuation of Service-Based Stock Options</w:t>
      </w:r>
    </w:p>
    <w:p>
      <w:pPr>
        <w:pStyle w:val="TextBody"/>
        <w:bidi w:val="0"/>
        <w:spacing w:before="200" w:after="200"/>
        <w:jc w:val="both"/>
        <w:rPr>
          <w:rFonts w:ascii="Arial" w:hAnsi="Arial"/>
          <w:color w:val="000000"/>
          <w:sz w:val="18"/>
        </w:rPr>
      </w:pPr>
      <w:r>
        <w:rPr>
          <w:rFonts w:ascii="Arial" w:hAnsi="Arial"/>
          <w:color w:val="000000"/>
          <w:sz w:val="18"/>
        </w:rPr>
        <w:t>The Company estimated the fair value of service-based stock options using the Black-Scholes option-pricing model. Fair value of stock options is recognized as compensation expense on a straight-line basis over the requisite service periods of the awards. Fair value of stock options was estimated using the following range of assumptions:</w:t>
      </w:r>
    </w:p>
    <w:tbl>
      <w:tblPr>
        <w:tblW w:w="4842" w:type="dxa"/>
        <w:jc w:val="left"/>
        <w:tblInd w:w="0" w:type="dxa"/>
        <w:tblLayout w:type="fixed"/>
        <w:tblCellMar>
          <w:top w:w="28" w:type="dxa"/>
          <w:left w:w="28" w:type="dxa"/>
          <w:bottom w:w="28" w:type="dxa"/>
          <w:right w:w="28" w:type="dxa"/>
        </w:tblCellMar>
      </w:tblPr>
      <w:tblGrid>
        <w:gridCol w:w="2101"/>
        <w:gridCol w:w="146"/>
        <w:gridCol w:w="1539"/>
        <w:gridCol w:w="166"/>
        <w:gridCol w:w="890"/>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r>
      <w:tr>
        <w:trPr/>
        <w:tc>
          <w:tcPr>
            <w:tcW w:w="21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r>
      <w:tr>
        <w:trPr/>
        <w:tc>
          <w:tcPr>
            <w:tcW w:w="21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Expected term (in years)</w:t>
            </w:r>
          </w:p>
        </w:tc>
        <w:tc>
          <w:tcPr>
            <w:tcW w:w="146" w:type="dxa"/>
            <w:tcBorders/>
            <w:shd w:fill="CFF0FC" w:val="clear"/>
            <w:vAlign w:val="center"/>
          </w:tcPr>
          <w:p>
            <w:pPr>
              <w:pStyle w:val="TableContents"/>
              <w:bidi w:val="0"/>
              <w:spacing w:before="0" w:after="283"/>
              <w:jc w:val="left"/>
              <w:rPr/>
            </w:pPr>
            <w:r>
              <w:rPr/>
              <w:t> </w:t>
            </w:r>
          </w:p>
        </w:tc>
        <w:tc>
          <w:tcPr>
            <w:tcW w:w="1539" w:type="dxa"/>
            <w:tcBorders/>
            <w:shd w:fill="CFF0FC" w:val="clear"/>
            <w:vAlign w:val="center"/>
          </w:tcPr>
          <w:p>
            <w:pPr>
              <w:pStyle w:val="TableContents"/>
              <w:bidi w:val="0"/>
              <w:spacing w:before="0" w:after="283"/>
              <w:jc w:val="center"/>
              <w:rPr>
                <w:rFonts w:ascii="Times New Roman" w:hAnsi="Times New Roman"/>
                <w:sz w:val="20"/>
              </w:rPr>
            </w:pPr>
            <w:r>
              <w:rPr>
                <w:rFonts w:ascii="Arial" w:hAnsi="Arial"/>
                <w:color w:val="000000"/>
                <w:sz w:val="18"/>
              </w:rPr>
              <w:t>5.50</w:t>
            </w:r>
            <w:r>
              <w:rPr>
                <w:rFonts w:ascii="Times New Roman" w:hAnsi="Times New Roman"/>
                <w:color w:val="000000"/>
                <w:sz w:val="20"/>
              </w:rPr>
              <w:t> </w:t>
            </w:r>
            <w:r>
              <w:rPr>
                <w:rFonts w:ascii="Arial" w:hAnsi="Arial"/>
                <w:color w:val="000000"/>
                <w:sz w:val="18"/>
              </w:rPr>
              <w:t>- 6.08</w:t>
            </w:r>
          </w:p>
        </w:tc>
        <w:tc>
          <w:tcPr>
            <w:tcW w:w="166"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5.77</w:t>
            </w:r>
          </w:p>
        </w:tc>
      </w:tr>
      <w:tr>
        <w:trPr/>
        <w:tc>
          <w:tcPr>
            <w:tcW w:w="21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Volatility</w:t>
            </w:r>
          </w:p>
        </w:tc>
        <w:tc>
          <w:tcPr>
            <w:tcW w:w="146" w:type="dxa"/>
            <w:tcBorders/>
            <w:shd w:fill="FFFFFF" w:val="clear"/>
            <w:vAlign w:val="center"/>
          </w:tcPr>
          <w:p>
            <w:pPr>
              <w:pStyle w:val="TableContents"/>
              <w:bidi w:val="0"/>
              <w:spacing w:before="0" w:after="283"/>
              <w:jc w:val="left"/>
              <w:rPr/>
            </w:pPr>
            <w:r>
              <w:rPr/>
              <w:t> </w:t>
            </w:r>
          </w:p>
        </w:tc>
        <w:tc>
          <w:tcPr>
            <w:tcW w:w="1539"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18"/>
              </w:rPr>
              <w:t>72.63</w:t>
            </w:r>
            <w:r>
              <w:rPr>
                <w:rFonts w:ascii="Times New Roman" w:hAnsi="Times New Roman"/>
                <w:color w:val="000000"/>
                <w:sz w:val="20"/>
              </w:rPr>
              <w:t> </w:t>
            </w:r>
            <w:r>
              <w:rPr>
                <w:rFonts w:ascii="Arial" w:hAnsi="Arial"/>
                <w:color w:val="000000"/>
                <w:sz w:val="18"/>
              </w:rPr>
              <w:t>- 80.28%</w:t>
            </w:r>
          </w:p>
        </w:tc>
        <w:tc>
          <w:tcPr>
            <w:tcW w:w="16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78.98%</w:t>
            </w:r>
          </w:p>
        </w:tc>
      </w:tr>
      <w:tr>
        <w:trPr/>
        <w:tc>
          <w:tcPr>
            <w:tcW w:w="210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Risk-free interest rate</w:t>
            </w:r>
          </w:p>
        </w:tc>
        <w:tc>
          <w:tcPr>
            <w:tcW w:w="146" w:type="dxa"/>
            <w:tcBorders/>
            <w:shd w:fill="CFF0FC" w:val="clear"/>
            <w:vAlign w:val="center"/>
          </w:tcPr>
          <w:p>
            <w:pPr>
              <w:pStyle w:val="TableContents"/>
              <w:bidi w:val="0"/>
              <w:spacing w:before="0" w:after="283"/>
              <w:jc w:val="left"/>
              <w:rPr/>
            </w:pPr>
            <w:r>
              <w:rPr/>
              <w:t> </w:t>
            </w:r>
          </w:p>
        </w:tc>
        <w:tc>
          <w:tcPr>
            <w:tcW w:w="1539" w:type="dxa"/>
            <w:tcBorders/>
            <w:shd w:fill="CFF0FC" w:val="clear"/>
            <w:vAlign w:val="center"/>
          </w:tcPr>
          <w:p>
            <w:pPr>
              <w:pStyle w:val="TableContents"/>
              <w:bidi w:val="0"/>
              <w:spacing w:before="0" w:after="283"/>
              <w:jc w:val="center"/>
              <w:rPr>
                <w:rFonts w:ascii="Times New Roman" w:hAnsi="Times New Roman"/>
                <w:sz w:val="20"/>
              </w:rPr>
            </w:pPr>
            <w:r>
              <w:rPr>
                <w:rFonts w:ascii="Arial" w:hAnsi="Arial"/>
                <w:color w:val="000000"/>
                <w:sz w:val="18"/>
              </w:rPr>
              <w:t>3.88</w:t>
            </w:r>
            <w:r>
              <w:rPr>
                <w:rFonts w:ascii="Times New Roman" w:hAnsi="Times New Roman"/>
                <w:color w:val="000000"/>
                <w:sz w:val="20"/>
              </w:rPr>
              <w:t> </w:t>
            </w:r>
            <w:r>
              <w:rPr>
                <w:rFonts w:ascii="Arial" w:hAnsi="Arial"/>
                <w:color w:val="000000"/>
                <w:sz w:val="18"/>
              </w:rPr>
              <w:t>- 4.33%</w:t>
            </w:r>
          </w:p>
        </w:tc>
        <w:tc>
          <w:tcPr>
            <w:tcW w:w="166"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3.58%</w:t>
            </w:r>
          </w:p>
        </w:tc>
      </w:tr>
      <w:tr>
        <w:trPr/>
        <w:tc>
          <w:tcPr>
            <w:tcW w:w="210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Dividend yield</w:t>
            </w:r>
          </w:p>
        </w:tc>
        <w:tc>
          <w:tcPr>
            <w:tcW w:w="146" w:type="dxa"/>
            <w:tcBorders/>
            <w:shd w:fill="FFFFFF" w:val="clear"/>
            <w:vAlign w:val="center"/>
          </w:tcPr>
          <w:p>
            <w:pPr>
              <w:pStyle w:val="TableContents"/>
              <w:bidi w:val="0"/>
              <w:spacing w:before="0" w:after="283"/>
              <w:jc w:val="left"/>
              <w:rPr/>
            </w:pPr>
            <w:r>
              <w:rPr/>
              <w:t> </w:t>
            </w:r>
          </w:p>
        </w:tc>
        <w:tc>
          <w:tcPr>
            <w:tcW w:w="1539" w:type="dxa"/>
            <w:tcBorders/>
            <w:shd w:fill="FFFFFF" w:val="clear"/>
            <w:vAlign w:val="center"/>
          </w:tcPr>
          <w:p>
            <w:pPr>
              <w:pStyle w:val="TableContents"/>
              <w:bidi w:val="0"/>
              <w:spacing w:before="0" w:after="283"/>
              <w:jc w:val="center"/>
              <w:rPr/>
            </w:pPr>
            <w:r>
              <w:rPr>
                <w:color w:val="000000"/>
              </w:rPr>
              <w:t>–</w:t>
            </w:r>
            <w:r>
              <w:rPr>
                <w:rFonts w:ascii="Arial" w:hAnsi="Arial"/>
                <w:color w:val="000000"/>
                <w:sz w:val="18"/>
              </w:rPr>
              <w:t>%</w:t>
            </w:r>
          </w:p>
        </w:tc>
        <w:tc>
          <w:tcPr>
            <w:tcW w:w="166"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color w:val="000000"/>
              </w:rPr>
              <w:t>–</w:t>
            </w:r>
            <w:r>
              <w:rPr>
                <w:rFonts w:ascii="Arial" w:hAnsi="Arial"/>
                <w:color w:val="000000"/>
                <w:sz w:val="18"/>
              </w:rPr>
              <w:t>%</w:t>
            </w:r>
          </w:p>
        </w:tc>
      </w:tr>
    </w:tbl>
    <w:p>
      <w:pPr>
        <w:pStyle w:val="TextBody"/>
        <w:bidi w:val="0"/>
        <w:spacing w:before="200" w:after="283"/>
        <w:jc w:val="both"/>
        <w:rPr>
          <w:rFonts w:ascii="Arial" w:hAnsi="Arial"/>
          <w:i/>
          <w:color w:val="000000"/>
          <w:sz w:val="18"/>
        </w:rPr>
      </w:pPr>
      <w:r>
        <w:rPr>
          <w:rFonts w:ascii="Arial" w:hAnsi="Arial"/>
          <w:i/>
          <w:color w:val="000000"/>
          <w:sz w:val="18"/>
        </w:rPr>
        <w:t>Performance-Based Stock Option Activity</w:t>
      </w:r>
    </w:p>
    <w:p>
      <w:pPr>
        <w:pStyle w:val="TextBody"/>
        <w:bidi w:val="0"/>
        <w:spacing w:before="200" w:after="283"/>
        <w:jc w:val="both"/>
        <w:rPr>
          <w:rFonts w:ascii="Times New Roman" w:hAnsi="Times New Roman"/>
          <w:sz w:val="20"/>
        </w:rPr>
      </w:pPr>
      <w:r>
        <w:rPr>
          <w:rFonts w:ascii="Arial" w:hAnsi="Arial"/>
          <w:color w:val="000000"/>
          <w:sz w:val="18"/>
        </w:rPr>
        <w:t>During 2024, the Company granted performance-based stock options ("PSOs") to the executive leadership team. Vesting of the PSOs is based upon attainment of certain Medicare reimbursement coverages by the end of 2025 and subject to continuous service by the executives. Fair value was estimated using the Black-Scholes option-pricing model. Total grant-date fair value of the PSOs was $0.3</w:t>
      </w:r>
      <w:r>
        <w:rPr>
          <w:rFonts w:ascii="Times New Roman" w:hAnsi="Times New Roman"/>
          <w:color w:val="000000"/>
          <w:sz w:val="20"/>
        </w:rPr>
        <w:t xml:space="preserve"> </w:t>
      </w:r>
      <w:r>
        <w:rPr>
          <w:rFonts w:ascii="Arial" w:hAnsi="Arial"/>
          <w:color w:val="000000"/>
          <w:sz w:val="18"/>
        </w:rPr>
        <w:t>million.</w:t>
      </w:r>
    </w:p>
    <w:p>
      <w:pPr>
        <w:pStyle w:val="TextBody"/>
        <w:bidi w:val="0"/>
        <w:spacing w:before="200" w:after="200"/>
        <w:jc w:val="both"/>
        <w:rPr>
          <w:rFonts w:ascii="Arial" w:hAnsi="Arial"/>
          <w:color w:val="000000"/>
          <w:sz w:val="18"/>
        </w:rPr>
      </w:pPr>
      <w:r>
        <w:rPr>
          <w:rFonts w:ascii="Arial" w:hAnsi="Arial"/>
          <w:color w:val="000000"/>
          <w:sz w:val="18"/>
        </w:rPr>
        <w:t>A summary of the Company's performance-based stock option activity for the three months ended March 31, 2024 is as follows:</w:t>
      </w:r>
    </w:p>
    <w:tbl>
      <w:tblPr>
        <w:tblW w:w="9766" w:type="dxa"/>
        <w:jc w:val="left"/>
        <w:tblInd w:w="0" w:type="dxa"/>
        <w:tblLayout w:type="fixed"/>
        <w:tblCellMar>
          <w:top w:w="28" w:type="dxa"/>
          <w:left w:w="28" w:type="dxa"/>
          <w:bottom w:w="28" w:type="dxa"/>
          <w:right w:w="28" w:type="dxa"/>
        </w:tblCellMar>
      </w:tblPr>
      <w:tblGrid>
        <w:gridCol w:w="4441"/>
        <w:gridCol w:w="146"/>
        <w:gridCol w:w="148"/>
        <w:gridCol w:w="797"/>
        <w:gridCol w:w="146"/>
        <w:gridCol w:w="146"/>
        <w:gridCol w:w="373"/>
        <w:gridCol w:w="827"/>
        <w:gridCol w:w="146"/>
        <w:gridCol w:w="146"/>
        <w:gridCol w:w="247"/>
        <w:gridCol w:w="789"/>
        <w:gridCol w:w="146"/>
        <w:gridCol w:w="146"/>
        <w:gridCol w:w="352"/>
        <w:gridCol w:w="579"/>
        <w:gridCol w:w="191"/>
      </w:tblGrid>
      <w:tr>
        <w:trPr/>
        <w:tc>
          <w:tcPr>
            <w:tcW w:w="4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Performance-Based Options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data)</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Term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2023</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4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Options granted</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264,500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3"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4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Balance—March 31, 2024</w:t>
            </w:r>
          </w:p>
        </w:tc>
        <w:tc>
          <w:tcPr>
            <w:tcW w:w="146" w:type="dxa"/>
            <w:tcBorders/>
            <w:shd w:fill="CFF0FC" w:val="clear"/>
            <w:vAlign w:val="center"/>
          </w:tcPr>
          <w:p>
            <w:pPr>
              <w:pStyle w:val="TableContents"/>
              <w:bidi w:val="0"/>
              <w:spacing w:before="0" w:after="283"/>
              <w:jc w:val="left"/>
              <w:rPr/>
            </w:pPr>
            <w:r>
              <w:rPr/>
              <w:t> </w:t>
            </w:r>
          </w:p>
        </w:tc>
        <w:tc>
          <w:tcPr>
            <w:tcW w:w="14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9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264,500</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pPr>
            <w:r>
              <w:rPr/>
              <w:t> </w:t>
            </w:r>
          </w:p>
        </w:tc>
        <w:tc>
          <w:tcPr>
            <w:tcW w:w="78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4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Options vested and exercisable as of March 31, 2024</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left"/>
        <w:rPr>
          <w:rFonts w:ascii="Arial" w:hAnsi="Arial"/>
          <w:i/>
          <w:color w:val="000000"/>
          <w:sz w:val="18"/>
        </w:rPr>
      </w:pPr>
      <w:r>
        <w:rPr>
          <w:rFonts w:ascii="Arial" w:hAnsi="Arial"/>
          <w:i/>
          <w:color w:val="000000"/>
          <w:sz w:val="18"/>
        </w:rPr>
        <w:t>Restricted Stock Units ("RSU") Activity and Valuation</w:t>
      </w:r>
    </w:p>
    <w:p>
      <w:pPr>
        <w:pStyle w:val="TextBody"/>
        <w:bidi w:val="0"/>
        <w:spacing w:before="200" w:after="200"/>
        <w:jc w:val="both"/>
        <w:rPr>
          <w:rFonts w:ascii="Arial" w:hAnsi="Arial"/>
          <w:color w:val="000000"/>
          <w:sz w:val="18"/>
        </w:rPr>
      </w:pPr>
      <w:r>
        <w:rPr>
          <w:rFonts w:ascii="Arial" w:hAnsi="Arial"/>
          <w:color w:val="000000"/>
          <w:sz w:val="18"/>
        </w:rPr>
        <w:t>A summary of the Company’s RSU activity for the three months ended March 31, 2024 is as follows:</w:t>
      </w:r>
    </w:p>
    <w:tbl>
      <w:tblPr>
        <w:tblW w:w="7644" w:type="dxa"/>
        <w:jc w:val="left"/>
        <w:tblInd w:w="0" w:type="dxa"/>
        <w:tblLayout w:type="fixed"/>
        <w:tblCellMar>
          <w:top w:w="28" w:type="dxa"/>
          <w:left w:w="28" w:type="dxa"/>
          <w:bottom w:w="28" w:type="dxa"/>
          <w:right w:w="28" w:type="dxa"/>
        </w:tblCellMar>
      </w:tblPr>
      <w:tblGrid>
        <w:gridCol w:w="3646"/>
        <w:gridCol w:w="146"/>
        <w:gridCol w:w="146"/>
        <w:gridCol w:w="931"/>
        <w:gridCol w:w="166"/>
        <w:gridCol w:w="146"/>
        <w:gridCol w:w="271"/>
        <w:gridCol w:w="734"/>
        <w:gridCol w:w="146"/>
        <w:gridCol w:w="146"/>
        <w:gridCol w:w="263"/>
        <w:gridCol w:w="712"/>
        <w:gridCol w:w="1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66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Unvested Restricted Stock Units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(in thousands, except share and per share data)</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 xml:space="preserve">Grant Date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Aggregate </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1,253,826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2,633</w:t>
            </w:r>
          </w:p>
        </w:tc>
        <w:tc>
          <w:tcPr>
            <w:tcW w:w="191" w:type="dxa"/>
            <w:tcBorders/>
            <w:shd w:fill="CFF0FC" w:val="cle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RSUs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6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RSUs 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(33,505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pPr>
            <w:r>
              <w:rPr/>
              <w:t> </w:t>
            </w:r>
          </w:p>
        </w:tc>
        <w:tc>
          <w:tcPr>
            <w:tcW w:w="7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91" w:type="dxa"/>
            <w:tcBorders/>
            <w:shd w:fill="CFF0FC" w:val="clear"/>
            <w:vAlign w:val="center"/>
          </w:tcPr>
          <w:p>
            <w:pPr>
              <w:pStyle w:val="TableContents"/>
              <w:bidi w:val="0"/>
              <w:spacing w:before="0" w:after="283"/>
              <w:jc w:val="left"/>
              <w:rPr/>
            </w:pPr>
            <w:r>
              <w:rPr/>
              <w:t> </w:t>
            </w:r>
          </w:p>
        </w:tc>
      </w:tr>
      <w:tr>
        <w:trPr/>
        <w:tc>
          <w:tcPr>
            <w:tcW w:w="364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RSUs 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5"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36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1,047,511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1,561</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color w:val="000000"/>
          <w:sz w:val="18"/>
        </w:rPr>
        <w:t>As of March 31, 2024, the unrecognized stock-based compensation cost of unvested RSUs was $6.4</w:t>
      </w:r>
      <w:r>
        <w:rPr>
          <w:rFonts w:ascii="Times New Roman" w:hAnsi="Times New Roman"/>
          <w:color w:val="000000"/>
          <w:sz w:val="20"/>
        </w:rPr>
        <w:t xml:space="preserve"> </w:t>
      </w:r>
      <w:r>
        <w:rPr>
          <w:rFonts w:ascii="Arial" w:hAnsi="Arial"/>
          <w:color w:val="000000"/>
          <w:sz w:val="18"/>
        </w:rPr>
        <w:t>million, which is expected to be recognized over a weighted-average period of 1.6</w:t>
      </w:r>
      <w:r>
        <w:rPr>
          <w:rFonts w:ascii="Times New Roman" w:hAnsi="Times New Roman"/>
          <w:color w:val="000000"/>
          <w:sz w:val="20"/>
        </w:rPr>
        <w:t xml:space="preserve"> </w:t>
      </w:r>
      <w:r>
        <w:rPr>
          <w:rFonts w:ascii="Arial" w:hAnsi="Arial"/>
          <w:color w:val="000000"/>
          <w:sz w:val="18"/>
        </w:rPr>
        <w:t>years.</w:t>
      </w:r>
    </w:p>
    <w:p>
      <w:pPr>
        <w:pStyle w:val="TextBody"/>
        <w:bidi w:val="0"/>
        <w:spacing w:before="200" w:after="283"/>
        <w:jc w:val="both"/>
        <w:rPr>
          <w:rFonts w:ascii="Arial" w:hAnsi="Arial"/>
          <w:i/>
          <w:color w:val="000000"/>
          <w:sz w:val="18"/>
        </w:rPr>
      </w:pPr>
      <w:r>
        <w:rPr>
          <w:rFonts w:ascii="Arial" w:hAnsi="Arial"/>
          <w:i/>
          <w:color w:val="000000"/>
          <w:sz w:val="18"/>
        </w:rPr>
        <w:t>ESPP Activity and Valuation</w:t>
      </w:r>
    </w:p>
    <w:p>
      <w:pPr>
        <w:pStyle w:val="TextBody"/>
        <w:bidi w:val="0"/>
        <w:spacing w:before="200" w:after="200"/>
        <w:jc w:val="both"/>
        <w:rPr>
          <w:rFonts w:ascii="Times New Roman" w:hAnsi="Times New Roman"/>
          <w:sz w:val="20"/>
        </w:rPr>
      </w:pPr>
      <w:r>
        <w:rPr>
          <w:rFonts w:ascii="Arial" w:hAnsi="Arial"/>
          <w:color w:val="000000"/>
          <w:sz w:val="18"/>
        </w:rPr>
        <w:t>During the three months ended March 31, 2024 and 2023, no</w:t>
      </w:r>
      <w:r>
        <w:rPr>
          <w:rFonts w:ascii="Times New Roman" w:hAnsi="Times New Roman"/>
          <w:color w:val="000000"/>
          <w:sz w:val="20"/>
        </w:rPr>
        <w:t xml:space="preserve"> </w:t>
      </w:r>
      <w:r>
        <w:rPr>
          <w:rFonts w:ascii="Arial" w:hAnsi="Arial"/>
          <w:color w:val="000000"/>
          <w:sz w:val="18"/>
        </w:rPr>
        <w:t>shares of common stock were purchased under the Employee Stock Purchase Plan ("ESPP"). Additionally, no</w:t>
      </w:r>
      <w:r>
        <w:rPr>
          <w:rFonts w:ascii="Times New Roman" w:hAnsi="Times New Roman"/>
          <w:color w:val="000000"/>
          <w:sz w:val="20"/>
        </w:rPr>
        <w:t xml:space="preserve"> </w:t>
      </w:r>
      <w:r>
        <w:rPr>
          <w:rFonts w:ascii="Arial" w:hAnsi="Arial"/>
          <w:color w:val="000000"/>
          <w:sz w:val="18"/>
        </w:rPr>
        <w:t>stock purchase rights were granted during either period.</w:t>
      </w:r>
    </w:p>
    <w:p>
      <w:pPr>
        <w:pStyle w:val="TextBody"/>
        <w:bidi w:val="0"/>
        <w:spacing w:before="240" w:after="283"/>
        <w:jc w:val="center"/>
        <w:rPr>
          <w:rFonts w:ascii="Arial" w:hAnsi="Arial"/>
          <w:color w:val="000000"/>
          <w:sz w:val="18"/>
        </w:rPr>
      </w:pPr>
      <w:r>
        <w:rPr>
          <w:rFonts w:ascii="Arial" w:hAnsi="Arial"/>
          <w:color w:val="000000"/>
          <w:sz w:val="18"/>
        </w:rPr>
        <w:t>18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Stock-Based Compensation Expense</w:t>
      </w:r>
    </w:p>
    <w:p>
      <w:pPr>
        <w:pStyle w:val="TextBody"/>
        <w:bidi w:val="0"/>
        <w:spacing w:before="200" w:after="200"/>
        <w:jc w:val="both"/>
        <w:rPr>
          <w:rFonts w:ascii="Arial" w:hAnsi="Arial"/>
          <w:color w:val="000000"/>
          <w:sz w:val="18"/>
        </w:rPr>
      </w:pPr>
      <w:r>
        <w:rPr>
          <w:rFonts w:ascii="Arial" w:hAnsi="Arial"/>
          <w:color w:val="000000"/>
          <w:sz w:val="18"/>
        </w:rPr>
        <w:t>The following is a summary of stock-based compensation expense by award type (in thousands):</w:t>
      </w:r>
    </w:p>
    <w:tbl>
      <w:tblPr>
        <w:tblW w:w="6796" w:type="dxa"/>
        <w:jc w:val="left"/>
        <w:tblInd w:w="0" w:type="dxa"/>
        <w:tblLayout w:type="fixed"/>
        <w:tblCellMar>
          <w:top w:w="28" w:type="dxa"/>
          <w:left w:w="28" w:type="dxa"/>
          <w:bottom w:w="28" w:type="dxa"/>
          <w:right w:w="28" w:type="dxa"/>
        </w:tblCellMar>
      </w:tblPr>
      <w:tblGrid>
        <w:gridCol w:w="3711"/>
        <w:gridCol w:w="146"/>
        <w:gridCol w:w="290"/>
        <w:gridCol w:w="784"/>
        <w:gridCol w:w="200"/>
        <w:gridCol w:w="200"/>
        <w:gridCol w:w="290"/>
        <w:gridCol w:w="784"/>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Service-based stock options</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1,215</w:t>
            </w:r>
          </w:p>
        </w:tc>
        <w:tc>
          <w:tcPr>
            <w:tcW w:w="200"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1,343</w:t>
            </w:r>
          </w:p>
        </w:tc>
        <w:tc>
          <w:tcPr>
            <w:tcW w:w="391" w:type="dxa"/>
            <w:tcBorders/>
            <w:shd w:fill="CFF0FC" w:val="clear"/>
            <w:vAlign w:val="center"/>
          </w:tcPr>
          <w:p>
            <w:pPr>
              <w:pStyle w:val="TableContents"/>
              <w:bidi w:val="0"/>
              <w:spacing w:before="0" w:after="283"/>
              <w:jc w:val="left"/>
              <w:rPr/>
            </w:pPr>
            <w:r>
              <w:rPr/>
              <w:t> </w:t>
            </w:r>
          </w:p>
        </w:tc>
      </w:tr>
      <w:tr>
        <w:trPr/>
        <w:tc>
          <w:tcPr>
            <w:tcW w:w="37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Performance-based stock options</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7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RSUs</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1,408</w:t>
            </w:r>
          </w:p>
        </w:tc>
        <w:tc>
          <w:tcPr>
            <w:tcW w:w="200"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78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2,123</w:t>
            </w:r>
          </w:p>
        </w:tc>
        <w:tc>
          <w:tcPr>
            <w:tcW w:w="391" w:type="dxa"/>
            <w:tcBorders/>
            <w:shd w:fill="CFF0FC" w:val="clear"/>
            <w:vAlign w:val="center"/>
          </w:tcPr>
          <w:p>
            <w:pPr>
              <w:pStyle w:val="TableContents"/>
              <w:bidi w:val="0"/>
              <w:spacing w:before="0" w:after="283"/>
              <w:jc w:val="left"/>
              <w:rPr/>
            </w:pPr>
            <w:r>
              <w:rPr/>
              <w:t> </w:t>
            </w:r>
          </w:p>
        </w:tc>
      </w:tr>
      <w:tr>
        <w:trPr/>
        <w:tc>
          <w:tcPr>
            <w:tcW w:w="37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ESPP</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2,687</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Arial" w:hAnsi="Arial"/>
          <w:color w:val="000000"/>
          <w:sz w:val="18"/>
        </w:rPr>
      </w:pPr>
      <w:r>
        <w:rPr>
          <w:rFonts w:ascii="Arial" w:hAnsi="Arial"/>
          <w:color w:val="000000"/>
          <w:sz w:val="18"/>
        </w:rPr>
        <w:t>The following is a summary of stock-based compensation expense by function (in thousands):</w:t>
      </w:r>
    </w:p>
    <w:tbl>
      <w:tblPr>
        <w:tblW w:w="6796" w:type="dxa"/>
        <w:jc w:val="left"/>
        <w:tblInd w:w="0" w:type="dxa"/>
        <w:tblLayout w:type="fixed"/>
        <w:tblCellMar>
          <w:top w:w="28" w:type="dxa"/>
          <w:left w:w="28" w:type="dxa"/>
          <w:bottom w:w="28" w:type="dxa"/>
          <w:right w:w="28" w:type="dxa"/>
        </w:tblCellMar>
      </w:tblPr>
      <w:tblGrid>
        <w:gridCol w:w="3711"/>
        <w:gridCol w:w="146"/>
        <w:gridCol w:w="290"/>
        <w:gridCol w:w="784"/>
        <w:gridCol w:w="200"/>
        <w:gridCol w:w="200"/>
        <w:gridCol w:w="290"/>
        <w:gridCol w:w="784"/>
        <w:gridCol w:w="3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154</w:t>
            </w:r>
          </w:p>
        </w:tc>
        <w:tc>
          <w:tcPr>
            <w:tcW w:w="200"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490</w:t>
            </w:r>
          </w:p>
        </w:tc>
        <w:tc>
          <w:tcPr>
            <w:tcW w:w="391" w:type="dxa"/>
            <w:tcBorders/>
            <w:shd w:fill="CFF0FC" w:val="clear"/>
            <w:vAlign w:val="center"/>
          </w:tcPr>
          <w:p>
            <w:pPr>
              <w:pStyle w:val="TableContents"/>
              <w:bidi w:val="0"/>
              <w:spacing w:before="0" w:after="283"/>
              <w:jc w:val="left"/>
              <w:rPr/>
            </w:pPr>
            <w:r>
              <w:rPr/>
              <w:t> </w:t>
            </w:r>
          </w:p>
        </w:tc>
      </w:tr>
      <w:tr>
        <w:trPr/>
        <w:tc>
          <w:tcPr>
            <w:tcW w:w="37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947</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90"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1,245</w:t>
            </w:r>
          </w:p>
        </w:tc>
        <w:tc>
          <w:tcPr>
            <w:tcW w:w="391" w:type="dxa"/>
            <w:tcBorders/>
            <w:shd w:fill="FFFFFF" w:val="clear"/>
            <w:vAlign w:val="center"/>
          </w:tcPr>
          <w:p>
            <w:pPr>
              <w:pStyle w:val="TableContents"/>
              <w:bidi w:val="0"/>
              <w:spacing w:before="0" w:after="283"/>
              <w:jc w:val="left"/>
              <w:rPr/>
            </w:pPr>
            <w:r>
              <w:rPr/>
              <w:t> </w:t>
            </w:r>
          </w:p>
        </w:tc>
      </w:tr>
      <w:tr>
        <w:trPr/>
        <w:tc>
          <w:tcPr>
            <w:tcW w:w="37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1,586</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 stock-based compensation expense</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2,687</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b/>
          <w:color w:val="000000"/>
          <w:sz w:val="18"/>
        </w:rPr>
      </w:pPr>
      <w:bookmarkStart w:id="23" w:name="note_11_commitments_and_contingencies"/>
      <w:bookmarkEnd w:id="23"/>
      <w:r>
        <w:rPr>
          <w:rFonts w:ascii="Arial" w:hAnsi="Arial"/>
          <w:b/>
          <w:color w:val="000000"/>
          <w:sz w:val="18"/>
        </w:rPr>
        <w:t>Note 11. Contingencies</w:t>
      </w:r>
    </w:p>
    <w:p>
      <w:pPr>
        <w:pStyle w:val="TextBody"/>
        <w:bidi w:val="0"/>
        <w:spacing w:before="200" w:after="283"/>
        <w:jc w:val="both"/>
        <w:rPr>
          <w:rFonts w:ascii="Arial" w:hAnsi="Arial"/>
          <w:color w:val="000000"/>
          <w:sz w:val="18"/>
        </w:rPr>
      </w:pPr>
      <w:r>
        <w:rPr>
          <w:rFonts w:ascii="Arial" w:hAnsi="Arial"/>
          <w:color w:val="000000"/>
          <w:sz w:val="18"/>
        </w:rPr>
        <w:t>On August 2, 2022, the Company filed a complaint in the U.S. District Court for the District of Colorado (the "District Court") against Foresight Diagnostics Inc. (“Foresight”) for infringement of four of the Company's U.S. patents. The patents are part of the Company's intellectual property portfolio relating to detection of MRD. The Company is seeking remedies including injunctive relief, damages and costs. In October 2022, Foresight filed its answer and counterclaims in the matter, seeking declaratory judgment and alleging that its solid tumor recurrence test does not infringe the Company’s asserted patents and that the claims of the Company's asserted patents are invalid and/or unenforceable. In November 2022, the Company filed its answer to Foresight’s counterclaims. The Company intends to vigorously defend against these counterclaims.</w:t>
      </w:r>
    </w:p>
    <w:p>
      <w:pPr>
        <w:pStyle w:val="TextBody"/>
        <w:bidi w:val="0"/>
        <w:spacing w:before="200" w:after="283"/>
        <w:jc w:val="both"/>
        <w:rPr>
          <w:rFonts w:ascii="Times New Roman" w:hAnsi="Times New Roman"/>
          <w:sz w:val="20"/>
        </w:rPr>
      </w:pPr>
      <w:r>
        <w:rPr>
          <w:rFonts w:ascii="Arial" w:hAnsi="Arial"/>
          <w:color w:val="000000"/>
          <w:sz w:val="18"/>
        </w:rPr>
        <w:t xml:space="preserve">Between November 2022 and February 2023, Foresight filed four </w:t>
      </w:r>
      <w:r>
        <w:rPr>
          <w:rFonts w:ascii="Arial" w:hAnsi="Arial"/>
          <w:i/>
          <w:color w:val="000000"/>
          <w:sz w:val="18"/>
        </w:rPr>
        <w:t xml:space="preserve">inter partes </w:t>
      </w:r>
      <w:r>
        <w:rPr>
          <w:rFonts w:ascii="Arial" w:hAnsi="Arial"/>
          <w:color w:val="000000"/>
          <w:sz w:val="18"/>
        </w:rPr>
        <w:t xml:space="preserve">review petitions with the U.S. Patent and Trademark Office ("USPTO"), seeking to invalidate the four patents. Also, in November 2022, Foresight filed a motion to stay the Company's patent infringement action in the District Court pending the resolution of the </w:t>
      </w:r>
      <w:r>
        <w:rPr>
          <w:rFonts w:ascii="Arial" w:hAnsi="Arial"/>
          <w:i/>
          <w:color w:val="000000"/>
          <w:sz w:val="18"/>
        </w:rPr>
        <w:t>inter partes</w:t>
      </w:r>
      <w:r>
        <w:rPr>
          <w:rFonts w:ascii="Times New Roman" w:hAnsi="Times New Roman"/>
          <w:color w:val="000000"/>
          <w:sz w:val="20"/>
        </w:rPr>
        <w:t xml:space="preserve"> </w:t>
      </w:r>
      <w:r>
        <w:rPr>
          <w:rFonts w:ascii="Arial" w:hAnsi="Arial"/>
          <w:color w:val="000000"/>
          <w:sz w:val="18"/>
        </w:rPr>
        <w:t xml:space="preserve">review proceedings. In January 2023, the District Court granted Foresight’s motion to stay. In June 2023, the USPTO issued decisions granting </w:t>
      </w:r>
      <w:r>
        <w:rPr>
          <w:rFonts w:ascii="Arial" w:hAnsi="Arial"/>
          <w:i/>
          <w:color w:val="000000"/>
          <w:sz w:val="18"/>
        </w:rPr>
        <w:t xml:space="preserve">inter partes </w:t>
      </w:r>
      <w:r>
        <w:rPr>
          <w:rFonts w:ascii="Arial" w:hAnsi="Arial"/>
          <w:color w:val="000000"/>
          <w:sz w:val="18"/>
        </w:rPr>
        <w:t xml:space="preserve">reviews of two of the patents. In August 2023, the USPTO issued decisions granting </w:t>
      </w:r>
      <w:r>
        <w:rPr>
          <w:rFonts w:ascii="Arial" w:hAnsi="Arial"/>
          <w:i/>
          <w:color w:val="000000"/>
          <w:sz w:val="18"/>
        </w:rPr>
        <w:t xml:space="preserve">inter partes </w:t>
      </w:r>
      <w:r>
        <w:rPr>
          <w:rFonts w:ascii="Arial" w:hAnsi="Arial"/>
          <w:color w:val="000000"/>
          <w:sz w:val="18"/>
        </w:rPr>
        <w:t>reviews of the other two patents.</w:t>
      </w:r>
    </w:p>
    <w:p>
      <w:pPr>
        <w:pStyle w:val="TextBody"/>
        <w:bidi w:val="0"/>
        <w:spacing w:before="200" w:after="283"/>
        <w:jc w:val="both"/>
        <w:rPr>
          <w:rFonts w:ascii="Arial" w:hAnsi="Arial"/>
          <w:color w:val="000000"/>
          <w:sz w:val="18"/>
        </w:rPr>
      </w:pPr>
      <w:r>
        <w:rPr>
          <w:rFonts w:ascii="Arial" w:hAnsi="Arial"/>
          <w:color w:val="000000"/>
          <w:sz w:val="18"/>
        </w:rPr>
        <w:t>On June 26, 2023, the Company filed a second complaint in the District Court against Foresight for infringement of three of the Company's U.S. patents. The second suit brings the total number of patents that the Company alleges Foresight has infringed to seven. These patents also relate to the Company's intellectual property portfolio relating to detection of MRD. The Company is seeking remedies including injunctive relief, damages and costs. In September 2023, Foresight filed counterclaims in the matter, seeking declaratory judgment and alleging that its solid tumor recurrence test does not infringe the Company’s asserted patents in the Company’s second patent infringement action and that the Company’s asserted patents are invalid and/or unenforceable. The Company filed its answer to Foresight’s counterclaims in October 2023. The Company intends to vigorously defend against these counterclaims.</w:t>
      </w:r>
    </w:p>
    <w:p>
      <w:pPr>
        <w:pStyle w:val="TextBody"/>
        <w:bidi w:val="0"/>
        <w:spacing w:before="200" w:after="283"/>
        <w:jc w:val="both"/>
        <w:rPr>
          <w:rFonts w:ascii="Times New Roman" w:hAnsi="Times New Roman"/>
          <w:sz w:val="20"/>
        </w:rPr>
      </w:pPr>
      <w:r>
        <w:rPr>
          <w:rFonts w:ascii="Arial" w:hAnsi="Arial"/>
          <w:color w:val="000000"/>
          <w:sz w:val="18"/>
        </w:rPr>
        <w:t xml:space="preserve">In October 2023, Foresight filed a motion to consolidate and stay the Company’s two patent infringement actions in the District Court. In November 2023, the Company filed its opposition to Foresight’s motion to consolidate and stay the infringement actions. Also in November 2023, Foresight filed its fifth </w:t>
      </w:r>
      <w:r>
        <w:rPr>
          <w:rFonts w:ascii="Arial" w:hAnsi="Arial"/>
          <w:i/>
          <w:color w:val="000000"/>
          <w:sz w:val="18"/>
        </w:rPr>
        <w:t xml:space="preserve">inter partes </w:t>
      </w:r>
      <w:r>
        <w:rPr>
          <w:rFonts w:ascii="Arial" w:hAnsi="Arial"/>
          <w:color w:val="000000"/>
          <w:sz w:val="18"/>
        </w:rPr>
        <w:t xml:space="preserve">review petition with the USPTO, seeking to invalidate one of the patents involved in the second patent infringement action. In January 2024, the District Court granted Foresight’s motion to consolidate and stay the two infringement actions against Foresight. The USPTO has yet to issue a decision regarding whether it will institute an </w:t>
      </w:r>
      <w:r>
        <w:rPr>
          <w:rFonts w:ascii="Arial" w:hAnsi="Arial"/>
          <w:i/>
          <w:color w:val="000000"/>
          <w:sz w:val="18"/>
        </w:rPr>
        <w:t>inter partes</w:t>
      </w:r>
      <w:r>
        <w:rPr>
          <w:rFonts w:ascii="Times New Roman" w:hAnsi="Times New Roman"/>
          <w:color w:val="000000"/>
          <w:sz w:val="20"/>
        </w:rPr>
        <w:t xml:space="preserve"> </w:t>
      </w:r>
      <w:r>
        <w:rPr>
          <w:rFonts w:ascii="Arial" w:hAnsi="Arial"/>
          <w:color w:val="000000"/>
          <w:sz w:val="18"/>
        </w:rPr>
        <w:t>review of the fifth patent.</w:t>
      </w:r>
    </w:p>
    <w:p>
      <w:pPr>
        <w:pStyle w:val="TextBody"/>
        <w:bidi w:val="0"/>
        <w:spacing w:before="200" w:after="283"/>
        <w:jc w:val="both"/>
        <w:rPr>
          <w:rFonts w:ascii="Arial" w:hAnsi="Arial"/>
          <w:color w:val="000000"/>
          <w:sz w:val="18"/>
        </w:rPr>
      </w:pPr>
      <w:r>
        <w:rPr>
          <w:rFonts w:ascii="Arial" w:hAnsi="Arial"/>
          <w:color w:val="000000"/>
          <w:sz w:val="18"/>
        </w:rPr>
        <w:t>Except for events that have already occurred, it is too early in the foregoing proceedings to predict the outcome of these proceedings, or any impact they may have on the Company. As such, the estimated financial effect associated with these proceedings cannot be made as of the date of filing of this Quarterly Report on Form 10-Q. This litigation is a significant ongoing expense with an uncertain outcome. Management believes this investment is important to protect the Company's intellectual property position, even recognizing the uncertainty of the outcome.</w:t>
      </w:r>
    </w:p>
    <w:p>
      <w:pPr>
        <w:pStyle w:val="TextBody"/>
        <w:bidi w:val="0"/>
        <w:spacing w:before="200" w:after="283"/>
        <w:jc w:val="both"/>
        <w:rPr>
          <w:rFonts w:ascii="Arial" w:hAnsi="Arial"/>
          <w:color w:val="000000"/>
          <w:sz w:val="18"/>
        </w:rPr>
      </w:pPr>
      <w:r>
        <w:rPr>
          <w:rFonts w:ascii="Arial" w:hAnsi="Arial"/>
          <w:color w:val="000000"/>
          <w:sz w:val="18"/>
        </w:rPr>
        <w:t>Apart from the matter described above, the Company is subject to various legal proceedings and claims that have arisen in the ordinary course of business and that have not been fully resolved. The outcome of litigation is inherently uncertain. In the opinion of management, there was not at least a reasonable possibility the Company may have incurred a material loss concerning loss contingencies for asserted legal and other claims.</w:t>
      </w:r>
    </w:p>
    <w:p>
      <w:pPr>
        <w:pStyle w:val="TextBody"/>
        <w:bidi w:val="0"/>
        <w:spacing w:before="240" w:after="283"/>
        <w:jc w:val="center"/>
        <w:rPr>
          <w:rFonts w:ascii="Arial" w:hAnsi="Arial"/>
          <w:color w:val="000000"/>
          <w:sz w:val="18"/>
        </w:rPr>
      </w:pPr>
      <w:r>
        <w:rPr>
          <w:rFonts w:ascii="Arial" w:hAnsi="Arial"/>
          <w:color w:val="000000"/>
          <w:sz w:val="18"/>
        </w:rPr>
        <w:t>19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bookmarkStart w:id="24" w:name="note_12_basic_and_diluted_net_loss_per"/>
      <w:bookmarkEnd w:id="24"/>
      <w:r>
        <w:rPr>
          <w:rFonts w:ascii="Arial" w:hAnsi="Arial"/>
          <w:b/>
          <w:color w:val="000000"/>
          <w:sz w:val="18"/>
        </w:rPr>
        <w:t>Note 12. Basic and Diluted Net Loss Per Common Share</w:t>
      </w:r>
    </w:p>
    <w:p>
      <w:pPr>
        <w:pStyle w:val="TextBody"/>
        <w:bidi w:val="0"/>
        <w:spacing w:before="200" w:after="283"/>
        <w:jc w:val="both"/>
        <w:rPr>
          <w:rFonts w:ascii="Arial" w:hAnsi="Arial"/>
          <w:color w:val="000000"/>
          <w:sz w:val="18"/>
        </w:rPr>
      </w:pPr>
      <w:r>
        <w:rPr>
          <w:rFonts w:ascii="Arial" w:hAnsi="Arial"/>
          <w:color w:val="000000"/>
          <w:sz w:val="18"/>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stock options, assumed release of outstanding RSUs, assumed issuance of common stock under the ESPP, and the assumed exercise of Tempus Warrants. The Company incurred net losses in the periods presented, and as a result, potential common shares from stock options, RSUs, ESPP issuances, and the Tempus Warrants were not included in the diluted shares used to calculate net loss per share, as their inclusion would have been anti-dilutive.</w:t>
      </w:r>
    </w:p>
    <w:p>
      <w:pPr>
        <w:pStyle w:val="TextBody"/>
        <w:bidi w:val="0"/>
        <w:spacing w:before="200" w:after="200"/>
        <w:jc w:val="both"/>
        <w:rPr>
          <w:rFonts w:ascii="Arial" w:hAnsi="Arial"/>
          <w:color w:val="000000"/>
          <w:sz w:val="18"/>
        </w:rPr>
      </w:pPr>
      <w:r>
        <w:rPr>
          <w:rFonts w:ascii="Arial" w:hAnsi="Arial"/>
          <w:color w:val="000000"/>
          <w:sz w:val="18"/>
        </w:rPr>
        <w:t>The following table sets forth the computation of basic and diluted net loss per share attributable to common stockholders (in thousands, except share and per share amounts):</w:t>
      </w:r>
    </w:p>
    <w:tbl>
      <w:tblPr>
        <w:tblW w:w="9129" w:type="dxa"/>
        <w:jc w:val="left"/>
        <w:tblInd w:w="0" w:type="dxa"/>
        <w:tblLayout w:type="fixed"/>
        <w:tblCellMar>
          <w:top w:w="28" w:type="dxa"/>
          <w:left w:w="28" w:type="dxa"/>
          <w:bottom w:w="28" w:type="dxa"/>
          <w:right w:w="28" w:type="dxa"/>
        </w:tblCellMar>
      </w:tblPr>
      <w:tblGrid>
        <w:gridCol w:w="5766"/>
        <w:gridCol w:w="146"/>
        <w:gridCol w:w="211"/>
        <w:gridCol w:w="1036"/>
        <w:gridCol w:w="166"/>
        <w:gridCol w:w="146"/>
        <w:gridCol w:w="211"/>
        <w:gridCol w:w="1036"/>
        <w:gridCol w:w="411"/>
      </w:tblGrid>
      <w:tr>
        <w:trPr/>
        <w:tc>
          <w:tcPr>
            <w:tcW w:w="5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(12,968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(28,659</w:t>
            </w:r>
          </w:p>
        </w:tc>
        <w:tc>
          <w:tcPr>
            <w:tcW w:w="411" w:type="dxa"/>
            <w:tcBorders/>
            <w:shd w:fill="CFF0FC"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76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Weighted-average common shares outstanding—basic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50,678,586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46,740,270</w:t>
            </w:r>
          </w:p>
        </w:tc>
        <w:tc>
          <w:tcPr>
            <w:tcW w:w="411" w:type="dxa"/>
            <w:tcBorders/>
            <w:shd w:fill="FFFFFF" w:val="clear"/>
            <w:vAlign w:val="center"/>
          </w:tcPr>
          <w:p>
            <w:pPr>
              <w:pStyle w:val="TableContents"/>
              <w:bidi w:val="0"/>
              <w:spacing w:before="0" w:after="283"/>
              <w:jc w:val="left"/>
              <w:rPr/>
            </w:pPr>
            <w:r>
              <w:rPr/>
              <w:t> </w:t>
            </w:r>
          </w:p>
        </w:tc>
      </w:tr>
      <w:tr>
        <w:trPr/>
        <w:tc>
          <w:tcPr>
            <w:tcW w:w="57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common share—basic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200" w:after="200"/>
        <w:jc w:val="both"/>
        <w:rPr>
          <w:rFonts w:ascii="Arial" w:hAnsi="Arial"/>
          <w:color w:val="000000"/>
          <w:sz w:val="18"/>
        </w:rPr>
      </w:pPr>
      <w:r>
        <w:rPr>
          <w:rFonts w:ascii="Arial" w:hAnsi="Arial"/>
          <w:color w:val="000000"/>
          <w:sz w:val="18"/>
        </w:rPr>
        <w:t>The following table sets forth the potentially dilutive shares excluded from the computation of diluted net loss per common share because their effect was anti-dilutive:</w:t>
      </w:r>
    </w:p>
    <w:tbl>
      <w:tblPr>
        <w:tblW w:w="6164" w:type="dxa"/>
        <w:jc w:val="left"/>
        <w:tblInd w:w="0" w:type="dxa"/>
        <w:tblLayout w:type="fixed"/>
        <w:tblCellMar>
          <w:top w:w="28" w:type="dxa"/>
          <w:left w:w="28" w:type="dxa"/>
          <w:bottom w:w="28" w:type="dxa"/>
          <w:right w:w="28" w:type="dxa"/>
        </w:tblCellMar>
      </w:tblPr>
      <w:tblGrid>
        <w:gridCol w:w="2971"/>
        <w:gridCol w:w="146"/>
        <w:gridCol w:w="146"/>
        <w:gridCol w:w="1036"/>
        <w:gridCol w:w="146"/>
        <w:gridCol w:w="146"/>
        <w:gridCol w:w="146"/>
        <w:gridCol w:w="1036"/>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Tempus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9,218,800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Options to purchase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8,213,682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7,774,911</w:t>
            </w:r>
          </w:p>
        </w:tc>
        <w:tc>
          <w:tcPr>
            <w:tcW w:w="391" w:type="dxa"/>
            <w:tcBorders/>
            <w:shd w:fill="FFFFFF" w:val="clear"/>
            <w:vAlign w:val="center"/>
          </w:tcPr>
          <w:p>
            <w:pPr>
              <w:pStyle w:val="TableContents"/>
              <w:bidi w:val="0"/>
              <w:spacing w:before="0" w:after="283"/>
              <w:jc w:val="left"/>
              <w:rPr/>
            </w:pPr>
            <w:r>
              <w:rPr/>
              <w:t> </w:t>
            </w:r>
          </w:p>
        </w:tc>
      </w:tr>
      <w:tr>
        <w:trPr/>
        <w:tc>
          <w:tcPr>
            <w:tcW w:w="29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Unvested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1,047,511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2,197,008</w:t>
            </w:r>
          </w:p>
        </w:tc>
        <w:tc>
          <w:tcPr>
            <w:tcW w:w="391" w:type="dxa"/>
            <w:tcBorders/>
            <w:shd w:fill="CFF0FC" w:val="clear"/>
            <w:vAlign w:val="center"/>
          </w:tcPr>
          <w:p>
            <w:pPr>
              <w:pStyle w:val="TableContents"/>
              <w:bidi w:val="0"/>
              <w:spacing w:before="0" w:after="283"/>
              <w:jc w:val="left"/>
              <w:rPr/>
            </w:pPr>
            <w:r>
              <w:rPr/>
              <w:t> </w:t>
            </w:r>
          </w:p>
        </w:tc>
      </w:tr>
      <w:tr>
        <w:trPr/>
        <w:tc>
          <w:tcPr>
            <w:tcW w:w="297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ESPP</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408,543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453,380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18,888,536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10,425,299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8"/>
        </w:rPr>
      </w:pPr>
      <w:r>
        <w:rPr>
          <w:rFonts w:ascii="Arial" w:hAnsi="Arial"/>
          <w:color w:val="000000"/>
          <w:sz w:val="18"/>
        </w:rPr>
        <w:t>20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25" w:name="item_2_managements_discussion_analysis_f"/>
      <w:bookmarkEnd w:id="25"/>
      <w:r>
        <w:rPr>
          <w:rFonts w:ascii="Arial" w:hAnsi="Arial"/>
          <w:b/>
          <w:color w:val="000000"/>
          <w:sz w:val="18"/>
        </w:rPr>
        <w:t>Item 2. Management’s Discussion and Analysis</w:t>
      </w:r>
      <w:r>
        <w:rPr>
          <w:rFonts w:ascii="Times New Roman" w:hAnsi="Times New Roman"/>
          <w:color w:val="000000"/>
          <w:sz w:val="20"/>
        </w:rPr>
        <w:t xml:space="preserve"> </w:t>
      </w:r>
      <w:r>
        <w:rPr>
          <w:rFonts w:ascii="Arial" w:hAnsi="Arial"/>
          <w:b/>
          <w:color w:val="000000"/>
          <w:sz w:val="18"/>
        </w:rPr>
        <w:t>of Financial Condition and Results of Operations.</w:t>
      </w:r>
    </w:p>
    <w:p>
      <w:pPr>
        <w:pStyle w:val="TextBody"/>
        <w:bidi w:val="0"/>
        <w:spacing w:before="200" w:after="283"/>
        <w:jc w:val="both"/>
        <w:rPr>
          <w:rFonts w:ascii="Arial" w:hAnsi="Arial"/>
          <w:i/>
          <w:color w:val="000000"/>
          <w:sz w:val="18"/>
        </w:rPr>
      </w:pPr>
      <w:r>
        <w:rPr>
          <w:rFonts w:ascii="Arial" w:hAnsi="Arial"/>
          <w:i/>
          <w:color w:val="000000"/>
          <w:sz w:val="18"/>
        </w:rPr>
        <w:t>The following discussion and analysis of our financial condition and results of operations should be read in conjunction with our unaudited condensed consolidated financial statements and the related notes and other financial information included elsewhere in this Quarterly Report on Form 10-Q and our Annual Report on Form 10-K for the fiscal year ended December 31, 2023 filed with the Securities and Exchange Commission (the “SEC”) on February 28, 2024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pStyle w:val="TextBody"/>
        <w:bidi w:val="0"/>
        <w:spacing w:before="200" w:after="283"/>
        <w:jc w:val="both"/>
        <w:rPr>
          <w:rFonts w:ascii="Arial" w:hAnsi="Arial"/>
          <w:b/>
          <w:color w:val="000000"/>
          <w:sz w:val="18"/>
        </w:rPr>
      </w:pPr>
      <w:r>
        <w:rPr>
          <w:rFonts w:ascii="Arial" w:hAnsi="Arial"/>
          <w:b/>
          <w:color w:val="000000"/>
          <w:sz w:val="18"/>
        </w:rPr>
        <w:t>Overview</w:t>
      </w:r>
    </w:p>
    <w:p>
      <w:pPr>
        <w:pStyle w:val="TextBody"/>
        <w:bidi w:val="0"/>
        <w:spacing w:before="200" w:after="283"/>
        <w:jc w:val="both"/>
        <w:rPr>
          <w:rFonts w:ascii="Arial" w:hAnsi="Arial"/>
          <w:color w:val="000000"/>
          <w:sz w:val="18"/>
        </w:rPr>
      </w:pPr>
      <w:r>
        <w:rPr>
          <w:rFonts w:ascii="Arial" w:hAnsi="Arial"/>
          <w:color w:val="000000"/>
          <w:sz w:val="18"/>
        </w:rPr>
        <w:t>We develop and market advanced cancer genomic tests and analytics. Our tests and analytics are used by pharmaceutical companies for translational research, biomarker discovery, the development of personalized cancer therapies, and, we expect in the near future, for clinical trial enrollment. Our advanced tests are used by physicians to detect cancer recurrence, monitor cancer evolution, and uncover insights for therapy selection. We also provide sequencing and data analysis services to support population sequencing initiatives.</w:t>
      </w:r>
    </w:p>
    <w:p>
      <w:pPr>
        <w:pStyle w:val="TextBody"/>
        <w:bidi w:val="0"/>
        <w:spacing w:before="200" w:after="283"/>
        <w:jc w:val="both"/>
        <w:rPr>
          <w:rFonts w:ascii="Arial" w:hAnsi="Arial"/>
          <w:color w:val="000000"/>
          <w:sz w:val="18"/>
        </w:rPr>
      </w:pPr>
      <w:r>
        <w:rPr>
          <w:rFonts w:ascii="Arial" w:hAnsi="Arial"/>
          <w:color w:val="000000"/>
          <w:sz w:val="18"/>
        </w:rPr>
        <w:t>Today, our products are routinely used by many of the largest oncology-focused pharmaceutical companies for analysis of patient samples in their clinical trials and drug development programs. Our advanced genomic sequencing and analytics also support the development of personalized cancer vaccines and other next-generation cancer immunotherapies. For example, we are providing genomic testing to Moderna, Inc. ("Moderna") in its ongoing clinical trials evaluating a personalized cancer vaccine. In addition, we partner with diagnostics companies by providing our advanced tumor profiling and analysis capabilities as an input to their products. More recently, we launched new diagnostic offerings for the clinical setting and, in November 2023, entered into an agreement with Tempus AI, Inc. (formerly known as Tempus Labs, Inc., and referred to herein as "Tempus") to commercialize NeXT Personal Dx in the clinical diagnostics market. We have also pursued non-cancer related business opportunities, specifically within the population sequencing market, by providing whole genome sequencing ("WGS") services under contract with the U.S. Department of Veterans Affairs Million Veteran Program ("VA MVP").</w:t>
      </w:r>
    </w:p>
    <w:p>
      <w:pPr>
        <w:pStyle w:val="TextBody"/>
        <w:bidi w:val="0"/>
        <w:spacing w:before="200" w:after="283"/>
        <w:jc w:val="both"/>
        <w:rPr>
          <w:rFonts w:ascii="Arial" w:hAnsi="Arial"/>
          <w:color w:val="000000"/>
          <w:sz w:val="18"/>
        </w:rPr>
      </w:pPr>
      <w:r>
        <w:rPr>
          <w:rFonts w:ascii="Arial" w:hAnsi="Arial"/>
          <w:color w:val="000000"/>
          <w:sz w:val="18"/>
        </w:rPr>
        <w:t>We are working with a growing number of leading cancer centers and world-class academic research institutions to build and publish the clinical evidence-base to support our products and our key indications, as well as to obtain reimbursement coverage from Medicare and other payors. Because of the ultra-high analytical sensitivity of our technology, we are initially focusing on three indications: breast cancer, lung cancer, and immunotherapy (IO) monitoring. We have collaborations with Cancer Research UK, University College London, and the Francis Crick Institute (the TRACERx study); The Royal Marsden; the Vall d'Hebron Institute of Oncology (VHIO); Duke University; the Dana-Farber Cancer Institute; University Medical Center Hamburg-Eppendorf (also known as UKE); and Criterium and the Academic Breast Cancer Consortium that will focus on building the evidence-base for our technology and these indications. If the key opinion leaders ("KOLs") we are collaborating with have a positive experience using our products, we are optimistic this will support broader use of our products by other KOLs, as well as clinicians in the future.</w:t>
      </w:r>
    </w:p>
    <w:p>
      <w:pPr>
        <w:pStyle w:val="TextBody"/>
        <w:bidi w:val="0"/>
        <w:spacing w:before="200" w:after="283"/>
        <w:jc w:val="both"/>
        <w:rPr>
          <w:rFonts w:ascii="Times New Roman" w:hAnsi="Times New Roman"/>
          <w:sz w:val="20"/>
        </w:rPr>
      </w:pPr>
      <w:r>
        <w:rPr>
          <w:rFonts w:ascii="Arial" w:hAnsi="Arial"/>
          <w:color w:val="000000"/>
          <w:sz w:val="18"/>
        </w:rPr>
        <w:t>Our work in oncology is underpinned by our experience and capacity for next-generation sequencing at scale. We have the capacity to sequence and analyze over 300 trillion bases of DNA per week in our facility. We believe that our capacity is already larger than most cancer genomics companies, and we continue to build automation and other infrastructure to scale further as demand increases. To date, we have sequenced more than 415,000 human samples, of which more than 179,000 were whole human genomes</w:t>
      </w:r>
      <w:r>
        <w:rPr>
          <w:rFonts w:ascii="Times New Roman" w:hAnsi="Times New Roman"/>
          <w:color w:val="000000"/>
          <w:sz w:val="18"/>
        </w:rPr>
        <w:t>.</w:t>
      </w:r>
    </w:p>
    <w:p>
      <w:pPr>
        <w:pStyle w:val="TextBody"/>
        <w:bidi w:val="0"/>
        <w:spacing w:before="200" w:after="283"/>
        <w:jc w:val="both"/>
        <w:rPr>
          <w:rFonts w:ascii="Arial" w:hAnsi="Arial"/>
          <w:b/>
          <w:color w:val="000000"/>
          <w:sz w:val="18"/>
        </w:rPr>
      </w:pPr>
      <w:r>
        <w:rPr>
          <w:rFonts w:ascii="Arial" w:hAnsi="Arial"/>
          <w:b/>
          <w:color w:val="000000"/>
          <w:sz w:val="18"/>
        </w:rPr>
        <w:t>First Quarter 2024 Highlights</w:t>
      </w:r>
    </w:p>
    <w:p>
      <w:pPr>
        <w:pStyle w:val="TextBody"/>
        <w:bidi w:val="0"/>
        <w:spacing w:before="200" w:after="283"/>
        <w:jc w:val="both"/>
        <w:rPr>
          <w:rFonts w:ascii="Arial" w:hAnsi="Arial"/>
          <w:color w:val="000000"/>
          <w:sz w:val="18"/>
        </w:rPr>
      </w:pPr>
      <w:r>
        <w:rPr>
          <w:rFonts w:ascii="Arial" w:hAnsi="Arial"/>
          <w:color w:val="000000"/>
          <w:sz w:val="18"/>
        </w:rPr>
        <w:t>Total revenue increased 4%, or $0.7 million, during the first quarter of 2024 compared to the first quarter of 2023, driven by higher revenue from pharma tests. Revenue from pharma tests was $9.8 million in the first quarter of 2024 compared to $6.3 million in the first quarter of 2023, an increase of 55%. This increase was partially offset by decreases in enterprise sales and population sequencing.</w:t>
      </w:r>
    </w:p>
    <w:p>
      <w:pPr>
        <w:pStyle w:val="TextBody"/>
        <w:bidi w:val="0"/>
        <w:spacing w:before="200" w:after="283"/>
        <w:jc w:val="both"/>
        <w:rPr>
          <w:rFonts w:ascii="Arial" w:hAnsi="Arial"/>
          <w:color w:val="000000"/>
          <w:sz w:val="18"/>
        </w:rPr>
      </w:pPr>
      <w:r>
        <w:rPr>
          <w:rFonts w:ascii="Arial" w:hAnsi="Arial"/>
          <w:color w:val="000000"/>
          <w:sz w:val="18"/>
        </w:rPr>
        <w:t>Key business accomplishments and financial updates in the first quarter of 2024 include: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Received Medicare coverage for NeXT Dx, our comprehensive tumor profiling test and we are currently seeking Medicare coverage for our separate liquid biopsy molecular residual disease ("MRD") test, Next Personal Dx.</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Announced a new publication validating our NeXT Personal test, an ultra-sensitive, tumor-informed circulating tumor DNA (ctDNA) assay for detecting MRD, monitoring therapy response, and detecting recurrence in patients diagnosed with solid tumor cancers.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color w:val="000000"/>
          <w:sz w:val="18"/>
        </w:rPr>
        <w:t xml:space="preserve">The analytical validation study was published in </w:t>
      </w:r>
      <w:r>
        <w:rPr>
          <w:rFonts w:ascii="Arial" w:hAnsi="Arial"/>
          <w:i/>
          <w:color w:val="000000"/>
          <w:sz w:val="18"/>
        </w:rPr>
        <w:t>Oncotarget</w:t>
      </w:r>
      <w:r>
        <w:rPr>
          <w:color w:val="000000"/>
        </w:rPr>
        <w:t xml:space="preserve"> </w:t>
      </w:r>
      <w:r>
        <w:rPr>
          <w:rFonts w:ascii="Arial" w:hAnsi="Arial"/>
          <w:color w:val="000000"/>
          <w:sz w:val="18"/>
        </w:rPr>
        <w:t>on March 14, 2024.</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test demonstrated a detection threshold of 1.67 parts per million (PPM) of ctDNA with 100% analytical specificity; enabling an ultra-sensitive range leading to early cancer detection.</w:t>
      </w:r>
    </w:p>
    <w:p>
      <w:pPr>
        <w:pStyle w:val="TextBody"/>
        <w:bidi w:val="0"/>
        <w:spacing w:before="240" w:after="283"/>
        <w:jc w:val="center"/>
        <w:rPr>
          <w:rFonts w:ascii="Arial" w:hAnsi="Arial"/>
          <w:color w:val="000000"/>
          <w:sz w:val="18"/>
        </w:rPr>
      </w:pPr>
      <w:r>
        <w:rPr>
          <w:rFonts w:ascii="Arial" w:hAnsi="Arial"/>
          <w:color w:val="000000"/>
          <w:sz w:val="18"/>
        </w:rPr>
        <w:t>21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r>
        <w:rPr>
          <w:rFonts w:ascii="Arial" w:hAnsi="Arial"/>
          <w:b/>
          <w:color w:val="000000"/>
          <w:sz w:val="18"/>
        </w:rPr>
        <w:t>Components of Operating Results</w:t>
      </w:r>
    </w:p>
    <w:p>
      <w:pPr>
        <w:pStyle w:val="TextBody"/>
        <w:bidi w:val="0"/>
        <w:spacing w:before="200" w:after="283"/>
        <w:jc w:val="both"/>
        <w:rPr>
          <w:rFonts w:ascii="Arial" w:hAnsi="Arial"/>
          <w:b/>
          <w:i/>
          <w:color w:val="000000"/>
          <w:sz w:val="18"/>
        </w:rPr>
      </w:pPr>
      <w:r>
        <w:rPr>
          <w:rFonts w:ascii="Arial" w:hAnsi="Arial"/>
          <w:b/>
          <w:i/>
          <w:color w:val="000000"/>
          <w:sz w:val="18"/>
        </w:rPr>
        <w:t>Revenue</w:t>
      </w:r>
    </w:p>
    <w:p>
      <w:pPr>
        <w:pStyle w:val="TextBody"/>
        <w:bidi w:val="0"/>
        <w:spacing w:before="200" w:after="283"/>
        <w:jc w:val="both"/>
        <w:rPr>
          <w:rFonts w:ascii="Arial" w:hAnsi="Arial"/>
          <w:color w:val="000000"/>
          <w:sz w:val="18"/>
        </w:rPr>
      </w:pPr>
      <w:r>
        <w:rPr>
          <w:rFonts w:ascii="Arial" w:hAnsi="Arial"/>
          <w:color w:val="000000"/>
          <w:sz w:val="18"/>
        </w:rPr>
        <w:t>We derive our revenue primarily from sales of advanced sequencing and analytics to the following four groups of customers: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Pharma tests and services</w:t>
      </w:r>
      <w:r>
        <w:rPr>
          <w:color w:val="000000"/>
        </w:rPr>
        <w:t xml:space="preserve"> </w:t>
      </w:r>
      <w:r>
        <w:rPr>
          <w:rFonts w:ascii="Arial" w:hAnsi="Arial"/>
          <w:color w:val="000000"/>
          <w:sz w:val="18"/>
        </w:rPr>
        <w:t>includes sales of testing services and data analytics for clinical trials and research to pharmaceutical companies in support of their drug development programs.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Enterprise sales</w:t>
      </w:r>
      <w:r>
        <w:rPr>
          <w:color w:val="000000"/>
        </w:rPr>
        <w:t xml:space="preserve"> </w:t>
      </w:r>
      <w:r>
        <w:rPr>
          <w:rFonts w:ascii="Arial" w:hAnsi="Arial"/>
          <w:color w:val="000000"/>
          <w:sz w:val="18"/>
        </w:rPr>
        <w:t>includes sales of tumor profiling and diagnostic tests directly to other businesses as an input to their products. Revenue from our partnership with Natera to provide advanced tumor analysis for use in Natera's MRD test currently makes up substantially all of the revenue in this category.</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Population sequencing</w:t>
      </w:r>
      <w:r>
        <w:rPr>
          <w:color w:val="000000"/>
        </w:rPr>
        <w:t xml:space="preserve"> </w:t>
      </w:r>
      <w:r>
        <w:rPr>
          <w:rFonts w:ascii="Arial" w:hAnsi="Arial"/>
          <w:color w:val="000000"/>
          <w:sz w:val="18"/>
        </w:rPr>
        <w:t>includes sales of genomic sequencing services and data analytics to support large-scale genetic research programs. All of the revenue in this category is from our partnership with the VA MVP.</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Arial" w:hAnsi="Arial"/>
          <w:b/>
          <w:color w:val="000000"/>
          <w:sz w:val="18"/>
        </w:rPr>
        <w:t>Other</w:t>
      </w:r>
      <w:r>
        <w:rPr>
          <w:color w:val="000000"/>
        </w:rPr>
        <w:t xml:space="preserve"> </w:t>
      </w:r>
      <w:r>
        <w:rPr>
          <w:rFonts w:ascii="Arial" w:hAnsi="Arial"/>
          <w:color w:val="000000"/>
          <w:sz w:val="18"/>
        </w:rPr>
        <w:t>includes sales of genomic tests and analytics to universities and non-profits. This category also includes sales of diagnostics tests ordered by healthcare providers for cancer patients.</w:t>
      </w:r>
    </w:p>
    <w:p>
      <w:pPr>
        <w:pStyle w:val="TextBody"/>
        <w:bidi w:val="0"/>
        <w:spacing w:before="200" w:after="283"/>
        <w:jc w:val="both"/>
        <w:rPr>
          <w:rFonts w:ascii="Arial" w:hAnsi="Arial"/>
          <w:color w:val="000000"/>
          <w:sz w:val="18"/>
        </w:rPr>
      </w:pPr>
      <w:r>
        <w:rPr>
          <w:rFonts w:ascii="Arial" w:hAnsi="Arial"/>
          <w:color w:val="000000"/>
          <w:sz w:val="18"/>
        </w:rPr>
        <w:t>Our ability to increase revenue will depend on our ability to further increase sales to these groups of customers, expand our customer base within each group, and expand our business in the clinical diagnostics market. To do this, we are developing a growing set of state-of-the-art services and products; advancing our operational infrastructure; building our regulatory credentials; focusing our marketing efforts on large pharmaceutical companies; developing and publishing the clinical evidence-base to support our products and our key indications, as well as working to obtain reimbursement coverage from Medicare and other payors; and seeking additional partnerships such as ours with Natera. We sell through a small direct sales force. In late 2023, we entered into an agreement with Tempus to commercialize NeXT Personal Dx in the clinical diagnostics market and will be leveraging Tempus' significantly larger sales force.</w:t>
      </w:r>
    </w:p>
    <w:p>
      <w:pPr>
        <w:pStyle w:val="TextBody"/>
        <w:bidi w:val="0"/>
        <w:spacing w:before="200" w:after="283"/>
        <w:jc w:val="both"/>
        <w:rPr>
          <w:rFonts w:ascii="Arial" w:hAnsi="Arial"/>
          <w:color w:val="000000"/>
          <w:sz w:val="18"/>
        </w:rPr>
      </w:pPr>
      <w:r>
        <w:rPr>
          <w:rFonts w:ascii="Arial" w:hAnsi="Arial"/>
          <w:color w:val="000000"/>
          <w:sz w:val="18"/>
        </w:rPr>
        <w:t>We have one reportable segment from the sale of sequencing and data analysis services. Most of our revenue to date has been derived from sales in the United States.</w:t>
      </w:r>
    </w:p>
    <w:p>
      <w:pPr>
        <w:pStyle w:val="TextBody"/>
        <w:bidi w:val="0"/>
        <w:spacing w:before="200" w:after="283"/>
        <w:jc w:val="both"/>
        <w:rPr>
          <w:rFonts w:ascii="Arial" w:hAnsi="Arial"/>
          <w:b/>
          <w:i/>
          <w:color w:val="000000"/>
          <w:sz w:val="18"/>
        </w:rPr>
      </w:pPr>
      <w:r>
        <w:rPr>
          <w:rFonts w:ascii="Arial" w:hAnsi="Arial"/>
          <w:b/>
          <w:i/>
          <w:color w:val="000000"/>
          <w:sz w:val="18"/>
        </w:rPr>
        <w:t>Costs and Expenses</w:t>
      </w:r>
    </w:p>
    <w:p>
      <w:pPr>
        <w:pStyle w:val="TextBody"/>
        <w:bidi w:val="0"/>
        <w:spacing w:before="200" w:after="283"/>
        <w:jc w:val="both"/>
        <w:rPr>
          <w:rFonts w:ascii="Arial" w:hAnsi="Arial"/>
          <w:i/>
          <w:color w:val="000000"/>
          <w:sz w:val="18"/>
        </w:rPr>
      </w:pPr>
      <w:r>
        <w:rPr>
          <w:rFonts w:ascii="Arial" w:hAnsi="Arial"/>
          <w:i/>
          <w:color w:val="000000"/>
          <w:sz w:val="18"/>
        </w:rPr>
        <w:t>Cost of Revenue</w:t>
      </w:r>
    </w:p>
    <w:p>
      <w:pPr>
        <w:pStyle w:val="TextBody"/>
        <w:bidi w:val="0"/>
        <w:spacing w:before="200" w:after="283"/>
        <w:jc w:val="both"/>
        <w:rPr>
          <w:rFonts w:ascii="Arial" w:hAnsi="Arial"/>
          <w:color w:val="000000"/>
          <w:sz w:val="18"/>
        </w:rPr>
      </w:pPr>
      <w:r>
        <w:rPr>
          <w:rFonts w:ascii="Arial" w:hAnsi="Arial"/>
          <w:color w:val="000000"/>
          <w:sz w:val="18"/>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variability in our gross margins over the medium-term due to fluctuations in customer mix and volume, investments in newer sequencing platforms and new capabilities such as automation of laboratory workflows, processing of diagnostic tests for the clinical market while we work to secure reimbursement, and costs related to our new Fremont facility. Over the long-term, we anticipate higher gross margins as growing revenue leads to economies of scale.</w:t>
      </w:r>
    </w:p>
    <w:p>
      <w:pPr>
        <w:pStyle w:val="TextBody"/>
        <w:bidi w:val="0"/>
        <w:spacing w:before="200" w:after="283"/>
        <w:jc w:val="both"/>
        <w:rPr>
          <w:rFonts w:ascii="Arial" w:hAnsi="Arial"/>
          <w:i/>
          <w:color w:val="000000"/>
          <w:sz w:val="18"/>
        </w:rPr>
      </w:pPr>
      <w:r>
        <w:rPr>
          <w:rFonts w:ascii="Arial" w:hAnsi="Arial"/>
          <w:i/>
          <w:color w:val="000000"/>
          <w:sz w:val="18"/>
        </w:rPr>
        <w:t>Research and Development Expenses</w:t>
      </w:r>
    </w:p>
    <w:p>
      <w:pPr>
        <w:pStyle w:val="TextBody"/>
        <w:bidi w:val="0"/>
        <w:spacing w:before="200" w:after="283"/>
        <w:jc w:val="both"/>
        <w:rPr>
          <w:rFonts w:ascii="Arial" w:hAnsi="Arial"/>
          <w:color w:val="000000"/>
          <w:sz w:val="18"/>
        </w:rPr>
      </w:pPr>
      <w:r>
        <w:rPr>
          <w:rFonts w:ascii="Arial" w:hAnsi="Arial"/>
          <w:color w:val="000000"/>
          <w:sz w:val="18"/>
        </w:rPr>
        <w:t>Research and development expenses consist of costs incurred for the research and development of our services and products and costs related to conducting studies and collaborations with partners to validate the clinical utility of our offerings. The expenses primarily consist of personnel costs (salaries, bonuses, stock-based compensation, payroll taxes, and benefits); laboratory supplies and consumables; costs of processing samples for research, product development, collaborations and studies; depreciation and maintenance on equipment; and allocated facilities and IT costs. We include in research and development expenses the costs to further develop software we use to operate our laboratory, analyze the data it generates, and automate our operations.</w:t>
      </w:r>
    </w:p>
    <w:p>
      <w:pPr>
        <w:pStyle w:val="TextBody"/>
        <w:bidi w:val="0"/>
        <w:spacing w:before="200" w:after="283"/>
        <w:jc w:val="both"/>
        <w:rPr>
          <w:rFonts w:ascii="Arial" w:hAnsi="Arial"/>
          <w:color w:val="000000"/>
          <w:sz w:val="18"/>
        </w:rPr>
      </w:pPr>
      <w:r>
        <w:rPr>
          <w:rFonts w:ascii="Arial" w:hAnsi="Arial"/>
          <w:color w:val="000000"/>
          <w:sz w:val="18"/>
        </w:rPr>
        <w:t>We expense our research and development costs in the period in which they are incurred. We expect research and development expenses to remain fairly flat in the short-term since the completion of our reductions in workforce in 2023. Research and development expenses may decrease in the medium-term after investments in developing and publishing the clinical evidence-base to support our products and our key indications conclude.</w:t>
      </w:r>
    </w:p>
    <w:p>
      <w:pPr>
        <w:pStyle w:val="TextBody"/>
        <w:bidi w:val="0"/>
        <w:spacing w:before="200" w:after="283"/>
        <w:jc w:val="both"/>
        <w:rPr>
          <w:rFonts w:ascii="Arial" w:hAnsi="Arial"/>
          <w:i/>
          <w:color w:val="000000"/>
          <w:sz w:val="18"/>
        </w:rPr>
      </w:pPr>
      <w:r>
        <w:rPr>
          <w:rFonts w:ascii="Arial" w:hAnsi="Arial"/>
          <w:i/>
          <w:color w:val="000000"/>
          <w:sz w:val="18"/>
        </w:rPr>
        <w:t>Selling, General and Administrative Expenses</w:t>
      </w:r>
    </w:p>
    <w:p>
      <w:pPr>
        <w:pStyle w:val="TextBody"/>
        <w:bidi w:val="0"/>
        <w:spacing w:before="200" w:after="283"/>
        <w:jc w:val="both"/>
        <w:rPr>
          <w:rFonts w:ascii="Arial" w:hAnsi="Arial"/>
          <w:color w:val="000000"/>
          <w:sz w:val="18"/>
        </w:rPr>
      </w:pPr>
      <w:r>
        <w:rPr>
          <w:rFonts w:ascii="Arial" w:hAnsi="Arial"/>
          <w:color w:val="000000"/>
          <w:sz w:val="18"/>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costs as incurred.</w:t>
      </w:r>
    </w:p>
    <w:p>
      <w:pPr>
        <w:pStyle w:val="TextBody"/>
        <w:bidi w:val="0"/>
        <w:spacing w:before="240" w:after="283"/>
        <w:jc w:val="center"/>
        <w:rPr>
          <w:rFonts w:ascii="Arial" w:hAnsi="Arial"/>
          <w:color w:val="000000"/>
          <w:sz w:val="18"/>
        </w:rPr>
      </w:pPr>
      <w:r>
        <w:rPr>
          <w:rFonts w:ascii="Arial" w:hAnsi="Arial"/>
          <w:color w:val="000000"/>
          <w:sz w:val="18"/>
        </w:rPr>
        <w:t>22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Selling, general and administrative expenses have decreased significantly since the completion of our reductions in workforce in 2023. We expect expenses to remain around this lower level over the short-term, but may increase in the medium-term to support future growth of our clinical diagnostic offerings.</w:t>
      </w:r>
    </w:p>
    <w:p>
      <w:pPr>
        <w:pStyle w:val="TextBody"/>
        <w:bidi w:val="0"/>
        <w:spacing w:before="200" w:after="283"/>
        <w:jc w:val="both"/>
        <w:rPr>
          <w:rFonts w:ascii="Arial" w:hAnsi="Arial"/>
          <w:i/>
          <w:color w:val="000000"/>
          <w:sz w:val="18"/>
        </w:rPr>
      </w:pPr>
      <w:r>
        <w:rPr>
          <w:rFonts w:ascii="Arial" w:hAnsi="Arial"/>
          <w:i/>
          <w:color w:val="000000"/>
          <w:sz w:val="18"/>
        </w:rPr>
        <w:t>Restructuring and Other Charges</w:t>
      </w:r>
    </w:p>
    <w:p>
      <w:pPr>
        <w:pStyle w:val="TextBody"/>
        <w:bidi w:val="0"/>
        <w:spacing w:before="200" w:after="283"/>
        <w:jc w:val="both"/>
        <w:rPr>
          <w:rFonts w:ascii="Arial" w:hAnsi="Arial"/>
          <w:color w:val="000000"/>
          <w:sz w:val="18"/>
        </w:rPr>
      </w:pPr>
      <w:r>
        <w:rPr>
          <w:rFonts w:ascii="Arial" w:hAnsi="Arial"/>
          <w:color w:val="000000"/>
          <w:sz w:val="18"/>
        </w:rPr>
        <w:t>Restructuring and other charges consists of charges in connection with our reductions in workforce and charges in connection with the closure of our China operations.</w:t>
      </w:r>
    </w:p>
    <w:p>
      <w:pPr>
        <w:pStyle w:val="TextBody"/>
        <w:bidi w:val="0"/>
        <w:spacing w:before="200" w:after="283"/>
        <w:jc w:val="both"/>
        <w:rPr>
          <w:rFonts w:ascii="Arial" w:hAnsi="Arial"/>
          <w:i/>
          <w:color w:val="000000"/>
          <w:sz w:val="18"/>
        </w:rPr>
      </w:pPr>
      <w:r>
        <w:rPr>
          <w:rFonts w:ascii="Arial" w:hAnsi="Arial"/>
          <w:i/>
          <w:color w:val="000000"/>
          <w:sz w:val="18"/>
        </w:rPr>
        <w:t>Interest Income and Interest Expense</w:t>
      </w:r>
    </w:p>
    <w:p>
      <w:pPr>
        <w:pStyle w:val="TextBody"/>
        <w:bidi w:val="0"/>
        <w:spacing w:before="200" w:after="283"/>
        <w:jc w:val="both"/>
        <w:rPr>
          <w:rFonts w:ascii="Arial" w:hAnsi="Arial"/>
          <w:color w:val="000000"/>
          <w:sz w:val="18"/>
        </w:rPr>
      </w:pPr>
      <w:r>
        <w:rPr>
          <w:rFonts w:ascii="Arial" w:hAnsi="Arial"/>
          <w:color w:val="000000"/>
          <w:sz w:val="18"/>
        </w:rPr>
        <w:t>Interest income consists primarily of interest earned on our cash, cash equivalents, and short-term investments. Interest expense is the recognition of imputed interest on noninterest bearing loans.</w:t>
      </w:r>
    </w:p>
    <w:p>
      <w:pPr>
        <w:pStyle w:val="TextBody"/>
        <w:bidi w:val="0"/>
        <w:spacing w:before="200" w:after="283"/>
        <w:jc w:val="both"/>
        <w:rPr>
          <w:rFonts w:ascii="Arial" w:hAnsi="Arial"/>
          <w:i/>
          <w:color w:val="000000"/>
          <w:sz w:val="18"/>
        </w:rPr>
      </w:pPr>
      <w:r>
        <w:rPr>
          <w:rFonts w:ascii="Arial" w:hAnsi="Arial"/>
          <w:i/>
          <w:color w:val="000000"/>
          <w:sz w:val="18"/>
        </w:rPr>
        <w:t>Other Income (Expense), Net</w:t>
      </w:r>
    </w:p>
    <w:p>
      <w:pPr>
        <w:pStyle w:val="TextBody"/>
        <w:bidi w:val="0"/>
        <w:spacing w:before="200" w:after="283"/>
        <w:jc w:val="both"/>
        <w:rPr>
          <w:rFonts w:ascii="Arial" w:hAnsi="Arial"/>
          <w:color w:val="000000"/>
          <w:sz w:val="18"/>
        </w:rPr>
      </w:pPr>
      <w:r>
        <w:rPr>
          <w:rFonts w:ascii="Arial" w:hAnsi="Arial"/>
          <w:color w:val="000000"/>
          <w:sz w:val="18"/>
        </w:rPr>
        <w:t>In connection with our November 2023 agreement with Tempus, we issued two warrants to Tempus to purchase, in the aggregate, up to 9,218,800 shares of our common stock (the “Tempus Warrants”). Other income (expense), net consists primarily of a noncash gain related to the remeasurement of the Tempus Warrants. Otherwise, other income (expense), net consists primarily of foreign currency exchange gains and losses.</w:t>
      </w:r>
    </w:p>
    <w:p>
      <w:pPr>
        <w:pStyle w:val="TextBody"/>
        <w:bidi w:val="0"/>
        <w:spacing w:before="200" w:after="283"/>
        <w:jc w:val="both"/>
        <w:rPr>
          <w:rFonts w:ascii="Arial" w:hAnsi="Arial"/>
          <w:b/>
          <w:color w:val="000000"/>
          <w:sz w:val="18"/>
        </w:rPr>
      </w:pPr>
      <w:r>
        <w:rPr>
          <w:rFonts w:ascii="Arial" w:hAnsi="Arial"/>
          <w:b/>
          <w:color w:val="000000"/>
          <w:sz w:val="18"/>
        </w:rPr>
        <w:t>Results of Operations</w:t>
      </w:r>
    </w:p>
    <w:p>
      <w:pPr>
        <w:pStyle w:val="TextBody"/>
        <w:bidi w:val="0"/>
        <w:spacing w:before="200" w:after="200"/>
        <w:jc w:val="both"/>
        <w:rPr>
          <w:rFonts w:ascii="Arial" w:hAnsi="Arial"/>
          <w:color w:val="000000"/>
          <w:sz w:val="18"/>
        </w:rPr>
      </w:pPr>
      <w:r>
        <w:rPr>
          <w:rFonts w:ascii="Arial" w:hAnsi="Arial"/>
          <w:color w:val="000000"/>
          <w:sz w:val="18"/>
        </w:rPr>
        <w:t>The following sets forth, for the periods presented, our unaudited condensed consolidated statements of operations and selected financial data (in thousands, except share and per share data):</w:t>
      </w:r>
    </w:p>
    <w:tbl>
      <w:tblPr>
        <w:tblW w:w="8469" w:type="dxa"/>
        <w:jc w:val="left"/>
        <w:tblInd w:w="0" w:type="dxa"/>
        <w:tblLayout w:type="fixed"/>
        <w:tblCellMar>
          <w:top w:w="28" w:type="dxa"/>
          <w:left w:w="28" w:type="dxa"/>
          <w:bottom w:w="28" w:type="dxa"/>
          <w:right w:w="28" w:type="dxa"/>
        </w:tblCellMar>
      </w:tblPr>
      <w:tblGrid>
        <w:gridCol w:w="4726"/>
        <w:gridCol w:w="146"/>
        <w:gridCol w:w="211"/>
        <w:gridCol w:w="1036"/>
        <w:gridCol w:w="166"/>
        <w:gridCol w:w="146"/>
        <w:gridCol w:w="211"/>
        <w:gridCol w:w="1036"/>
        <w:gridCol w:w="79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19,525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18,860</w:t>
            </w:r>
          </w:p>
        </w:tc>
        <w:tc>
          <w:tcPr>
            <w:tcW w:w="79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Costs and expenses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right"/>
              <w:rPr/>
            </w:pPr>
            <w:r>
              <w:rPr/>
              <w:t> </w:t>
            </w:r>
          </w:p>
        </w:tc>
        <w:tc>
          <w:tcPr>
            <w:tcW w:w="791" w:type="dxa"/>
            <w:tcBorders/>
            <w:shd w:fill="FFFFFF" w:val="clear"/>
            <w:vAlign w:val="center"/>
          </w:tcPr>
          <w:p>
            <w:pPr>
              <w:pStyle w:val="TableContents"/>
              <w:bidi w:val="0"/>
              <w:spacing w:before="0" w:after="283"/>
              <w:ind w:left="0" w:right="0" w:firstLine="200"/>
              <w:jc w:val="right"/>
              <w:rPr/>
            </w:pPr>
            <w:r>
              <w:rPr/>
              <w:t> </w:t>
            </w:r>
          </w:p>
        </w:tc>
      </w:tr>
      <w:tr>
        <w:trPr/>
        <w:tc>
          <w:tcPr>
            <w:tcW w:w="472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14,130</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472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12,771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16,573</w:t>
            </w:r>
          </w:p>
        </w:tc>
        <w:tc>
          <w:tcPr>
            <w:tcW w:w="791" w:type="dxa"/>
            <w:tcBorders/>
            <w:shd w:fill="FFFFFF" w:val="clear"/>
            <w:vAlign w:val="center"/>
          </w:tcPr>
          <w:p>
            <w:pPr>
              <w:pStyle w:val="TableContents"/>
              <w:bidi w:val="0"/>
              <w:spacing w:before="0" w:after="283"/>
              <w:ind w:left="0" w:right="0" w:firstLine="200"/>
              <w:jc w:val="left"/>
              <w:rPr/>
            </w:pPr>
            <w:r>
              <w:rPr/>
              <w:t> </w:t>
            </w:r>
          </w:p>
        </w:tc>
      </w:tr>
      <w:tr>
        <w:trPr/>
        <w:tc>
          <w:tcPr>
            <w:tcW w:w="4726" w:type="dxa"/>
            <w:tcBorders/>
            <w:shd w:fill="CFF0FC"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11,602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14,097</w:t>
            </w:r>
          </w:p>
        </w:tc>
        <w:tc>
          <w:tcPr>
            <w:tcW w:w="791" w:type="dxa"/>
            <w:tcBorders/>
            <w:shd w:fill="CFF0FC" w:val="clear"/>
            <w:vAlign w:val="center"/>
          </w:tcPr>
          <w:p>
            <w:pPr>
              <w:pStyle w:val="TableContents"/>
              <w:bidi w:val="0"/>
              <w:spacing w:before="0" w:after="283"/>
              <w:ind w:left="0" w:right="0" w:firstLine="200"/>
              <w:jc w:val="left"/>
              <w:rPr/>
            </w:pPr>
            <w:r>
              <w:rPr/>
              <w:t> </w:t>
            </w:r>
          </w:p>
        </w:tc>
      </w:tr>
      <w:tr>
        <w:trPr/>
        <w:tc>
          <w:tcPr>
            <w:tcW w:w="4726" w:type="dxa"/>
            <w:tcBorders/>
            <w:shd w:fill="FFFFFF" w:val="clear"/>
            <w:vAlign w:val="center"/>
          </w:tcPr>
          <w:p>
            <w:pPr>
              <w:pStyle w:val="TableContents"/>
              <w:bidi w:val="0"/>
              <w:spacing w:before="0" w:after="283"/>
              <w:ind w:left="200" w:right="0" w:firstLine="200"/>
              <w:jc w:val="left"/>
              <w:rPr>
                <w:rFonts w:ascii="Arial" w:hAnsi="Arial"/>
                <w:color w:val="000000"/>
                <w:sz w:val="18"/>
              </w:rPr>
            </w:pPr>
            <w:r>
              <w:rPr>
                <w:rFonts w:ascii="Arial" w:hAnsi="Arial"/>
                <w:color w:val="000000"/>
                <w:sz w:val="18"/>
              </w:rPr>
              <w:t>Restructuring and other charges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726" w:type="dxa"/>
            <w:tcBorders/>
            <w:shd w:fill="CFF0FC" w:val="clear"/>
            <w:vAlign w:val="center"/>
          </w:tcPr>
          <w:p>
            <w:pPr>
              <w:pStyle w:val="TableContents"/>
              <w:bidi w:val="0"/>
              <w:spacing w:before="0" w:after="283"/>
              <w:ind w:left="400" w:right="0" w:firstLine="400"/>
              <w:jc w:val="left"/>
              <w:rPr>
                <w:rFonts w:ascii="Arial" w:hAnsi="Arial"/>
                <w:color w:val="000000"/>
                <w:sz w:val="18"/>
              </w:rPr>
            </w:pPr>
            <w:r>
              <w:rPr>
                <w:rFonts w:ascii="Arial" w:hAnsi="Arial"/>
                <w:color w:val="000000"/>
                <w:sz w:val="18"/>
              </w:rPr>
              <w:t>Total costs and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48,685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(18,880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(29,825</w:t>
            </w:r>
          </w:p>
        </w:tc>
        <w:tc>
          <w:tcPr>
            <w:tcW w:w="7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1,253</w:t>
            </w:r>
          </w:p>
        </w:tc>
        <w:tc>
          <w:tcPr>
            <w:tcW w:w="79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7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before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(12,961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(28,645</w:t>
            </w:r>
          </w:p>
        </w:tc>
        <w:tc>
          <w:tcPr>
            <w:tcW w:w="7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4726" w:type="dxa"/>
            <w:tcBorders/>
            <w:shd w:fill="FFFFFF" w:val="clear"/>
            <w:vAlign w:val="center"/>
          </w:tcPr>
          <w:p>
            <w:pPr>
              <w:pStyle w:val="TableContents"/>
              <w:bidi w:val="0"/>
              <w:spacing w:before="0" w:after="283"/>
              <w:ind w:left="600" w:right="0" w:firstLine="600"/>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(28,659</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72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50,678,586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46,740,270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100" w:type="dxa"/>
        <w:jc w:val="left"/>
        <w:tblInd w:w="0" w:type="dxa"/>
        <w:tblLayout w:type="fixed"/>
        <w:tblCellMar>
          <w:top w:w="28" w:type="dxa"/>
          <w:left w:w="28" w:type="dxa"/>
          <w:bottom w:w="28" w:type="dxa"/>
          <w:right w:w="28" w:type="dxa"/>
        </w:tblCellMar>
      </w:tblPr>
      <w:tblGrid>
        <w:gridCol w:w="4636"/>
        <w:gridCol w:w="146"/>
        <w:gridCol w:w="268"/>
        <w:gridCol w:w="992"/>
        <w:gridCol w:w="146"/>
        <w:gridCol w:w="146"/>
        <w:gridCol w:w="335"/>
        <w:gridCol w:w="1240"/>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short-term investments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95,419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114,179</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Working capital</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89,066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99,510</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195,276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225,099</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debt</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2,880</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obligations</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43,209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48,424</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9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74,582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95,658</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9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120,694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129,441</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b/>
          <w:i/>
          <w:color w:val="000000"/>
          <w:sz w:val="18"/>
        </w:rPr>
      </w:pPr>
      <w:r>
        <w:rPr>
          <w:rFonts w:ascii="Arial" w:hAnsi="Arial"/>
          <w:b/>
          <w:i/>
          <w:color w:val="000000"/>
          <w:sz w:val="18"/>
        </w:rPr>
        <w:t>Revenue</w:t>
      </w:r>
    </w:p>
    <w:p>
      <w:pPr>
        <w:pStyle w:val="TextBody"/>
        <w:bidi w:val="0"/>
        <w:spacing w:before="200" w:after="200"/>
        <w:jc w:val="both"/>
        <w:rPr>
          <w:rFonts w:ascii="Arial" w:hAnsi="Arial"/>
          <w:color w:val="000000"/>
          <w:sz w:val="18"/>
        </w:rPr>
      </w:pPr>
      <w:r>
        <w:rPr>
          <w:rFonts w:ascii="Arial" w:hAnsi="Arial"/>
          <w:color w:val="000000"/>
          <w:sz w:val="18"/>
        </w:rPr>
        <w:t>The following table shows revenue by customer type (in thousands):</w:t>
      </w:r>
    </w:p>
    <w:tbl>
      <w:tblPr>
        <w:tblW w:w="6018" w:type="dxa"/>
        <w:jc w:val="left"/>
        <w:tblInd w:w="0" w:type="dxa"/>
        <w:tblLayout w:type="fixed"/>
        <w:tblCellMar>
          <w:top w:w="28" w:type="dxa"/>
          <w:left w:w="28" w:type="dxa"/>
          <w:bottom w:w="28" w:type="dxa"/>
          <w:right w:w="28" w:type="dxa"/>
        </w:tblCellMar>
      </w:tblPr>
      <w:tblGrid>
        <w:gridCol w:w="2266"/>
        <w:gridCol w:w="146"/>
        <w:gridCol w:w="260"/>
        <w:gridCol w:w="834"/>
        <w:gridCol w:w="180"/>
        <w:gridCol w:w="180"/>
        <w:gridCol w:w="260"/>
        <w:gridCol w:w="834"/>
        <w:gridCol w:w="146"/>
        <w:gridCol w:w="146"/>
        <w:gridCol w:w="76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2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Pharma tests and services</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9,812</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55%</w:t>
            </w:r>
          </w:p>
        </w:tc>
      </w:tr>
      <w:tr>
        <w:trPr/>
        <w:tc>
          <w:tcPr>
            <w:tcW w:w="22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Enterprise sales</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7,972</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(16%)</w:t>
            </w:r>
          </w:p>
        </w:tc>
      </w:tr>
      <w:tr>
        <w:trPr/>
        <w:tc>
          <w:tcPr>
            <w:tcW w:w="22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Population sequencing</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1,500</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3,005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(50%)</w:t>
            </w:r>
          </w:p>
        </w:tc>
      </w:tr>
      <w:tr>
        <w:trPr/>
        <w:tc>
          <w:tcPr>
            <w:tcW w:w="22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277%</w:t>
            </w:r>
          </w:p>
        </w:tc>
      </w:tr>
      <w:tr>
        <w:trPr/>
        <w:tc>
          <w:tcPr>
            <w:tcW w:w="22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19,525</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4%</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23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00"/>
        <w:jc w:val="both"/>
        <w:rPr>
          <w:rFonts w:ascii="Arial" w:hAnsi="Arial"/>
          <w:color w:val="000000"/>
          <w:sz w:val="18"/>
        </w:rPr>
      </w:pPr>
      <w:r>
        <w:rPr>
          <w:rFonts w:ascii="Arial" w:hAnsi="Arial"/>
          <w:color w:val="000000"/>
          <w:sz w:val="18"/>
        </w:rPr>
        <w:t>The following table shows customers that made up at least 10% of total revenue in each period presented:</w:t>
      </w:r>
    </w:p>
    <w:tbl>
      <w:tblPr>
        <w:tblW w:w="4886" w:type="dxa"/>
        <w:jc w:val="left"/>
        <w:tblInd w:w="0" w:type="dxa"/>
        <w:tblLayout w:type="fixed"/>
        <w:tblCellMar>
          <w:top w:w="28" w:type="dxa"/>
          <w:left w:w="28" w:type="dxa"/>
          <w:bottom w:w="28" w:type="dxa"/>
          <w:right w:w="28" w:type="dxa"/>
        </w:tblCellMar>
      </w:tblPr>
      <w:tblGrid>
        <w:gridCol w:w="2146"/>
        <w:gridCol w:w="146"/>
        <w:gridCol w:w="1082"/>
        <w:gridCol w:w="328"/>
        <w:gridCol w:w="1184"/>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r>
      <w:tr>
        <w:trPr/>
        <w:tc>
          <w:tcPr>
            <w:tcW w:w="2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r>
      <w:tr>
        <w:trPr/>
        <w:tc>
          <w:tcPr>
            <w:tcW w:w="21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Natera, Inc.</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41%</w:t>
            </w:r>
          </w:p>
        </w:tc>
        <w:tc>
          <w:tcPr>
            <w:tcW w:w="328"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50%</w:t>
            </w:r>
          </w:p>
        </w:tc>
      </w:tr>
      <w:tr>
        <w:trPr/>
        <w:tc>
          <w:tcPr>
            <w:tcW w:w="214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Moderna, Inc.</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24%</w:t>
            </w:r>
          </w:p>
        </w:tc>
        <w:tc>
          <w:tcPr>
            <w:tcW w:w="328"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r>
      <w:tr>
        <w:trPr/>
        <w:tc>
          <w:tcPr>
            <w:tcW w:w="214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VA MVP</w:t>
            </w:r>
          </w:p>
        </w:tc>
        <w:tc>
          <w:tcPr>
            <w:tcW w:w="146" w:type="dxa"/>
            <w:tcBorders/>
            <w:shd w:fill="CFF0FC" w:val="clear"/>
            <w:vAlign w:val="center"/>
          </w:tcPr>
          <w:p>
            <w:pPr>
              <w:pStyle w:val="TableContents"/>
              <w:bidi w:val="0"/>
              <w:spacing w:before="0" w:after="283"/>
              <w:jc w:val="left"/>
              <w:rPr/>
            </w:pPr>
            <w:r>
              <w:rPr/>
              <w:t> </w:t>
            </w:r>
          </w:p>
        </w:tc>
        <w:tc>
          <w:tcPr>
            <w:tcW w:w="1082"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w:t>
            </w:r>
          </w:p>
        </w:tc>
        <w:tc>
          <w:tcPr>
            <w:tcW w:w="328" w:type="dxa"/>
            <w:tcBorders/>
            <w:shd w:fill="CFF0FC" w:val="clear"/>
            <w:vAlign w:val="center"/>
          </w:tcPr>
          <w:p>
            <w:pPr>
              <w:pStyle w:val="TableContents"/>
              <w:bidi w:val="0"/>
              <w:spacing w:before="0" w:after="283"/>
              <w:jc w:val="left"/>
              <w:rPr/>
            </w:pPr>
            <w:r>
              <w:rPr/>
              <w:t> </w:t>
            </w:r>
          </w:p>
        </w:tc>
        <w:tc>
          <w:tcPr>
            <w:tcW w:w="1184"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16%</w:t>
            </w:r>
          </w:p>
        </w:tc>
      </w:tr>
      <w:tr>
        <w:trPr/>
        <w:tc>
          <w:tcPr>
            <w:tcW w:w="214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 Less than 10% of revenue</w:t>
            </w:r>
          </w:p>
        </w:tc>
        <w:tc>
          <w:tcPr>
            <w:tcW w:w="146" w:type="dxa"/>
            <w:tcBorders/>
            <w:shd w:fill="FFFFFF" w:val="clear"/>
            <w:vAlign w:val="center"/>
          </w:tcPr>
          <w:p>
            <w:pPr>
              <w:pStyle w:val="TableContents"/>
              <w:bidi w:val="0"/>
              <w:spacing w:before="0" w:after="283"/>
              <w:jc w:val="left"/>
              <w:rPr/>
            </w:pPr>
            <w:r>
              <w:rPr/>
              <w:t> </w:t>
            </w:r>
          </w:p>
        </w:tc>
        <w:tc>
          <w:tcPr>
            <w:tcW w:w="1082" w:type="dxa"/>
            <w:tcBorders/>
            <w:shd w:fill="FFFFFF" w:val="clear"/>
            <w:vAlign w:val="center"/>
          </w:tcPr>
          <w:p>
            <w:pPr>
              <w:pStyle w:val="TableContents"/>
              <w:bidi w:val="0"/>
              <w:spacing w:before="0" w:after="283"/>
              <w:jc w:val="left"/>
              <w:rPr/>
            </w:pPr>
            <w:r>
              <w:rPr/>
              <w:t> </w:t>
            </w:r>
          </w:p>
        </w:tc>
        <w:tc>
          <w:tcPr>
            <w:tcW w:w="328" w:type="dxa"/>
            <w:tcBorders/>
            <w:shd w:fill="FFFFFF" w:val="clear"/>
            <w:vAlign w:val="center"/>
          </w:tcPr>
          <w:p>
            <w:pPr>
              <w:pStyle w:val="TableContents"/>
              <w:bidi w:val="0"/>
              <w:spacing w:before="0" w:after="283"/>
              <w:jc w:val="left"/>
              <w:rPr/>
            </w:pPr>
            <w:r>
              <w:rPr/>
              <w:t> </w:t>
            </w:r>
          </w:p>
        </w:tc>
        <w:tc>
          <w:tcPr>
            <w:tcW w:w="1184"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i/>
          <w:color w:val="000000"/>
          <w:sz w:val="18"/>
        </w:rPr>
      </w:pPr>
      <w:r>
        <w:rPr>
          <w:rFonts w:ascii="Arial" w:hAnsi="Arial"/>
          <w:i/>
          <w:color w:val="000000"/>
          <w:sz w:val="18"/>
        </w:rPr>
        <w:t>Pharma tests and services</w:t>
      </w:r>
    </w:p>
    <w:p>
      <w:pPr>
        <w:pStyle w:val="TextBody"/>
        <w:bidi w:val="0"/>
        <w:spacing w:before="200" w:after="283"/>
        <w:jc w:val="both"/>
        <w:rPr>
          <w:rFonts w:ascii="Arial" w:hAnsi="Arial"/>
          <w:color w:val="000000"/>
          <w:sz w:val="18"/>
        </w:rPr>
      </w:pPr>
      <w:r>
        <w:rPr>
          <w:rFonts w:ascii="Arial" w:hAnsi="Arial"/>
          <w:color w:val="000000"/>
          <w:sz w:val="18"/>
        </w:rPr>
        <w:t>Revenue from pharma tests and services increased 55%, or $3.5 million. The primary driver of such increase was a $4.4 million increase in revenue from one of our personalized cancer therapy customers that ramped up clinical trial patient enrollments. This was partially offset by a net decrease in revenue from other customers, due to non-recurring projects and variability in timing and spending levels on clinical trial projects in general.</w:t>
      </w:r>
    </w:p>
    <w:p>
      <w:pPr>
        <w:pStyle w:val="TextBody"/>
        <w:bidi w:val="0"/>
        <w:spacing w:before="200" w:after="283"/>
        <w:jc w:val="both"/>
        <w:rPr>
          <w:rFonts w:ascii="Arial" w:hAnsi="Arial"/>
          <w:i/>
          <w:color w:val="000000"/>
          <w:sz w:val="18"/>
        </w:rPr>
      </w:pPr>
      <w:r>
        <w:rPr>
          <w:rFonts w:ascii="Arial" w:hAnsi="Arial"/>
          <w:i/>
          <w:color w:val="000000"/>
          <w:sz w:val="18"/>
        </w:rPr>
        <w:t>Enterprise sales</w:t>
      </w:r>
    </w:p>
    <w:p>
      <w:pPr>
        <w:pStyle w:val="TextBody"/>
        <w:bidi w:val="0"/>
        <w:spacing w:before="200" w:after="283"/>
        <w:jc w:val="both"/>
        <w:rPr>
          <w:rFonts w:ascii="Arial" w:hAnsi="Arial"/>
          <w:color w:val="000000"/>
          <w:sz w:val="18"/>
        </w:rPr>
      </w:pPr>
      <w:r>
        <w:rPr>
          <w:rFonts w:ascii="Arial" w:hAnsi="Arial"/>
          <w:color w:val="000000"/>
          <w:sz w:val="18"/>
        </w:rPr>
        <w:t>Revenue from enterprise sales decreased 16%, or $1.5 million, due to lower selling prices. The number of samples we processed for Natera increased by over 20%, but such increase was offset by lower selling prices.</w:t>
      </w:r>
    </w:p>
    <w:p>
      <w:pPr>
        <w:pStyle w:val="TextBody"/>
        <w:bidi w:val="0"/>
        <w:spacing w:before="200" w:after="283"/>
        <w:jc w:val="both"/>
        <w:rPr>
          <w:rFonts w:ascii="Arial" w:hAnsi="Arial"/>
          <w:color w:val="000000"/>
          <w:sz w:val="18"/>
        </w:rPr>
      </w:pPr>
      <w:r>
        <w:rPr>
          <w:rFonts w:ascii="Arial" w:hAnsi="Arial"/>
          <w:color w:val="000000"/>
          <w:sz w:val="18"/>
        </w:rPr>
        <w:t>We launched a reduced-cost version of our exome product offering for Natera near the end of the first quarter of 2024 to support their requirement for an overall reduction in cost. Our total revenue from Natera in 2024 is expected to decline from comparable periods in 2023 due to their use of the reduced-cost version of our exome product offering. Our agreement with Natera includes minimum volume commitments through the end of 2024.</w:t>
      </w:r>
    </w:p>
    <w:p>
      <w:pPr>
        <w:pStyle w:val="TextBody"/>
        <w:bidi w:val="0"/>
        <w:spacing w:before="200" w:after="283"/>
        <w:jc w:val="both"/>
        <w:rPr>
          <w:rFonts w:ascii="Arial" w:hAnsi="Arial"/>
          <w:i/>
          <w:color w:val="000000"/>
          <w:sz w:val="18"/>
        </w:rPr>
      </w:pPr>
      <w:r>
        <w:rPr>
          <w:rFonts w:ascii="Arial" w:hAnsi="Arial"/>
          <w:i/>
          <w:color w:val="000000"/>
          <w:sz w:val="18"/>
        </w:rPr>
        <w:t>Population sequencing</w:t>
      </w:r>
    </w:p>
    <w:p>
      <w:pPr>
        <w:pStyle w:val="TextBody"/>
        <w:bidi w:val="0"/>
        <w:spacing w:before="200" w:after="283"/>
        <w:jc w:val="both"/>
        <w:rPr>
          <w:rFonts w:ascii="Arial" w:hAnsi="Arial"/>
          <w:color w:val="000000"/>
          <w:sz w:val="18"/>
        </w:rPr>
      </w:pPr>
      <w:r>
        <w:rPr>
          <w:rFonts w:ascii="Arial" w:hAnsi="Arial"/>
          <w:color w:val="000000"/>
          <w:sz w:val="18"/>
        </w:rPr>
        <w:t>Population sequencing revenue is made up entirely of sales to the VA MVP. The decrease in revenue of 50%, or $1.5 million, was primarily due to a decrease in the number of samples we tested, with a slight drop in selling prices accounting for the remainder of the decrease.</w:t>
      </w:r>
    </w:p>
    <w:p>
      <w:pPr>
        <w:pStyle w:val="TextBody"/>
        <w:bidi w:val="0"/>
        <w:spacing w:before="200" w:after="283"/>
        <w:jc w:val="both"/>
        <w:rPr>
          <w:rFonts w:ascii="Arial" w:hAnsi="Arial"/>
          <w:color w:val="000000"/>
          <w:sz w:val="18"/>
        </w:rPr>
      </w:pPr>
      <w:r>
        <w:rPr>
          <w:rFonts w:ascii="Arial" w:hAnsi="Arial"/>
          <w:color w:val="000000"/>
          <w:sz w:val="18"/>
        </w:rPr>
        <w:t>Revenue recognized each period is also impacted by timing of our fulfillment of samples under each annual task order. Our annual task orders received in 2023, 2022, and 2021 were $7.5 million, $10.0 million, and $9.7 million, respectively. Our contract with the VA MVP does not include specific testing turnaround times. Therefore, we have the ability to modulate the volume of samples processed from the VA MVP up or down to complement sample volumes from other customers, which can vary from period to period. As of the end of 2024, our remaining unfulfilled task orders amounted to $5.9 million, which we expect to recognize as revenue over the next two to three quarters.</w:t>
      </w:r>
    </w:p>
    <w:p>
      <w:pPr>
        <w:pStyle w:val="TextBody"/>
        <w:bidi w:val="0"/>
        <w:spacing w:before="200" w:after="283"/>
        <w:jc w:val="both"/>
        <w:rPr>
          <w:rFonts w:ascii="Arial" w:hAnsi="Arial"/>
          <w:i/>
          <w:color w:val="000000"/>
          <w:sz w:val="18"/>
        </w:rPr>
      </w:pPr>
      <w:r>
        <w:rPr>
          <w:rFonts w:ascii="Arial" w:hAnsi="Arial"/>
          <w:i/>
          <w:color w:val="000000"/>
          <w:sz w:val="18"/>
        </w:rPr>
        <w:t>Other revenue</w:t>
      </w:r>
    </w:p>
    <w:p>
      <w:pPr>
        <w:pStyle w:val="TextBody"/>
        <w:bidi w:val="0"/>
        <w:spacing w:before="200" w:after="283"/>
        <w:jc w:val="both"/>
        <w:rPr>
          <w:rFonts w:ascii="Arial" w:hAnsi="Arial"/>
          <w:color w:val="000000"/>
          <w:sz w:val="18"/>
        </w:rPr>
      </w:pPr>
      <w:r>
        <w:rPr>
          <w:rFonts w:ascii="Arial" w:hAnsi="Arial"/>
          <w:color w:val="000000"/>
          <w:sz w:val="18"/>
        </w:rPr>
        <w:t>Other revenue increased 277%, or $0.2 million, driven by sales of our NeXT Dx diagnostic test.</w:t>
      </w:r>
    </w:p>
    <w:p>
      <w:pPr>
        <w:pStyle w:val="TextBody"/>
        <w:bidi w:val="0"/>
        <w:spacing w:before="200" w:after="200"/>
        <w:jc w:val="both"/>
        <w:rPr>
          <w:rFonts w:ascii="Arial" w:hAnsi="Arial"/>
          <w:b/>
          <w:i/>
          <w:color w:val="000000"/>
          <w:sz w:val="18"/>
        </w:rPr>
      </w:pPr>
      <w:r>
        <w:rPr>
          <w:rFonts w:ascii="Arial" w:hAnsi="Arial"/>
          <w:b/>
          <w:i/>
          <w:color w:val="000000"/>
          <w:sz w:val="18"/>
        </w:rPr>
        <w:t>Costs and Expenses</w:t>
      </w:r>
    </w:p>
    <w:tbl>
      <w:tblPr>
        <w:tblW w:w="6708" w:type="dxa"/>
        <w:jc w:val="left"/>
        <w:tblInd w:w="0" w:type="dxa"/>
        <w:tblLayout w:type="fixed"/>
        <w:tblCellMar>
          <w:top w:w="28" w:type="dxa"/>
          <w:left w:w="28" w:type="dxa"/>
          <w:bottom w:w="28" w:type="dxa"/>
          <w:right w:w="28" w:type="dxa"/>
        </w:tblCellMar>
      </w:tblPr>
      <w:tblGrid>
        <w:gridCol w:w="2956"/>
        <w:gridCol w:w="146"/>
        <w:gridCol w:w="260"/>
        <w:gridCol w:w="834"/>
        <w:gridCol w:w="180"/>
        <w:gridCol w:w="180"/>
        <w:gridCol w:w="260"/>
        <w:gridCol w:w="834"/>
        <w:gridCol w:w="146"/>
        <w:gridCol w:w="146"/>
        <w:gridCol w:w="76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29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8" w:type="dxa"/>
            <w:gridSpan w:val="6"/>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left"/>
              <w:rPr/>
            </w:pPr>
            <w:r>
              <w:rPr/>
              <w:t> </w:t>
            </w:r>
          </w:p>
        </w:tc>
      </w:tr>
      <w:tr>
        <w:trPr/>
        <w:tc>
          <w:tcPr>
            <w:tcW w:w="29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14,032</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14,130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w:t>
            </w:r>
          </w:p>
        </w:tc>
      </w:tr>
      <w:tr>
        <w:trPr/>
        <w:tc>
          <w:tcPr>
            <w:tcW w:w="29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12,771</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16,573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(23%)</w:t>
            </w:r>
          </w:p>
        </w:tc>
      </w:tr>
      <w:tr>
        <w:trPr/>
        <w:tc>
          <w:tcPr>
            <w:tcW w:w="29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w:t>
            </w:r>
          </w:p>
        </w:tc>
        <w:tc>
          <w:tcPr>
            <w:tcW w:w="146"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11,602</w:t>
            </w:r>
          </w:p>
        </w:tc>
        <w:tc>
          <w:tcPr>
            <w:tcW w:w="180" w:type="dxa"/>
            <w:tcBorders/>
            <w:shd w:fill="CFF0FC" w:val="clear"/>
            <w:vAlign w:val="center"/>
          </w:tcPr>
          <w:p>
            <w:pPr>
              <w:pStyle w:val="TableContents"/>
              <w:bidi w:val="0"/>
              <w:spacing w:before="0" w:after="283"/>
              <w:jc w:val="left"/>
              <w:rPr/>
            </w:pPr>
            <w:r>
              <w:rPr/>
              <w:t> </w:t>
            </w:r>
          </w:p>
        </w:tc>
        <w:tc>
          <w:tcPr>
            <w:tcW w:w="180" w:type="dxa"/>
            <w:tcBorders/>
            <w:shd w:fill="CFF0FC" w:val="clear"/>
            <w:vAlign w:val="center"/>
          </w:tcPr>
          <w:p>
            <w:pPr>
              <w:pStyle w:val="TableContents"/>
              <w:bidi w:val="0"/>
              <w:spacing w:before="0" w:after="283"/>
              <w:jc w:val="left"/>
              <w:rPr/>
            </w:pPr>
            <w:r>
              <w:rPr/>
              <w:t> </w:t>
            </w:r>
          </w:p>
        </w:tc>
        <w:tc>
          <w:tcPr>
            <w:tcW w:w="260"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(18%)</w:t>
            </w:r>
          </w:p>
        </w:tc>
      </w:tr>
      <w:tr>
        <w:trPr/>
        <w:tc>
          <w:tcPr>
            <w:tcW w:w="29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Restructuring and other charges</w:t>
            </w:r>
          </w:p>
        </w:tc>
        <w:tc>
          <w:tcPr>
            <w:tcW w:w="146" w:type="dxa"/>
            <w:tcBorders/>
            <w:shd w:fill="FFFFFF" w:val="cle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(100%)</w:t>
            </w:r>
          </w:p>
        </w:tc>
      </w:tr>
      <w:tr>
        <w:trPr/>
        <w:tc>
          <w:tcPr>
            <w:tcW w:w="29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costs and expenses</w:t>
            </w:r>
          </w:p>
        </w:tc>
        <w:tc>
          <w:tcPr>
            <w:tcW w:w="146" w:type="dxa"/>
            <w:tcBorders/>
            <w:shd w:fill="CFF0FC" w:val="cle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38,405</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(21%)</w:t>
            </w:r>
          </w:p>
        </w:tc>
      </w:tr>
    </w:tbl>
    <w:p>
      <w:pPr>
        <w:pStyle w:val="TextBody"/>
        <w:bidi w:val="0"/>
        <w:spacing w:before="200" w:after="283"/>
        <w:jc w:val="both"/>
        <w:rPr>
          <w:rFonts w:ascii="Arial" w:hAnsi="Arial"/>
          <w:i/>
          <w:color w:val="000000"/>
          <w:sz w:val="18"/>
        </w:rPr>
      </w:pPr>
      <w:r>
        <w:rPr>
          <w:rFonts w:ascii="Arial" w:hAnsi="Arial"/>
          <w:i/>
          <w:color w:val="000000"/>
          <w:sz w:val="18"/>
        </w:rPr>
        <w:t>Cost of revenue</w:t>
      </w:r>
    </w:p>
    <w:p>
      <w:pPr>
        <w:pStyle w:val="TextBody"/>
        <w:bidi w:val="0"/>
        <w:spacing w:before="200" w:after="283"/>
        <w:jc w:val="both"/>
        <w:rPr>
          <w:rFonts w:ascii="Times New Roman" w:hAnsi="Times New Roman"/>
          <w:sz w:val="20"/>
        </w:rPr>
      </w:pPr>
      <w:r>
        <w:rPr>
          <w:rFonts w:ascii="Arial" w:hAnsi="Arial"/>
          <w:color w:val="000000"/>
          <w:sz w:val="18"/>
        </w:rPr>
        <w:t>Cost of revenue remained flat despite a 4% increase in revenue. This was primarily due to lower labor costs resulting from workforce reductions and operational efficiencies, in addition to dedication of more laboratory resources to support sample processing required for clinical evidence generation, which is a non-revenue generating activity and thus reported as R&amp;D expense.</w:t>
      </w:r>
      <w:r>
        <w:rPr>
          <w:rFonts w:ascii="Times New Roman" w:hAnsi="Times New Roman"/>
          <w:color w:val="000000"/>
          <w:sz w:val="20"/>
        </w:rPr>
        <w:t xml:space="preserve"> </w:t>
      </w:r>
    </w:p>
    <w:p>
      <w:pPr>
        <w:pStyle w:val="TextBody"/>
        <w:bidi w:val="0"/>
        <w:spacing w:before="200" w:after="283"/>
        <w:jc w:val="both"/>
        <w:rPr>
          <w:rFonts w:ascii="Arial" w:hAnsi="Arial"/>
          <w:color w:val="000000"/>
          <w:sz w:val="18"/>
        </w:rPr>
      </w:pPr>
      <w:r>
        <w:rPr>
          <w:rFonts w:ascii="Arial" w:hAnsi="Arial"/>
          <w:color w:val="000000"/>
          <w:sz w:val="18"/>
        </w:rPr>
        <w:t>Specific offsetting components were a $1.0 million decrease in shared laboratory costs due to greater usage of our laboratory capacity for R&amp;D activities, a $0.9 million decrease in labor costs, and a $0.1 million decrease in outside services; partially offset by a $1.0 million increase in facilities and equipment costs (mainly due to our move of our laboratory from our prior Menlo Park facility to our Fremont facility), and a $0.9 million increase in direct material costs mostly in connection with higher Natera volumes.</w:t>
      </w:r>
    </w:p>
    <w:p>
      <w:pPr>
        <w:pStyle w:val="TextBody"/>
        <w:bidi w:val="0"/>
        <w:spacing w:before="240" w:after="283"/>
        <w:jc w:val="center"/>
        <w:rPr>
          <w:rFonts w:ascii="Arial" w:hAnsi="Arial"/>
          <w:color w:val="000000"/>
          <w:sz w:val="18"/>
        </w:rPr>
      </w:pPr>
      <w:r>
        <w:rPr>
          <w:rFonts w:ascii="Arial" w:hAnsi="Arial"/>
          <w:color w:val="000000"/>
          <w:sz w:val="18"/>
        </w:rPr>
        <w:t>24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i/>
          <w:color w:val="000000"/>
          <w:sz w:val="18"/>
        </w:rPr>
      </w:pPr>
      <w:r>
        <w:rPr>
          <w:rFonts w:ascii="Arial" w:hAnsi="Arial"/>
          <w:i/>
          <w:color w:val="000000"/>
          <w:sz w:val="18"/>
        </w:rPr>
        <w:t>Research and development</w:t>
      </w:r>
    </w:p>
    <w:p>
      <w:pPr>
        <w:pStyle w:val="TextBody"/>
        <w:bidi w:val="0"/>
        <w:spacing w:before="200" w:after="283"/>
        <w:jc w:val="both"/>
        <w:rPr>
          <w:rFonts w:ascii="Times New Roman" w:hAnsi="Times New Roman"/>
          <w:sz w:val="20"/>
        </w:rPr>
      </w:pPr>
      <w:r>
        <w:rPr>
          <w:rFonts w:ascii="Arial" w:hAnsi="Arial"/>
          <w:color w:val="000000"/>
          <w:sz w:val="18"/>
        </w:rPr>
        <w:t>The decrease in research and development expenses of 23%, or $3.8 million, was primarily due to cost savings from our workforce reductions in 2023.</w:t>
      </w:r>
      <w:r>
        <w:rPr>
          <w:rFonts w:ascii="Times New Roman" w:hAnsi="Times New Roman"/>
          <w:color w:val="000000"/>
          <w:sz w:val="20"/>
        </w:rPr>
        <w:t xml:space="preserve"> </w:t>
      </w:r>
    </w:p>
    <w:p>
      <w:pPr>
        <w:pStyle w:val="TextBody"/>
        <w:bidi w:val="0"/>
        <w:spacing w:before="200" w:after="283"/>
        <w:jc w:val="both"/>
        <w:rPr>
          <w:rFonts w:ascii="Arial" w:hAnsi="Arial"/>
          <w:color w:val="000000"/>
          <w:sz w:val="18"/>
        </w:rPr>
      </w:pPr>
      <w:r>
        <w:rPr>
          <w:rFonts w:ascii="Arial" w:hAnsi="Arial"/>
          <w:color w:val="000000"/>
          <w:sz w:val="18"/>
        </w:rPr>
        <w:t>Specific components of the decrease were a $2.6 million decrease in personnel-related costs driven by our workforce reductions and a $1.8 million decrease in facilities costs (primarily due to a reduction in research and development expenses for use of our facilities relative to other functions, as well as lower facilities costs in general); partially offset by a $0.6 million increase in sample processing costs incurred in our laboratory for product development, collaborations, and clinical evidence generation.</w:t>
      </w:r>
    </w:p>
    <w:p>
      <w:pPr>
        <w:pStyle w:val="TextBody"/>
        <w:bidi w:val="0"/>
        <w:spacing w:before="200" w:after="283"/>
        <w:jc w:val="both"/>
        <w:rPr>
          <w:rFonts w:ascii="Arial" w:hAnsi="Arial"/>
          <w:i/>
          <w:color w:val="000000"/>
          <w:sz w:val="18"/>
        </w:rPr>
      </w:pPr>
      <w:r>
        <w:rPr>
          <w:rFonts w:ascii="Arial" w:hAnsi="Arial"/>
          <w:i/>
          <w:color w:val="000000"/>
          <w:sz w:val="18"/>
        </w:rPr>
        <w:t>Selling, general and administrative</w:t>
      </w:r>
    </w:p>
    <w:p>
      <w:pPr>
        <w:pStyle w:val="TextBody"/>
        <w:bidi w:val="0"/>
        <w:spacing w:before="200" w:after="283"/>
        <w:jc w:val="both"/>
        <w:rPr>
          <w:rFonts w:ascii="Times New Roman" w:hAnsi="Times New Roman"/>
          <w:sz w:val="20"/>
        </w:rPr>
      </w:pPr>
      <w:r>
        <w:rPr>
          <w:rFonts w:ascii="Arial" w:hAnsi="Arial"/>
          <w:color w:val="000000"/>
          <w:sz w:val="18"/>
        </w:rPr>
        <w:t>The decrease in selling, general and administrative expenses of 18%, or $2.5 million, was primarily due to cost savings from our workforce reductions in 2023.</w:t>
      </w:r>
      <w:r>
        <w:rPr>
          <w:rFonts w:ascii="Times New Roman" w:hAnsi="Times New Roman"/>
          <w:color w:val="000000"/>
          <w:sz w:val="20"/>
        </w:rPr>
        <w:t xml:space="preserve"> </w:t>
      </w:r>
    </w:p>
    <w:p>
      <w:pPr>
        <w:pStyle w:val="TextBody"/>
        <w:bidi w:val="0"/>
        <w:spacing w:before="200" w:after="283"/>
        <w:jc w:val="both"/>
        <w:rPr>
          <w:rFonts w:ascii="Arial" w:hAnsi="Arial"/>
          <w:color w:val="000000"/>
          <w:sz w:val="18"/>
        </w:rPr>
      </w:pPr>
      <w:r>
        <w:rPr>
          <w:rFonts w:ascii="Arial" w:hAnsi="Arial"/>
          <w:color w:val="000000"/>
          <w:sz w:val="18"/>
        </w:rPr>
        <w:t>Specific components of the decrease were a $1.5 million decrease in personnel-related costs driven by our reductions in workforce in 2023, a $1.1 million decrease in professional outside services, and a $0.2 million decrease in marketing costs such as trade shows expenses; partially offset by a $0.3 million increase in facilities costs.</w:t>
      </w:r>
    </w:p>
    <w:p>
      <w:pPr>
        <w:pStyle w:val="TextBody"/>
        <w:bidi w:val="0"/>
        <w:spacing w:before="200" w:after="283"/>
        <w:jc w:val="both"/>
        <w:rPr>
          <w:rFonts w:ascii="Arial" w:hAnsi="Arial"/>
          <w:i/>
          <w:color w:val="000000"/>
          <w:sz w:val="18"/>
        </w:rPr>
      </w:pPr>
      <w:r>
        <w:rPr>
          <w:rFonts w:ascii="Arial" w:hAnsi="Arial"/>
          <w:i/>
          <w:color w:val="000000"/>
          <w:sz w:val="18"/>
        </w:rPr>
        <w:t>Restructuring and other charges</w:t>
      </w:r>
    </w:p>
    <w:p>
      <w:pPr>
        <w:pStyle w:val="TextBody"/>
        <w:bidi w:val="0"/>
        <w:spacing w:before="200" w:after="283"/>
        <w:jc w:val="both"/>
        <w:rPr>
          <w:rFonts w:ascii="Arial" w:hAnsi="Arial"/>
          <w:color w:val="000000"/>
          <w:sz w:val="18"/>
        </w:rPr>
      </w:pPr>
      <w:r>
        <w:rPr>
          <w:rFonts w:ascii="Arial" w:hAnsi="Arial"/>
          <w:color w:val="000000"/>
          <w:sz w:val="18"/>
        </w:rPr>
        <w:t>We reduced our workforce during the first quarter of 2023 to reduce cash burn and increase operating efficiencies, which affected about 100 employees. We also closed our China operations.</w:t>
      </w:r>
    </w:p>
    <w:p>
      <w:pPr>
        <w:pStyle w:val="TextBody"/>
        <w:bidi w:val="0"/>
        <w:spacing w:before="200" w:after="283"/>
        <w:jc w:val="both"/>
        <w:rPr>
          <w:rFonts w:ascii="Arial" w:hAnsi="Arial"/>
          <w:color w:val="000000"/>
          <w:sz w:val="18"/>
        </w:rPr>
      </w:pPr>
      <w:r>
        <w:rPr>
          <w:rFonts w:ascii="Arial" w:hAnsi="Arial"/>
          <w:color w:val="000000"/>
          <w:sz w:val="18"/>
        </w:rPr>
        <w:t>The $3.9 million charge recognized in the first quarter of 2023 was comprised of $3.3 million in one-time employee termination benefits (including costs related to termination of our former China employees) and $0.6 million of other noncash charges (primarily asset disposals and impairments in connection with the closure of our China operations).</w:t>
      </w:r>
    </w:p>
    <w:p>
      <w:pPr>
        <w:pStyle w:val="TextBody"/>
        <w:bidi w:val="0"/>
        <w:spacing w:before="200" w:after="200"/>
        <w:jc w:val="both"/>
        <w:rPr>
          <w:rFonts w:ascii="Arial" w:hAnsi="Arial"/>
          <w:b/>
          <w:i/>
          <w:color w:val="000000"/>
          <w:sz w:val="18"/>
        </w:rPr>
      </w:pPr>
      <w:r>
        <w:rPr>
          <w:rFonts w:ascii="Arial" w:hAnsi="Arial"/>
          <w:b/>
          <w:i/>
          <w:color w:val="000000"/>
          <w:sz w:val="18"/>
        </w:rPr>
        <w:t>Interest Income, Interest Expense, and Other Income (Expense), Net</w:t>
      </w:r>
    </w:p>
    <w:tbl>
      <w:tblPr>
        <w:tblW w:w="6402" w:type="dxa"/>
        <w:jc w:val="left"/>
        <w:tblInd w:w="0" w:type="dxa"/>
        <w:tblLayout w:type="fixed"/>
        <w:tblCellMar>
          <w:top w:w="28" w:type="dxa"/>
          <w:left w:w="28" w:type="dxa"/>
          <w:bottom w:w="28" w:type="dxa"/>
          <w:right w:w="28" w:type="dxa"/>
        </w:tblCellMar>
      </w:tblPr>
      <w:tblGrid>
        <w:gridCol w:w="2431"/>
        <w:gridCol w:w="346"/>
        <w:gridCol w:w="286"/>
        <w:gridCol w:w="776"/>
        <w:gridCol w:w="225"/>
        <w:gridCol w:w="198"/>
        <w:gridCol w:w="286"/>
        <w:gridCol w:w="776"/>
        <w:gridCol w:w="166"/>
        <w:gridCol w:w="146"/>
        <w:gridCol w:w="766"/>
      </w:tblGrid>
      <w:tr>
        <w:trPr/>
        <w:tc>
          <w:tcPr>
            <w:tcW w:w="24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r>
      <w:tr>
        <w:trPr/>
        <w:tc>
          <w:tcPr>
            <w:tcW w:w="2431" w:type="dxa"/>
            <w:tcBorders/>
            <w:shd w:fill="FFFFFF" w:val="cle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pPr>
            <w:r>
              <w:rPr/>
              <w:t> </w:t>
            </w:r>
          </w:p>
        </w:tc>
      </w:tr>
      <w:tr>
        <w:trPr/>
        <w:tc>
          <w:tcPr>
            <w:tcW w:w="24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3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1,359</w:t>
            </w:r>
          </w:p>
        </w:tc>
        <w:tc>
          <w:tcPr>
            <w:tcW w:w="225" w:type="dxa"/>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jc w:val="center"/>
              <w:rPr>
                <w:rFonts w:ascii="Arial" w:hAnsi="Arial"/>
                <w:color w:val="000000"/>
                <w:sz w:val="18"/>
              </w:rPr>
            </w:pPr>
            <w:r>
              <w:rPr>
                <w:rFonts w:ascii="Arial" w:hAnsi="Arial"/>
                <w:color w:val="000000"/>
                <w:sz w:val="18"/>
              </w:rPr>
              <w:t>8%</w:t>
            </w:r>
          </w:p>
        </w:tc>
      </w:tr>
      <w:tr>
        <w:trPr/>
        <w:tc>
          <w:tcPr>
            <w:tcW w:w="243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3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w:t>
            </w:r>
          </w:p>
        </w:tc>
        <w:tc>
          <w:tcPr>
            <w:tcW w:w="22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8"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(81%)</w:t>
            </w:r>
          </w:p>
        </w:tc>
      </w:tr>
      <w:tr>
        <w:trPr/>
        <w:tc>
          <w:tcPr>
            <w:tcW w:w="243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 net</w:t>
            </w:r>
          </w:p>
        </w:tc>
        <w:tc>
          <w:tcPr>
            <w:tcW w:w="346" w:type="dxa"/>
            <w:tcBorders/>
            <w:shd w:fill="CFF0FC" w:val="cle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4,569</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shd w:fill="CFF0FC" w:val="clear"/>
            <w:vAlign w:val="center"/>
          </w:tcPr>
          <w:p>
            <w:pPr>
              <w:pStyle w:val="TableContents"/>
              <w:bidi w:val="0"/>
              <w:spacing w:before="0" w:after="283"/>
              <w:ind w:left="0" w:right="0" w:firstLine="200"/>
              <w:jc w:val="center"/>
              <w:rPr>
                <w:rFonts w:ascii="Arial" w:hAnsi="Arial"/>
                <w:color w:val="000000"/>
                <w:sz w:val="18"/>
              </w:rPr>
            </w:pPr>
            <w:r>
              <w:rPr>
                <w:rFonts w:ascii="Arial" w:hAnsi="Arial"/>
                <w:color w:val="000000"/>
                <w:sz w:val="18"/>
              </w:rPr>
              <w:t>NM</w:t>
            </w:r>
          </w:p>
        </w:tc>
      </w:tr>
      <w:tr>
        <w:trPr/>
        <w:tc>
          <w:tcPr>
            <w:tcW w:w="2431" w:type="dxa"/>
            <w:tcBorders/>
            <w:shd w:fill="FFFFFF" w:val="cle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5,919</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pPr>
            <w:r>
              <w:rPr/>
              <w:t> </w:t>
            </w:r>
          </w:p>
        </w:tc>
      </w:tr>
    </w:tbl>
    <w:p>
      <w:pPr>
        <w:pStyle w:val="TextBody"/>
        <w:bidi w:val="0"/>
        <w:spacing w:before="200" w:after="283"/>
        <w:jc w:val="both"/>
        <w:rPr>
          <w:rFonts w:ascii="Arial" w:hAnsi="Arial"/>
          <w:i/>
          <w:color w:val="000000"/>
          <w:sz w:val="18"/>
        </w:rPr>
      </w:pPr>
      <w:r>
        <w:rPr>
          <w:rFonts w:ascii="Arial" w:hAnsi="Arial"/>
          <w:i/>
          <w:color w:val="000000"/>
          <w:sz w:val="18"/>
        </w:rPr>
        <w:t>Interest income and interest expense</w:t>
      </w:r>
    </w:p>
    <w:p>
      <w:pPr>
        <w:pStyle w:val="TextBody"/>
        <w:bidi w:val="0"/>
        <w:spacing w:before="200" w:after="283"/>
        <w:jc w:val="both"/>
        <w:rPr>
          <w:rFonts w:ascii="Arial" w:hAnsi="Arial"/>
          <w:color w:val="000000"/>
          <w:sz w:val="18"/>
        </w:rPr>
      </w:pPr>
      <w:r>
        <w:rPr>
          <w:rFonts w:ascii="Arial" w:hAnsi="Arial"/>
          <w:color w:val="000000"/>
          <w:sz w:val="18"/>
        </w:rPr>
        <w:t>The increase in interest income was due to increased yields on our investments. Interest expense is the recognition of imputed interest on noninterest bearing loans.</w:t>
      </w:r>
    </w:p>
    <w:p>
      <w:pPr>
        <w:pStyle w:val="TextBody"/>
        <w:bidi w:val="0"/>
        <w:spacing w:before="200" w:after="283"/>
        <w:jc w:val="both"/>
        <w:rPr>
          <w:rFonts w:ascii="Arial" w:hAnsi="Arial"/>
          <w:i/>
          <w:color w:val="000000"/>
          <w:sz w:val="18"/>
        </w:rPr>
      </w:pPr>
      <w:r>
        <w:rPr>
          <w:rFonts w:ascii="Arial" w:hAnsi="Arial"/>
          <w:i/>
          <w:color w:val="000000"/>
          <w:sz w:val="18"/>
        </w:rPr>
        <w:t>Other income (expense), net</w:t>
      </w:r>
    </w:p>
    <w:p>
      <w:pPr>
        <w:pStyle w:val="TextBody"/>
        <w:bidi w:val="0"/>
        <w:spacing w:before="200" w:after="283"/>
        <w:jc w:val="both"/>
        <w:rPr>
          <w:rFonts w:ascii="Arial" w:hAnsi="Arial"/>
          <w:color w:val="000000"/>
          <w:sz w:val="18"/>
        </w:rPr>
      </w:pPr>
      <w:r>
        <w:rPr>
          <w:rFonts w:ascii="Arial" w:hAnsi="Arial"/>
          <w:color w:val="000000"/>
          <w:sz w:val="18"/>
        </w:rPr>
        <w:t>In November 2023, we issued the Tempus Warrants. If Tempus acquires any shares of common stock directly from us other than by exercise of the Tempus Warrants, then the total number of shares issuable upon exercise of the Tempus Warrants will be reduced by such number of shares acquired. Because the number of shares issuable upon settlement are subject to adjustment, the Tempus Warrants are classified as liability instruments and are subject to remeasurement at each balance sheet date, with changes in fair value recognized as other income (expense). Fair value of the Tempus Warrants decreased by $4.8 million as of March 31, 2024 as compared to December 31, 2023. The decrease in fair value resulted in a $4.8 million noncash gain recognized in the first quarter of 2024.</w:t>
      </w:r>
    </w:p>
    <w:p>
      <w:pPr>
        <w:pStyle w:val="TextBody"/>
        <w:bidi w:val="0"/>
        <w:spacing w:before="200" w:after="283"/>
        <w:jc w:val="both"/>
        <w:rPr>
          <w:rFonts w:ascii="Arial" w:hAnsi="Arial"/>
          <w:color w:val="000000"/>
          <w:sz w:val="18"/>
        </w:rPr>
      </w:pPr>
      <w:r>
        <w:rPr>
          <w:rFonts w:ascii="Arial" w:hAnsi="Arial"/>
          <w:color w:val="000000"/>
          <w:sz w:val="18"/>
        </w:rPr>
        <w:t>Separately, upon dissolution of our China entity (Personalis (Shanghai) Ltd) during the first quarter of 2024, we reclassified an accumulated foreign currency translation loss of $0.2 million to other income (expense).</w:t>
      </w:r>
    </w:p>
    <w:p>
      <w:pPr>
        <w:pStyle w:val="TextBody"/>
        <w:bidi w:val="0"/>
        <w:spacing w:before="240" w:after="283"/>
        <w:jc w:val="center"/>
        <w:rPr>
          <w:rFonts w:ascii="Arial" w:hAnsi="Arial"/>
          <w:color w:val="000000"/>
          <w:sz w:val="18"/>
        </w:rPr>
      </w:pPr>
      <w:r>
        <w:rPr>
          <w:rFonts w:ascii="Arial" w:hAnsi="Arial"/>
          <w:color w:val="000000"/>
          <w:sz w:val="18"/>
        </w:rPr>
        <w:t>25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r>
        <w:rPr>
          <w:rFonts w:ascii="Arial" w:hAnsi="Arial"/>
          <w:b/>
          <w:color w:val="000000"/>
          <w:sz w:val="18"/>
        </w:rPr>
        <w:t>Liquidity and Capital Resources</w:t>
      </w:r>
    </w:p>
    <w:p>
      <w:pPr>
        <w:pStyle w:val="TextBody"/>
        <w:bidi w:val="0"/>
        <w:spacing w:before="200" w:after="200"/>
        <w:jc w:val="both"/>
        <w:rPr>
          <w:rFonts w:ascii="Arial" w:hAnsi="Arial"/>
          <w:color w:val="000000"/>
          <w:sz w:val="18"/>
        </w:rPr>
      </w:pPr>
      <w:r>
        <w:rPr>
          <w:rFonts w:ascii="Arial" w:hAnsi="Arial"/>
          <w:color w:val="000000"/>
          <w:sz w:val="18"/>
        </w:rPr>
        <w:t>The following table presents selected financial information (in thousands):</w:t>
      </w:r>
    </w:p>
    <w:tbl>
      <w:tblPr>
        <w:tblW w:w="8100" w:type="dxa"/>
        <w:jc w:val="left"/>
        <w:tblInd w:w="0" w:type="dxa"/>
        <w:tblLayout w:type="fixed"/>
        <w:tblCellMar>
          <w:top w:w="28" w:type="dxa"/>
          <w:left w:w="28" w:type="dxa"/>
          <w:bottom w:w="28" w:type="dxa"/>
          <w:right w:w="28" w:type="dxa"/>
        </w:tblCellMar>
      </w:tblPr>
      <w:tblGrid>
        <w:gridCol w:w="4636"/>
        <w:gridCol w:w="146"/>
        <w:gridCol w:w="299"/>
        <w:gridCol w:w="961"/>
        <w:gridCol w:w="146"/>
        <w:gridCol w:w="146"/>
        <w:gridCol w:w="335"/>
        <w:gridCol w:w="1240"/>
        <w:gridCol w:w="1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and short-term investments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95,419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114,179</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54,529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57,366</w:t>
            </w:r>
          </w:p>
        </w:tc>
        <w:tc>
          <w:tcPr>
            <w:tcW w:w="191" w:type="dxa"/>
            <w:tcBorders/>
            <w:shd w:fill="FFFFFF" w:val="cle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Contract liabilities</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124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7,216</w:t>
            </w:r>
          </w:p>
        </w:tc>
        <w:tc>
          <w:tcPr>
            <w:tcW w:w="191" w:type="dxa"/>
            <w:tcBorders/>
            <w:shd w:fill="CFF0FC" w:val="cle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Working capital</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89,066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24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99,510</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color w:val="000000"/>
          <w:sz w:val="18"/>
        </w:rPr>
      </w:pPr>
      <w:r>
        <w:rPr>
          <w:rFonts w:ascii="Arial" w:hAnsi="Arial"/>
          <w:color w:val="000000"/>
          <w:sz w:val="18"/>
        </w:rPr>
        <w:t>From our inception through March 31, 2024, we have funded our operations primarily from $279.0 million in net proceeds from our follow-on equity offerings in August 2020 and January 2021, $144.0 million in net proceeds from our IPO in June 2019, $89.6 million from issuance of redeemable convertible preferred stock, $5.0 million in net proceeds from our at-the-market ("ATM") sales facility (see Note 2, "Summary of Significant Accounting Policies" in our unaudited condensed consolidated financial statements for additional information), as well as cash from operations and debt financings. As of March 31, 2024, we had cash and cash equivalents of $44.0 million and short-term investments of $51.4 million.</w:t>
      </w:r>
    </w:p>
    <w:p>
      <w:pPr>
        <w:pStyle w:val="TextBody"/>
        <w:bidi w:val="0"/>
        <w:spacing w:before="200" w:after="283"/>
        <w:jc w:val="both"/>
        <w:rPr>
          <w:rFonts w:ascii="Arial" w:hAnsi="Arial"/>
          <w:color w:val="000000"/>
          <w:sz w:val="18"/>
        </w:rPr>
      </w:pPr>
      <w:r>
        <w:rPr>
          <w:rFonts w:ascii="Arial" w:hAnsi="Arial"/>
          <w:color w:val="000000"/>
          <w:sz w:val="18"/>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pStyle w:val="TextBody"/>
        <w:bidi w:val="0"/>
        <w:spacing w:before="200" w:after="283"/>
        <w:jc w:val="both"/>
        <w:rPr>
          <w:rFonts w:ascii="Arial" w:hAnsi="Arial"/>
          <w:color w:val="000000"/>
          <w:sz w:val="18"/>
        </w:rPr>
      </w:pPr>
      <w:r>
        <w:rPr>
          <w:rFonts w:ascii="Arial" w:hAnsi="Arial"/>
          <w:color w:val="000000"/>
          <w:sz w:val="18"/>
        </w:rPr>
        <w:t>We have based these future funding requirements on assumptions that may prove to be wrong, and we could utilize our available capital resources sooner than we expect. If our available cash balances and anticipated cash flow from operations are insufficient to satisfy our liquidity requirements, including because of lower demand for our services or other risks described in this Quarterly Report on Form 10-Q, we may seek to sell additional common or preferred equity or convertible debt securities, enter into an additional credit facility or another form of third-party funding or seek other debt financing. We filed a sales agreement prospectus in December 2023 pursuant to which we may offer and sell up to an aggregate amount of $50.0 million of shares of our common stock through our ATM facility. As of March 31, 2024, $48.5 million in common stock remained available for future issuance under the ATM facility.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pStyle w:val="TextBody"/>
        <w:bidi w:val="0"/>
        <w:spacing w:before="200" w:after="283"/>
        <w:jc w:val="both"/>
        <w:rPr>
          <w:rFonts w:ascii="Arial" w:hAnsi="Arial"/>
          <w:color w:val="000000"/>
          <w:sz w:val="18"/>
        </w:rPr>
      </w:pPr>
      <w:r>
        <w:rPr>
          <w:rFonts w:ascii="Arial" w:hAnsi="Arial"/>
          <w:color w:val="000000"/>
          <w:sz w:val="18"/>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pStyle w:val="TextBody"/>
        <w:bidi w:val="0"/>
        <w:spacing w:before="200" w:after="283"/>
        <w:jc w:val="both"/>
        <w:rPr>
          <w:rFonts w:ascii="Arial" w:hAnsi="Arial"/>
          <w:b/>
          <w:i/>
          <w:color w:val="000000"/>
          <w:sz w:val="18"/>
        </w:rPr>
      </w:pPr>
      <w:r>
        <w:rPr>
          <w:rFonts w:ascii="Arial" w:hAnsi="Arial"/>
          <w:b/>
          <w:i/>
          <w:color w:val="000000"/>
          <w:sz w:val="18"/>
        </w:rPr>
        <w:t>Cash Flows</w:t>
      </w:r>
    </w:p>
    <w:p>
      <w:pPr>
        <w:pStyle w:val="TextBody"/>
        <w:bidi w:val="0"/>
        <w:jc w:val="left"/>
        <w:rPr/>
      </w:pPr>
      <w:r>
        <w:rPr/>
        <w:t> </w:t>
      </w:r>
    </w:p>
    <w:tbl>
      <w:tblPr>
        <w:tblW w:w="6295" w:type="dxa"/>
        <w:jc w:val="left"/>
        <w:tblInd w:w="0" w:type="dxa"/>
        <w:tblLayout w:type="fixed"/>
        <w:tblCellMar>
          <w:top w:w="28" w:type="dxa"/>
          <w:left w:w="28" w:type="dxa"/>
          <w:bottom w:w="28" w:type="dxa"/>
          <w:right w:w="28" w:type="dxa"/>
        </w:tblCellMar>
      </w:tblPr>
      <w:tblGrid>
        <w:gridCol w:w="3391"/>
        <w:gridCol w:w="146"/>
        <w:gridCol w:w="243"/>
        <w:gridCol w:w="851"/>
        <w:gridCol w:w="191"/>
        <w:gridCol w:w="168"/>
        <w:gridCol w:w="243"/>
        <w:gridCol w:w="851"/>
        <w:gridCol w:w="2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(20,413</w:t>
            </w:r>
          </w:p>
        </w:tc>
        <w:tc>
          <w:tcPr>
            <w:tcW w:w="1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(15,745</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9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6,301</w:t>
            </w:r>
          </w:p>
        </w:tc>
        <w:tc>
          <w:tcPr>
            <w:tcW w:w="191"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85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13,793</w:t>
            </w:r>
          </w:p>
        </w:tc>
        <w:tc>
          <w:tcPr>
            <w:tcW w:w="211" w:type="dxa"/>
            <w:tcBorders/>
            <w:shd w:fill="FFFFFF" w:val="clear"/>
            <w:vAlign w:val="center"/>
          </w:tcPr>
          <w:p>
            <w:pPr>
              <w:pStyle w:val="TableContents"/>
              <w:bidi w:val="0"/>
              <w:spacing w:before="0" w:after="283"/>
              <w:jc w:val="left"/>
              <w:rPr/>
            </w:pPr>
            <w:r>
              <w:rPr/>
              <w:t> </w:t>
            </w:r>
          </w:p>
        </w:tc>
      </w:tr>
      <w:tr>
        <w:trPr/>
        <w:tc>
          <w:tcPr>
            <w:tcW w:w="339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1,129</w:t>
            </w:r>
          </w:p>
        </w:tc>
        <w:tc>
          <w:tcPr>
            <w:tcW w:w="191"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85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color w:val="000000"/>
          <w:sz w:val="18"/>
        </w:rPr>
      </w:pPr>
      <w:r>
        <w:rPr>
          <w:rFonts w:ascii="Arial" w:hAnsi="Arial"/>
          <w:color w:val="000000"/>
          <w:sz w:val="18"/>
        </w:rPr>
        <w:t>The $4.7 million increase in cash used in operating activities was primarily due to working capital needs. For example, our annual bonus was paid during the first quarter of 2024 whereas it was paid in the second quarter of 2023. Also, during the first quarter of 2023, we received a significant customer deposit in connection with our agreement with Moderna to support its ongoing clinical trials evaluating a personalized cancer vaccine, whereas we received no such comparable customer deposits during the first quarter of 2024. These items were partially offset by higher customer collections in the first quarter of 2024 as compared to the first quarter of 2023.</w:t>
      </w:r>
    </w:p>
    <w:p>
      <w:pPr>
        <w:pStyle w:val="TextBody"/>
        <w:bidi w:val="0"/>
        <w:spacing w:before="200" w:after="283"/>
        <w:jc w:val="both"/>
        <w:rPr>
          <w:rFonts w:ascii="Arial" w:hAnsi="Arial"/>
          <w:color w:val="000000"/>
          <w:sz w:val="18"/>
        </w:rPr>
      </w:pPr>
      <w:r>
        <w:rPr>
          <w:rFonts w:ascii="Arial" w:hAnsi="Arial"/>
          <w:color w:val="000000"/>
          <w:sz w:val="18"/>
        </w:rPr>
        <w:t>The $7.5 million decrease in cash provided by investing activities was due to lower net proceeds from short-term investment maturities, partially offset by a $3.7 million reduction in capital expenditures.</w:t>
      </w:r>
    </w:p>
    <w:p>
      <w:pPr>
        <w:pStyle w:val="TextBody"/>
        <w:bidi w:val="0"/>
        <w:spacing w:before="200" w:after="283"/>
        <w:jc w:val="both"/>
        <w:rPr>
          <w:rFonts w:ascii="Arial" w:hAnsi="Arial"/>
          <w:color w:val="000000"/>
          <w:sz w:val="18"/>
        </w:rPr>
      </w:pPr>
      <w:r>
        <w:rPr>
          <w:rFonts w:ascii="Arial" w:hAnsi="Arial"/>
          <w:color w:val="000000"/>
          <w:sz w:val="18"/>
        </w:rPr>
        <w:t>The $1.1 million of cash provided by financing activities during the first quarter of 2024 was comprised of $1.4 million proceeds from sales of common stock under our ATM facility, partially offset by $0.3 million repayments of loans. The comparable period in 2023 had no financing activities.</w:t>
      </w:r>
    </w:p>
    <w:p>
      <w:pPr>
        <w:pStyle w:val="TextBody"/>
        <w:bidi w:val="0"/>
        <w:spacing w:before="200" w:after="283"/>
        <w:jc w:val="both"/>
        <w:rPr>
          <w:rFonts w:ascii="Arial" w:hAnsi="Arial"/>
          <w:b/>
          <w:color w:val="000000"/>
          <w:sz w:val="18"/>
        </w:rPr>
      </w:pPr>
      <w:r>
        <w:rPr>
          <w:rFonts w:ascii="Arial" w:hAnsi="Arial"/>
          <w:b/>
          <w:color w:val="000000"/>
          <w:sz w:val="18"/>
        </w:rPr>
        <w:t>Material Cash Requirements</w:t>
      </w:r>
    </w:p>
    <w:p>
      <w:pPr>
        <w:pStyle w:val="TextBody"/>
        <w:bidi w:val="0"/>
        <w:spacing w:before="200" w:after="283"/>
        <w:jc w:val="both"/>
        <w:rPr>
          <w:rFonts w:ascii="Arial" w:hAnsi="Arial"/>
          <w:color w:val="000000"/>
          <w:sz w:val="18"/>
        </w:rPr>
      </w:pPr>
      <w:r>
        <w:rPr>
          <w:rFonts w:ascii="Arial" w:hAnsi="Arial"/>
          <w:color w:val="000000"/>
          <w:sz w:val="18"/>
        </w:rPr>
        <w:t>Our material cash requirements in the short- and long-term consist primarily of variable costs of revenue, operating expenditures, capital expenditures, property leases, and other. We plan to fund our material cash requirements with our existing cash and cash equivalents and short-term investments, which amounted to $95.4 million as of March 31, 2024, as well as anticipated cash receipts from customers. To fund our material cash requirements in the short- and long-term, we may also seek to sell additional common or preferred equity or convertible debt securities, enter into an additional credit facility or another form of third-party funding or seek other debt financing.</w:t>
      </w:r>
    </w:p>
    <w:p>
      <w:pPr>
        <w:pStyle w:val="TextBody"/>
        <w:bidi w:val="0"/>
        <w:spacing w:before="240" w:after="283"/>
        <w:jc w:val="center"/>
        <w:rPr>
          <w:rFonts w:ascii="Arial" w:hAnsi="Arial"/>
          <w:color w:val="000000"/>
          <w:sz w:val="18"/>
        </w:rPr>
      </w:pPr>
      <w:r>
        <w:rPr>
          <w:rFonts w:ascii="Arial" w:hAnsi="Arial"/>
          <w:color w:val="000000"/>
          <w:sz w:val="18"/>
        </w:rPr>
        <w:t>26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i/>
          <w:color w:val="000000"/>
          <w:sz w:val="18"/>
        </w:rPr>
        <w:t>Variable costs of revenue</w:t>
      </w:r>
      <w:r>
        <w:rPr>
          <w:rFonts w:ascii="Arial" w:hAnsi="Arial"/>
          <w:color w:val="000000"/>
          <w:sz w:val="18"/>
        </w:rPr>
        <w:t>. From time to time in the ordinary course of business, we enter into agreements with vendors for the purchase of raw 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 We currently expect spending in this area to increase in 2024 relative to 2023 primarily to support future growth in sales of our clinical diagnostics tests.</w:t>
      </w:r>
    </w:p>
    <w:p>
      <w:pPr>
        <w:pStyle w:val="TextBody"/>
        <w:bidi w:val="0"/>
        <w:spacing w:before="200" w:after="283"/>
        <w:jc w:val="both"/>
        <w:rPr>
          <w:rFonts w:ascii="Times New Roman" w:hAnsi="Times New Roman"/>
          <w:sz w:val="20"/>
        </w:rPr>
      </w:pPr>
      <w:r>
        <w:rPr>
          <w:rFonts w:ascii="Arial" w:hAnsi="Arial"/>
          <w:i/>
          <w:color w:val="000000"/>
          <w:sz w:val="18"/>
        </w:rPr>
        <w:t>Operating expenditures</w:t>
      </w:r>
      <w:r>
        <w:rPr>
          <w:rFonts w:ascii="Arial" w:hAnsi="Arial"/>
          <w:color w:val="000000"/>
          <w:sz w:val="18"/>
        </w:rPr>
        <w:t>. Our primary use of cash relates to employee compensation, spend on professional services, spend related to research and development projects, and other costs to support our research and development, selling, general and administrative functions. We currently expect our spend in these areas to decrease in 2024 relative to 2023 as a result of our workforce reductions in 2023. On a long-term basis, we manage future cash requirements relative to our long-term business plans.</w:t>
      </w:r>
    </w:p>
    <w:p>
      <w:pPr>
        <w:pStyle w:val="TextBody"/>
        <w:bidi w:val="0"/>
        <w:spacing w:before="200" w:after="283"/>
        <w:jc w:val="both"/>
        <w:rPr>
          <w:rFonts w:ascii="Times New Roman" w:hAnsi="Times New Roman"/>
          <w:sz w:val="20"/>
        </w:rPr>
      </w:pPr>
      <w:r>
        <w:rPr>
          <w:rFonts w:ascii="Arial" w:hAnsi="Arial"/>
          <w:i/>
          <w:color w:val="000000"/>
          <w:sz w:val="18"/>
        </w:rPr>
        <w:t>Capital expenditures</w:t>
      </w:r>
      <w:r>
        <w:rPr>
          <w:rFonts w:ascii="Arial" w:hAnsi="Arial"/>
          <w:color w:val="000000"/>
          <w:sz w:val="18"/>
        </w:rPr>
        <w:t>. Capital expenditures are expected to decrease from 2023 levels as we have completed significant laboratory capacity additions. Going forward, our capital expenditures are expected to consist primarily of laboratory equipment and computer equipment. We currently expect capital expenditures to be approximately $1 million in 2024 and between $4 million to $6 million in each of the years 2025 and 2026.</w:t>
      </w:r>
    </w:p>
    <w:p>
      <w:pPr>
        <w:pStyle w:val="TextBody"/>
        <w:bidi w:val="0"/>
        <w:spacing w:before="200" w:after="283"/>
        <w:jc w:val="both"/>
        <w:rPr>
          <w:rFonts w:ascii="Times New Roman" w:hAnsi="Times New Roman"/>
          <w:sz w:val="20"/>
        </w:rPr>
      </w:pPr>
      <w:r>
        <w:rPr>
          <w:rFonts w:ascii="Arial" w:hAnsi="Arial"/>
          <w:i/>
          <w:color w:val="000000"/>
          <w:sz w:val="18"/>
        </w:rPr>
        <w:t xml:space="preserve">Property leases. </w:t>
      </w:r>
      <w:r>
        <w:rPr>
          <w:rFonts w:ascii="Arial" w:hAnsi="Arial"/>
          <w:color w:val="000000"/>
          <w:sz w:val="18"/>
        </w:rPr>
        <w:t>Our noncancelable operating lease payments were $76.6 million as of March 31, 2024. The timing of these future payments, by year, can be found in Part I, Item 1 of this Form 10-Q in the Notes to Unaudited Condensed Consolidated Financial Statements in Note 7, “Leases.”</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Arial" w:hAnsi="Arial"/>
          <w:i/>
          <w:color w:val="000000"/>
          <w:sz w:val="18"/>
        </w:rPr>
        <w:t>Other.</w:t>
      </w:r>
      <w:r>
        <w:rPr>
          <w:rFonts w:ascii="Times New Roman" w:hAnsi="Times New Roman"/>
          <w:color w:val="000000"/>
          <w:sz w:val="20"/>
        </w:rPr>
        <w:t xml:space="preserve"> </w:t>
      </w:r>
      <w:r>
        <w:rPr>
          <w:rFonts w:ascii="Arial" w:hAnsi="Arial"/>
          <w:color w:val="000000"/>
          <w:sz w:val="18"/>
        </w:rPr>
        <w:t>As of March 31, 2024, we have an outstanding noninterest bearing loan that was used to finance the purchase of equipment for our laboratory. We owe a total of $2.2 million, with $0.9 million of that owed in the remaining months of 2024 and the remainder in 2025. Additionally, we have an outstanding noninterest bearing loan that was used to finance the purchase of internal use software licenses and related ongoing support. We will make a payment of $0.4 million in September 2024 to pay off this loan. Further discussion of the loans can be found in Part I, Item 1 of this Form 10-Q in the Notes to Unaudited Condensed Consolidated Financial Statements in Note 6, “Loans.”</w:t>
      </w:r>
    </w:p>
    <w:p>
      <w:pPr>
        <w:pStyle w:val="TextBody"/>
        <w:bidi w:val="0"/>
        <w:spacing w:before="200" w:after="283"/>
        <w:jc w:val="both"/>
        <w:rPr>
          <w:rFonts w:ascii="Arial" w:hAnsi="Arial"/>
          <w:b/>
          <w:color w:val="000000"/>
          <w:sz w:val="18"/>
        </w:rPr>
      </w:pPr>
      <w:r>
        <w:rPr>
          <w:rFonts w:ascii="Arial" w:hAnsi="Arial"/>
          <w:b/>
          <w:color w:val="000000"/>
          <w:sz w:val="18"/>
        </w:rPr>
        <w:t>Critical Accounting Policies and Estimates</w:t>
      </w:r>
    </w:p>
    <w:p>
      <w:pPr>
        <w:pStyle w:val="TextBody"/>
        <w:bidi w:val="0"/>
        <w:spacing w:before="200" w:after="283"/>
        <w:jc w:val="both"/>
        <w:rPr>
          <w:rFonts w:ascii="Arial" w:hAnsi="Arial"/>
          <w:color w:val="000000"/>
          <w:sz w:val="18"/>
        </w:rPr>
      </w:pPr>
      <w:r>
        <w:rPr>
          <w:rFonts w:ascii="Arial" w:hAnsi="Arial"/>
          <w:color w:val="000000"/>
          <w:sz w:val="18"/>
        </w:rPr>
        <w:t>Our financial statements are prepared in accordance with U.S. GAAP. The preparation of our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both"/>
        <w:rPr>
          <w:rFonts w:ascii="Arial" w:hAnsi="Arial"/>
          <w:color w:val="000000"/>
          <w:sz w:val="18"/>
        </w:rPr>
      </w:pPr>
      <w:r>
        <w:rPr>
          <w:rFonts w:ascii="Arial" w:hAnsi="Arial"/>
          <w:color w:val="000000"/>
          <w:sz w:val="18"/>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leases, and common stock warrants have the greatest potential impact on our financial statements. Therefore, we consider these to be our critical accounting policies and estimates.</w:t>
      </w:r>
    </w:p>
    <w:p>
      <w:pPr>
        <w:pStyle w:val="TextBody"/>
        <w:bidi w:val="0"/>
        <w:spacing w:before="200" w:after="283"/>
        <w:jc w:val="both"/>
        <w:rPr>
          <w:rFonts w:ascii="Arial" w:hAnsi="Arial"/>
          <w:color w:val="000000"/>
          <w:sz w:val="18"/>
        </w:rPr>
      </w:pPr>
      <w:r>
        <w:rPr>
          <w:rFonts w:ascii="Arial" w:hAnsi="Arial"/>
          <w:color w:val="000000"/>
          <w:sz w:val="18"/>
        </w:rPr>
        <w:t>There have been no material changes to our critical accounting policies and estimates as compared to the critical accounting policies and estimates described in our Annual Report on Form 10-K for the fiscal year ended December 31, 2023 under the caption “Critical Accounting Policies and Estimates” in Management’s Discussion and Analysis of Financial Condition and Results of Operations, set forth in Part II, Item 7.</w:t>
      </w:r>
    </w:p>
    <w:p>
      <w:pPr>
        <w:pStyle w:val="TextBody"/>
        <w:bidi w:val="0"/>
        <w:spacing w:before="200" w:after="283"/>
        <w:jc w:val="both"/>
        <w:rPr>
          <w:rFonts w:ascii="Arial" w:hAnsi="Arial"/>
          <w:b/>
          <w:color w:val="000000"/>
          <w:sz w:val="18"/>
        </w:rPr>
      </w:pPr>
      <w:r>
        <w:rPr>
          <w:rFonts w:ascii="Arial" w:hAnsi="Arial"/>
          <w:b/>
          <w:color w:val="000000"/>
          <w:sz w:val="18"/>
        </w:rPr>
        <w:t>Recent Accounting Pronouncements</w:t>
      </w:r>
    </w:p>
    <w:p>
      <w:pPr>
        <w:pStyle w:val="TextBody"/>
        <w:bidi w:val="0"/>
        <w:spacing w:before="200" w:after="200"/>
        <w:jc w:val="both"/>
        <w:rPr>
          <w:rFonts w:ascii="Arial" w:hAnsi="Arial"/>
          <w:color w:val="000000"/>
          <w:sz w:val="18"/>
        </w:rPr>
      </w:pPr>
      <w:r>
        <w:rPr>
          <w:rFonts w:ascii="Arial" w:hAnsi="Arial"/>
          <w:color w:val="000000"/>
          <w:sz w:val="18"/>
        </w:rPr>
        <w:t>See the section titled “Summary of Significant Accounting Policies—Recent Accounting Pronouncements” in Note 2 to our unaudited condensed consolidated financial statements for additional information.</w:t>
      </w:r>
    </w:p>
    <w:p>
      <w:pPr>
        <w:pStyle w:val="TextBody"/>
        <w:bidi w:val="0"/>
        <w:spacing w:before="240" w:after="283"/>
        <w:jc w:val="center"/>
        <w:rPr>
          <w:rFonts w:ascii="Arial" w:hAnsi="Arial"/>
          <w:color w:val="000000"/>
          <w:sz w:val="18"/>
        </w:rPr>
      </w:pPr>
      <w:r>
        <w:rPr>
          <w:rFonts w:ascii="Arial" w:hAnsi="Arial"/>
          <w:color w:val="000000"/>
          <w:sz w:val="18"/>
        </w:rPr>
        <w:t>27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26" w:name="item_3_quantitative_qualitative_disclosu"/>
      <w:bookmarkEnd w:id="26"/>
      <w:r>
        <w:rPr>
          <w:rFonts w:ascii="Arial" w:hAnsi="Arial"/>
          <w:b/>
          <w:color w:val="000000"/>
          <w:sz w:val="18"/>
        </w:rPr>
        <w:t>Item 3. Quantitative and Qualitative</w:t>
      </w:r>
      <w:r>
        <w:rPr>
          <w:rFonts w:ascii="Times New Roman" w:hAnsi="Times New Roman"/>
          <w:color w:val="000000"/>
          <w:sz w:val="20"/>
        </w:rPr>
        <w:t xml:space="preserve"> </w:t>
      </w:r>
      <w:r>
        <w:rPr>
          <w:rFonts w:ascii="Arial" w:hAnsi="Arial"/>
          <w:b/>
          <w:color w:val="000000"/>
          <w:sz w:val="18"/>
        </w:rPr>
        <w:t>Disclosures About Market Risk.</w:t>
      </w:r>
    </w:p>
    <w:p>
      <w:pPr>
        <w:pStyle w:val="TextBody"/>
        <w:bidi w:val="0"/>
        <w:spacing w:before="200" w:after="200"/>
        <w:jc w:val="both"/>
        <w:rPr>
          <w:rFonts w:ascii="Arial" w:hAnsi="Arial"/>
          <w:color w:val="000000"/>
          <w:sz w:val="18"/>
        </w:rPr>
      </w:pPr>
      <w:r>
        <w:rPr>
          <w:rFonts w:ascii="Arial" w:hAnsi="Arial"/>
          <w:color w:val="000000"/>
          <w:sz w:val="18"/>
        </w:rPr>
        <w:t>As a “smaller reporting company,” we are not required to provide the information under this item.</w:t>
      </w:r>
    </w:p>
    <w:p>
      <w:pPr>
        <w:pStyle w:val="TextBody"/>
        <w:bidi w:val="0"/>
        <w:spacing w:before="200" w:after="283"/>
        <w:jc w:val="both"/>
        <w:rPr>
          <w:rFonts w:ascii="Arial" w:hAnsi="Arial"/>
          <w:b/>
          <w:color w:val="000000"/>
          <w:sz w:val="18"/>
        </w:rPr>
      </w:pPr>
      <w:bookmarkStart w:id="27" w:name="item_4_controls_procedures"/>
      <w:bookmarkEnd w:id="27"/>
      <w:r>
        <w:rPr>
          <w:rFonts w:ascii="Arial" w:hAnsi="Arial"/>
          <w:b/>
          <w:color w:val="000000"/>
          <w:sz w:val="18"/>
        </w:rPr>
        <w:t>Item 4. Controls and Procedures.</w:t>
      </w:r>
    </w:p>
    <w:p>
      <w:pPr>
        <w:pStyle w:val="TextBody"/>
        <w:bidi w:val="0"/>
        <w:spacing w:before="200" w:after="283"/>
        <w:jc w:val="both"/>
        <w:rPr>
          <w:rFonts w:ascii="Arial" w:hAnsi="Arial"/>
          <w:b/>
          <w:color w:val="000000"/>
          <w:sz w:val="18"/>
        </w:rPr>
      </w:pPr>
      <w:r>
        <w:rPr>
          <w:rFonts w:ascii="Arial" w:hAnsi="Arial"/>
          <w:b/>
          <w:color w:val="000000"/>
          <w:sz w:val="18"/>
        </w:rPr>
        <w:t>Evaluation of Disclosure Controls and Procedures</w:t>
      </w:r>
    </w:p>
    <w:p>
      <w:pPr>
        <w:pStyle w:val="TextBody"/>
        <w:bidi w:val="0"/>
        <w:spacing w:before="200" w:after="283"/>
        <w:jc w:val="both"/>
        <w:rPr>
          <w:rFonts w:ascii="Arial" w:hAnsi="Arial"/>
          <w:color w:val="000000"/>
          <w:sz w:val="18"/>
        </w:rPr>
      </w:pPr>
      <w:r>
        <w:rPr>
          <w:rFonts w:ascii="Arial" w:hAnsi="Arial"/>
          <w:color w:val="000000"/>
          <w:sz w:val="18"/>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Quarterly Report on Form 10-Q. Based on that evaluation, our CEO and CFO have concluded that as of March 31, 2024,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disclosures.</w:t>
      </w:r>
    </w:p>
    <w:p>
      <w:pPr>
        <w:pStyle w:val="TextBody"/>
        <w:bidi w:val="0"/>
        <w:spacing w:before="200" w:after="283"/>
        <w:jc w:val="both"/>
        <w:rPr>
          <w:rFonts w:ascii="Arial" w:hAnsi="Arial"/>
          <w:b/>
          <w:color w:val="000000"/>
          <w:sz w:val="18"/>
        </w:rPr>
      </w:pPr>
      <w:r>
        <w:rPr>
          <w:rFonts w:ascii="Arial" w:hAnsi="Arial"/>
          <w:b/>
          <w:color w:val="000000"/>
          <w:sz w:val="18"/>
        </w:rPr>
        <w:t>Changes in Internal Control</w:t>
      </w:r>
    </w:p>
    <w:p>
      <w:pPr>
        <w:pStyle w:val="TextBody"/>
        <w:bidi w:val="0"/>
        <w:spacing w:before="200" w:after="283"/>
        <w:jc w:val="both"/>
        <w:rPr>
          <w:rFonts w:ascii="Arial" w:hAnsi="Arial"/>
          <w:color w:val="000000"/>
          <w:sz w:val="18"/>
        </w:rPr>
      </w:pPr>
      <w:r>
        <w:rPr>
          <w:rFonts w:ascii="Arial" w:hAnsi="Arial"/>
          <w:color w:val="000000"/>
          <w:sz w:val="18"/>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CEO and our CFO,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pStyle w:val="TextBody"/>
        <w:bidi w:val="0"/>
        <w:spacing w:before="200" w:after="283"/>
        <w:jc w:val="both"/>
        <w:rPr>
          <w:rFonts w:ascii="Arial" w:hAnsi="Arial"/>
          <w:b/>
          <w:color w:val="000000"/>
          <w:sz w:val="18"/>
        </w:rPr>
      </w:pPr>
      <w:r>
        <w:rPr>
          <w:rFonts w:ascii="Arial" w:hAnsi="Arial"/>
          <w:b/>
          <w:color w:val="000000"/>
          <w:sz w:val="18"/>
        </w:rPr>
        <w:t>Limitations on Controls</w:t>
      </w:r>
    </w:p>
    <w:p>
      <w:pPr>
        <w:pStyle w:val="TextBody"/>
        <w:bidi w:val="0"/>
        <w:spacing w:before="200" w:after="200"/>
        <w:jc w:val="both"/>
        <w:rPr>
          <w:rFonts w:ascii="Arial" w:hAnsi="Arial"/>
          <w:color w:val="000000"/>
          <w:sz w:val="18"/>
        </w:rPr>
      </w:pPr>
      <w:r>
        <w:rPr>
          <w:rFonts w:ascii="Arial" w:hAnsi="Arial"/>
          <w:color w:val="000000"/>
          <w:sz w:val="18"/>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240" w:after="283"/>
        <w:jc w:val="center"/>
        <w:rPr>
          <w:rFonts w:ascii="Arial" w:hAnsi="Arial"/>
          <w:color w:val="000000"/>
          <w:sz w:val="18"/>
        </w:rPr>
      </w:pPr>
      <w:r>
        <w:rPr>
          <w:rFonts w:ascii="Arial" w:hAnsi="Arial"/>
          <w:color w:val="000000"/>
          <w:sz w:val="18"/>
        </w:rPr>
        <w:t>28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28" w:name="part_iior_information"/>
      <w:bookmarkEnd w:id="28"/>
      <w:r>
        <w:rPr>
          <w:rFonts w:ascii="Arial" w:hAnsi="Arial"/>
          <w:b/>
          <w:color w:val="000000"/>
          <w:sz w:val="18"/>
        </w:rPr>
        <w:t>PART II — OTHER</w:t>
      </w:r>
      <w:r>
        <w:rPr>
          <w:rFonts w:ascii="Times New Roman" w:hAnsi="Times New Roman"/>
          <w:color w:val="000000"/>
          <w:sz w:val="20"/>
        </w:rPr>
        <w:t xml:space="preserve"> </w:t>
      </w:r>
      <w:r>
        <w:rPr>
          <w:rFonts w:ascii="Arial" w:hAnsi="Arial"/>
          <w:b/>
          <w:color w:val="000000"/>
          <w:sz w:val="18"/>
        </w:rPr>
        <w:t>INFORMATION</w:t>
      </w:r>
    </w:p>
    <w:p>
      <w:pPr>
        <w:pStyle w:val="TextBody"/>
        <w:bidi w:val="0"/>
        <w:spacing w:before="240" w:after="283"/>
        <w:jc w:val="both"/>
        <w:rPr>
          <w:rFonts w:ascii="Arial" w:hAnsi="Arial"/>
          <w:b/>
          <w:color w:val="000000"/>
          <w:sz w:val="18"/>
        </w:rPr>
      </w:pPr>
      <w:bookmarkStart w:id="29" w:name="item_1_legal_proceedings"/>
      <w:bookmarkEnd w:id="29"/>
      <w:r>
        <w:rPr>
          <w:rFonts w:ascii="Arial" w:hAnsi="Arial"/>
          <w:b/>
          <w:color w:val="000000"/>
          <w:sz w:val="18"/>
        </w:rPr>
        <w:t>Item 1. Legal Proceedings.</w:t>
      </w:r>
    </w:p>
    <w:p>
      <w:pPr>
        <w:pStyle w:val="TextBody"/>
        <w:bidi w:val="0"/>
        <w:spacing w:before="200" w:after="283"/>
        <w:jc w:val="both"/>
        <w:rPr>
          <w:rFonts w:ascii="Arial" w:hAnsi="Arial"/>
          <w:color w:val="000000"/>
          <w:sz w:val="18"/>
        </w:rPr>
      </w:pPr>
      <w:r>
        <w:rPr>
          <w:rFonts w:ascii="Arial" w:hAnsi="Arial"/>
          <w:color w:val="000000"/>
          <w:sz w:val="18"/>
        </w:rPr>
        <w:t>See the section titled “Contingencies” in Note 11 to our unaudited condensed consolidated financial statements.</w:t>
      </w:r>
    </w:p>
    <w:p>
      <w:pPr>
        <w:pStyle w:val="TextBody"/>
        <w:bidi w:val="0"/>
        <w:spacing w:before="200" w:after="283"/>
        <w:jc w:val="both"/>
        <w:rPr>
          <w:rFonts w:ascii="Times New Roman" w:hAnsi="Times New Roman"/>
          <w:sz w:val="20"/>
        </w:rPr>
      </w:pPr>
      <w:bookmarkStart w:id="30" w:name="item_1a_risk_factors"/>
      <w:bookmarkEnd w:id="30"/>
      <w:r>
        <w:rPr>
          <w:rFonts w:ascii="Arial" w:hAnsi="Arial"/>
          <w:b/>
          <w:color w:val="000000"/>
          <w:sz w:val="18"/>
        </w:rPr>
        <w:t>Item 1A. Risk</w:t>
      </w:r>
      <w:r>
        <w:rPr>
          <w:rFonts w:ascii="Times New Roman" w:hAnsi="Times New Roman"/>
          <w:color w:val="000000"/>
          <w:sz w:val="20"/>
        </w:rPr>
        <w:t xml:space="preserve"> </w:t>
      </w:r>
      <w:r>
        <w:rPr>
          <w:rFonts w:ascii="Arial" w:hAnsi="Arial"/>
          <w:b/>
          <w:color w:val="000000"/>
          <w:sz w:val="18"/>
        </w:rPr>
        <w:t>Factors.</w:t>
      </w:r>
    </w:p>
    <w:p>
      <w:pPr>
        <w:pStyle w:val="TextBody"/>
        <w:bidi w:val="0"/>
        <w:spacing w:before="200" w:after="283"/>
        <w:jc w:val="left"/>
        <w:rPr>
          <w:rFonts w:ascii="Arial" w:hAnsi="Arial"/>
          <w:b/>
          <w:color w:val="000000"/>
          <w:sz w:val="18"/>
        </w:rPr>
      </w:pPr>
      <w:r>
        <w:rPr>
          <w:rFonts w:ascii="Arial" w:hAnsi="Arial"/>
          <w:b/>
          <w:color w:val="000000"/>
          <w:sz w:val="18"/>
        </w:rPr>
        <w:t>Summary of Risk Factors</w:t>
      </w:r>
    </w:p>
    <w:p>
      <w:pPr>
        <w:pStyle w:val="TextBody"/>
        <w:bidi w:val="0"/>
        <w:spacing w:before="200" w:after="283"/>
        <w:jc w:val="both"/>
        <w:rPr>
          <w:rFonts w:ascii="Arial" w:hAnsi="Arial"/>
          <w:i/>
          <w:color w:val="000000"/>
          <w:sz w:val="18"/>
        </w:rPr>
      </w:pPr>
      <w:r>
        <w:rPr>
          <w:rFonts w:ascii="Arial" w:hAnsi="Arial"/>
          <w:i/>
          <w:color w:val="000000"/>
          <w:sz w:val="18"/>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pStyle w:val="TextBody"/>
        <w:bidi w:val="0"/>
        <w:spacing w:before="120" w:after="283"/>
        <w:jc w:val="both"/>
        <w:rPr>
          <w:rFonts w:ascii="Arial" w:hAnsi="Arial"/>
          <w:b/>
          <w:color w:val="000000"/>
          <w:sz w:val="18"/>
        </w:rPr>
      </w:pPr>
      <w:r>
        <w:rPr>
          <w:rFonts w:ascii="Arial" w:hAnsi="Arial"/>
          <w:b/>
          <w:color w:val="000000"/>
          <w:sz w:val="18"/>
        </w:rPr>
        <w:t>Operational, Strategic and Business Risks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We have a history of losses and we expect to incur significant losses for the foreseeable future and may not be able to generate sufficient revenue to achieve or sustain profitability.</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We have substantial customer concentration, with a limited number of customers accounting for a substantial portion of our revenue and accounts receivable; in particular, we currently derive a substantial portion of our revenue from one of our largest customers, Natera, and in the past have derived a substantial portion of our revenue from another of our largest customers, the VA MVP.</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When we grow our business by developing in vitro diagnostic tests, we may be subject to reimbursement challenges.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We rely on a limited number of suppliers, or in some cases, a sole supplier, for some laboratory instruments and materials, and we may not be able to replace or immediately transition to alternative suppliers should we need to do so.</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our facilities become damaged or inoperable, or we are required to vacate the facilities, our ability to sell and provide our services and pursue our research and development efforts may be jeopardized.</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we cannot develop services and products to keep pace with rapid advances in technology, medicine, and science our operating results and competitive position could be harmed.</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The loss of key members of our executive management team or the inability to hire, retain, or motivate highly skilled personnel could adversely affect our business.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We may not be able to manage our future growth effectively, which could make it difficult to execute our business strategy.</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We may acquire businesses or assets, form joint ventures, or make investments in other companies or technologies that could harm our operating results, dilute stockholders’ ownership, or cause us to incur debt or significant expense.</w:t>
      </w:r>
    </w:p>
    <w:p>
      <w:pPr>
        <w:pStyle w:val="TextBody"/>
        <w:bidi w:val="0"/>
        <w:spacing w:before="120" w:after="283"/>
        <w:jc w:val="both"/>
        <w:rPr>
          <w:rFonts w:ascii="Arial" w:hAnsi="Arial"/>
          <w:b/>
          <w:color w:val="000000"/>
          <w:sz w:val="18"/>
        </w:rPr>
      </w:pPr>
      <w:r>
        <w:rPr>
          <w:rFonts w:ascii="Arial" w:hAnsi="Arial"/>
          <w:b/>
          <w:color w:val="000000"/>
          <w:sz w:val="18"/>
        </w:rPr>
        <w:t>Regulatory, Legal and Cybersecurity Risks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Complying with numerous statutes and regulations pertaining to our business is an expensive and time-consuming process, and we may be subject to regulatory action if we or our service or product offerings do not comply with applicable requirements.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Our internal information technology systems, or those of our third-party vendors, contractors, or consultants, may fail or suffer security breaches, loss or leakage of data, and other disruptions, which could adversely affect our business.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Failure or perceived failure to comply with existing or future laws, regulations, contracts, self-regulatory schemes, standards, and other obligations related to data privacy and security (including security incidents) could harm our business. Compliance or the actual or perceived failure to comply with such obligations could increase the cost of our offerings, limit their use or adoption, and otherwise negatively affect our operating results and business.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Changes in health care policy could increase our costs, decrease our revenue, and impact sales of and reimbursement for our tests. When we grow our business by developing in vitro diagnostic tests, we may be subject to reimbursement challenges.</w:t>
      </w:r>
    </w:p>
    <w:p>
      <w:pPr>
        <w:pStyle w:val="TextBody"/>
        <w:bidi w:val="0"/>
        <w:spacing w:before="240" w:after="283"/>
        <w:jc w:val="center"/>
        <w:rPr>
          <w:rFonts w:ascii="Arial" w:hAnsi="Arial"/>
          <w:color w:val="000000"/>
          <w:sz w:val="18"/>
        </w:rPr>
      </w:pPr>
      <w:r>
        <w:rPr>
          <w:rFonts w:ascii="Arial" w:hAnsi="Arial"/>
          <w:color w:val="000000"/>
          <w:sz w:val="18"/>
        </w:rPr>
        <w:t>29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20" w:after="283"/>
        <w:jc w:val="both"/>
        <w:rPr>
          <w:rFonts w:ascii="Arial" w:hAnsi="Arial"/>
          <w:b/>
          <w:color w:val="000000"/>
          <w:sz w:val="18"/>
        </w:rPr>
      </w:pPr>
      <w:r>
        <w:rPr>
          <w:rFonts w:ascii="Arial" w:hAnsi="Arial"/>
          <w:b/>
          <w:color w:val="000000"/>
          <w:sz w:val="18"/>
        </w:rPr>
        <w:t>Intellectual Property Risks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 xml:space="preserve">Litigation or other proceedings or claims of intellectual property infringement, misappropriation, breach of license terms or other violations may require us to spend significant time and money, including damages, and could prevent us from selling our tests. </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we cannot license rights to use necessary technologies on reasonable terms, we may not be able to commercialize new services and products.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we are unable to protect the confidentiality of our trade secrets and know-how, our business would be harmed.</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Our use of “open source” software could subject our proprietary software to general release, adversely affect our ability to sell our products and services, and subject us to possible litigation.</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our trademarks and trade names are not adequately protected, then we may not be able to build name recognition in our markets of interest and our business may be adversely affected.</w:t>
      </w:r>
    </w:p>
    <w:p>
      <w:pPr>
        <w:pStyle w:val="TextBody"/>
        <w:bidi w:val="0"/>
        <w:spacing w:before="120" w:after="283"/>
        <w:jc w:val="both"/>
        <w:rPr>
          <w:rFonts w:ascii="Arial" w:hAnsi="Arial"/>
          <w:b/>
          <w:color w:val="000000"/>
          <w:sz w:val="18"/>
        </w:rPr>
      </w:pPr>
      <w:r>
        <w:rPr>
          <w:rFonts w:ascii="Arial" w:hAnsi="Arial"/>
          <w:b/>
          <w:color w:val="000000"/>
          <w:sz w:val="18"/>
        </w:rPr>
        <w:t>Financial and Market Risks and Risks Related to Owning Our Common Stock</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Our inability to raise additional capital on acceptable terms in the future may limit our ability to continue to operate our business and further expand our operations.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The market price of our common stock may be volatile or may decline steeply or suddenly regardless of our operating performance, we may not be able to meet investor or analyst expectations, and you may lose all or part of your investment.</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Our quarterly results may fluctuate significantly, which could adversely impact our common stock’s value.</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Insiders may exercise significant control over our company and will be able to influence corporate matters.</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Future sales of shares by existing stockholders, or the perception that such sales could occur, could cause the stock price of our common stock to decline.</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We do not currently intend to pay dividends on our common stock and, consequently, your ability to achieve a return on your investment will depend on appreciation of the value of our common stock.</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If securities or industry analysts do not publish research or reports about our business, or publish inaccurate or unfavorable research about our business, our stock price and trading volume could decline.</w:t>
      </w:r>
    </w:p>
    <w:p>
      <w:pPr>
        <w:pStyle w:val="TextBody"/>
        <w:bidi w:val="0"/>
        <w:spacing w:before="120" w:after="120"/>
        <w:jc w:val="both"/>
        <w:rPr>
          <w:color w:val="000000"/>
        </w:rPr>
      </w:pPr>
      <w:r>
        <w:rPr>
          <w:color w:val="000000"/>
        </w:rPr>
        <w:t>•</w:t>
      </w:r>
    </w:p>
    <w:p>
      <w:pPr>
        <w:pStyle w:val="TextBody"/>
        <w:bidi w:val="0"/>
        <w:spacing w:before="120" w:after="120"/>
        <w:jc w:val="both"/>
        <w:rPr>
          <w:rFonts w:ascii="Arial" w:hAnsi="Arial"/>
          <w:color w:val="000000"/>
          <w:sz w:val="18"/>
        </w:rPr>
      </w:pPr>
      <w:r>
        <w:rPr>
          <w:rFonts w:ascii="Arial" w:hAnsi="Arial"/>
          <w:color w:val="000000"/>
          <w:sz w:val="18"/>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pStyle w:val="TextBody"/>
        <w:bidi w:val="0"/>
        <w:spacing w:before="120" w:after="200"/>
        <w:jc w:val="both"/>
        <w:rPr>
          <w:color w:val="000000"/>
        </w:rPr>
      </w:pPr>
      <w:r>
        <w:rPr>
          <w:color w:val="000000"/>
        </w:rPr>
        <w:t>•</w:t>
      </w:r>
    </w:p>
    <w:p>
      <w:pPr>
        <w:pStyle w:val="TextBody"/>
        <w:bidi w:val="0"/>
        <w:spacing w:before="120" w:after="200"/>
        <w:jc w:val="both"/>
        <w:rPr>
          <w:rFonts w:ascii="Arial" w:hAnsi="Arial"/>
          <w:color w:val="000000"/>
          <w:sz w:val="18"/>
        </w:rPr>
      </w:pPr>
      <w:r>
        <w:rPr>
          <w:rFonts w:ascii="Arial" w:hAnsi="Arial"/>
          <w:color w:val="000000"/>
          <w:sz w:val="18"/>
        </w:rPr>
        <w:t>Our disclosure controls and procedures may not prevent or detect all errors or acts of fraud.</w:t>
      </w:r>
    </w:p>
    <w:p>
      <w:pPr>
        <w:pStyle w:val="TextBody"/>
        <w:bidi w:val="0"/>
        <w:spacing w:before="240" w:after="283"/>
        <w:jc w:val="center"/>
        <w:rPr>
          <w:rFonts w:ascii="Arial" w:hAnsi="Arial"/>
          <w:color w:val="000000"/>
          <w:sz w:val="18"/>
        </w:rPr>
      </w:pPr>
      <w:r>
        <w:rPr>
          <w:rFonts w:ascii="Arial" w:hAnsi="Arial"/>
          <w:color w:val="000000"/>
          <w:sz w:val="18"/>
        </w:rPr>
        <w:t>30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r>
        <w:rPr>
          <w:rFonts w:ascii="Arial" w:hAnsi="Arial"/>
          <w:b/>
          <w:color w:val="000000"/>
          <w:sz w:val="18"/>
        </w:rPr>
        <w:t>Risk Factors.</w:t>
      </w:r>
      <w:r>
        <w:rPr>
          <w:rFonts w:ascii="Times New Roman" w:hAnsi="Times New Roman"/>
          <w:color w:val="000000"/>
          <w:sz w:val="20"/>
        </w:rPr>
        <w:t xml:space="preserve"> </w:t>
      </w:r>
    </w:p>
    <w:p>
      <w:pPr>
        <w:pStyle w:val="TextBody"/>
        <w:bidi w:val="0"/>
        <w:spacing w:before="200" w:after="283"/>
        <w:jc w:val="both"/>
        <w:rPr>
          <w:rFonts w:ascii="Arial" w:hAnsi="Arial"/>
          <w:i/>
          <w:color w:val="000000"/>
          <w:sz w:val="18"/>
        </w:rPr>
      </w:pPr>
      <w:r>
        <w:rPr>
          <w:rFonts w:ascii="Arial" w:hAnsi="Arial"/>
          <w:i/>
          <w:color w:val="000000"/>
          <w:sz w:val="18"/>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The risk factors set forth below that are marked with an asterisk (*) contain changes to the similarly titled risk factors included in, or did not appear as separate risk factors in, Item 1A of our Annual Report on Form 10-K for the year ended December 31, 2023 (Annual Report), which was filed with the SEC on February 28, 2024.</w:t>
      </w:r>
    </w:p>
    <w:p>
      <w:pPr>
        <w:pStyle w:val="TextBody"/>
        <w:bidi w:val="0"/>
        <w:spacing w:before="200" w:after="283"/>
        <w:jc w:val="both"/>
        <w:rPr>
          <w:rFonts w:ascii="Arial" w:hAnsi="Arial"/>
          <w:b/>
          <w:color w:val="000000"/>
          <w:sz w:val="18"/>
        </w:rPr>
      </w:pPr>
      <w:r>
        <w:rPr>
          <w:rFonts w:ascii="Arial" w:hAnsi="Arial"/>
          <w:b/>
          <w:color w:val="000000"/>
          <w:sz w:val="18"/>
        </w:rPr>
        <w:t>Operational, Strategic and Business Risks</w:t>
      </w:r>
    </w:p>
    <w:p>
      <w:pPr>
        <w:pStyle w:val="TextBody"/>
        <w:bidi w:val="0"/>
        <w:spacing w:before="200" w:after="283"/>
        <w:jc w:val="both"/>
        <w:rPr>
          <w:rFonts w:ascii="Arial" w:hAnsi="Arial"/>
          <w:b/>
          <w:i/>
          <w:color w:val="000000"/>
          <w:sz w:val="18"/>
        </w:rPr>
      </w:pPr>
      <w:r>
        <w:rPr>
          <w:rFonts w:ascii="Arial" w:hAnsi="Arial"/>
          <w:b/>
          <w:i/>
          <w:color w:val="000000"/>
          <w:sz w:val="18"/>
        </w:rPr>
        <w:t>We have a history of losses and we expect to incur significant losses for the foreseeable future and may not be able to generate sufficient revenue to achieve or sustain profitability.*</w:t>
      </w:r>
    </w:p>
    <w:p>
      <w:pPr>
        <w:pStyle w:val="TextBody"/>
        <w:bidi w:val="0"/>
        <w:spacing w:before="200" w:after="283"/>
        <w:jc w:val="both"/>
        <w:rPr>
          <w:rFonts w:ascii="Arial" w:hAnsi="Arial"/>
          <w:color w:val="000000"/>
          <w:sz w:val="18"/>
        </w:rPr>
      </w:pPr>
      <w:r>
        <w:rPr>
          <w:rFonts w:ascii="Arial" w:hAnsi="Arial"/>
          <w:color w:val="000000"/>
          <w:sz w:val="18"/>
        </w:rPr>
        <w:t>We have incurred net losses since our inception. For the years ended December 31, 2023, 2022, and 2021 we had net losses of $108 million, $113 million and $65 million, respectively. For the three months ended March 31, 2024, we had a net loss of $13 million. As of March 31, 2024, we had an accumulated deficit of $482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pStyle w:val="TextBody"/>
        <w:bidi w:val="0"/>
        <w:spacing w:before="200" w:after="283"/>
        <w:jc w:val="both"/>
        <w:rPr>
          <w:rFonts w:ascii="Arial" w:hAnsi="Arial"/>
          <w:b/>
          <w:i/>
          <w:color w:val="000000"/>
          <w:sz w:val="18"/>
        </w:rPr>
      </w:pPr>
      <w:r>
        <w:rPr>
          <w:rFonts w:ascii="Arial" w:hAnsi="Arial"/>
          <w:b/>
          <w:i/>
          <w:color w:val="000000"/>
          <w:sz w:val="18"/>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pStyle w:val="TextBody"/>
        <w:bidi w:val="0"/>
        <w:spacing w:before="200" w:after="283"/>
        <w:jc w:val="both"/>
        <w:rPr>
          <w:rFonts w:ascii="Arial" w:hAnsi="Arial"/>
          <w:color w:val="000000"/>
          <w:sz w:val="18"/>
        </w:rPr>
      </w:pPr>
      <w:r>
        <w:rPr>
          <w:rFonts w:ascii="Arial" w:hAnsi="Arial"/>
          <w:color w:val="000000"/>
          <w:sz w:val="18"/>
        </w:rPr>
        <w:t>We currently derive substantially all of our revenue from sales of our services. We began offering our services through our CLIA-certified,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pStyle w:val="TextBody"/>
        <w:bidi w:val="0"/>
        <w:spacing w:before="200" w:after="283"/>
        <w:jc w:val="both"/>
        <w:rPr>
          <w:rFonts w:ascii="Arial" w:hAnsi="Arial"/>
          <w:color w:val="000000"/>
          <w:sz w:val="18"/>
        </w:rPr>
      </w:pPr>
      <w:r>
        <w:rPr>
          <w:rFonts w:ascii="Arial" w:hAnsi="Arial"/>
          <w:color w:val="000000"/>
          <w:sz w:val="18"/>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and through gaining acceptance in medical communities.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pStyle w:val="TextBody"/>
        <w:bidi w:val="0"/>
        <w:spacing w:before="160" w:after="283"/>
        <w:jc w:val="both"/>
        <w:rPr>
          <w:rFonts w:ascii="Arial" w:hAnsi="Arial"/>
          <w:color w:val="000000"/>
          <w:sz w:val="18"/>
        </w:rPr>
      </w:pPr>
      <w:r>
        <w:rPr>
          <w:rFonts w:ascii="Arial" w:hAnsi="Arial"/>
          <w:color w:val="000000"/>
          <w:sz w:val="18"/>
        </w:rPr>
        <w:t>Our ability to successfully market our services that we have developed, and may develop in the future, will depend on numerous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ability to demonstrate the utility and value of our services to our customers and potential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success of our commercial team, including sales and business development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recruitment, hiring, and retention of our commercial team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whether our customers and potential customers accept that our services are sufficiently sensitive and specific;</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ability to educate our customers and potential customers of the utility of the comprehensiveness of our services and of testing patients at multiple time 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ability to continue to fund sales and marketing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whether our services are considered superior to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any negative publicity regarding our or our competitors’ services resulting from defects or errors;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success obtaining and maintaining patent and trade secret protection for our services and technologies;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our success enforcing and defending intellectual property rights and claims.</w:t>
      </w:r>
    </w:p>
    <w:p>
      <w:pPr>
        <w:pStyle w:val="TextBody"/>
        <w:bidi w:val="0"/>
        <w:spacing w:before="240" w:after="283"/>
        <w:jc w:val="center"/>
        <w:rPr>
          <w:rFonts w:ascii="Arial" w:hAnsi="Arial"/>
          <w:color w:val="000000"/>
          <w:sz w:val="18"/>
        </w:rPr>
      </w:pPr>
      <w:r>
        <w:rPr>
          <w:rFonts w:ascii="Arial" w:hAnsi="Arial"/>
          <w:color w:val="000000"/>
          <w:sz w:val="18"/>
        </w:rPr>
        <w:t>31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60" w:after="283"/>
        <w:jc w:val="both"/>
        <w:rPr>
          <w:rFonts w:ascii="Arial" w:hAnsi="Arial"/>
          <w:color w:val="000000"/>
          <w:sz w:val="18"/>
        </w:rPr>
      </w:pPr>
      <w:r>
        <w:rPr>
          <w:rFonts w:ascii="Arial" w:hAnsi="Arial"/>
          <w:color w:val="000000"/>
          <w:sz w:val="18"/>
        </w:rPr>
        <w:t>Failure to achieve broad market acceptance of our services would materially harm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If we cannot compete successfully with our competitors, we may be unable to increase or sustain our revenue or achieve and sustain profitability.*</w:t>
      </w:r>
    </w:p>
    <w:p>
      <w:pPr>
        <w:pStyle w:val="TextBody"/>
        <w:bidi w:val="0"/>
        <w:spacing w:before="160" w:after="283"/>
        <w:jc w:val="both"/>
        <w:rPr>
          <w:rFonts w:ascii="Arial" w:hAnsi="Arial"/>
          <w:color w:val="000000"/>
          <w:sz w:val="18"/>
        </w:rPr>
      </w:pPr>
      <w:r>
        <w:rPr>
          <w:rFonts w:ascii="Arial" w:hAnsi="Arial"/>
          <w:color w:val="000000"/>
          <w:sz w:val="18"/>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educate our customers and potential customers on the benefits of our comprehensive tests compared to simpler panels provided by our competitors. For example, the information that we provide may be more challenging or require additional resources for our customers to interpret than the information provided by our competitors’ less comprehensive assays. In addition, our suppliers or competitors may announce the development of new products, services or features that results in our customers’ or potential customers’ decision to reduce, postpone or cancel orders from us while they wait to determine which products, services or features are or will be perceived as technologically superior, more commercially successful or adopted as standards in the industry; such decisions by our customers or potential customers may be influenced by their concerns regarding the potential obsolescence of data generated using our services and features if our services or features are or will not be perceived as technologically superior, commercially successful or adopted as standards in the industry.</w:t>
      </w:r>
    </w:p>
    <w:p>
      <w:pPr>
        <w:pStyle w:val="TextBody"/>
        <w:bidi w:val="0"/>
        <w:spacing w:before="160" w:after="283"/>
        <w:jc w:val="both"/>
        <w:rPr>
          <w:rFonts w:ascii="Arial" w:hAnsi="Arial"/>
          <w:color w:val="000000"/>
          <w:sz w:val="18"/>
        </w:rPr>
      </w:pPr>
      <w:r>
        <w:rPr>
          <w:rFonts w:ascii="Arial" w:hAnsi="Arial"/>
          <w:color w:val="000000"/>
          <w:sz w:val="18"/>
        </w:rPr>
        <w:t>Some of our present or potential competitors, including Adela, Inc., BostonGene Corporation, Caris Life Sciences, Inc., Foresight Diagnostics Inc. (“Foresight”), Freenome, Inc., Fulgent Genetics, Inc., Geneseeq Technology Inc., GRAIL, Guardant Health, Inc., Haystack Oncology, Inc., which was acquired by Quest Diagnostics Incorporated in June 2023, Invitae Corporation, MedGenome Inc., Myriad Genetics, Inc., Natera, NeoGenomics, Inc., Novogene Corporation, Predicine, Inc., Roche Molecular Systems, Inc., Tempus, and Veracyte,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Also, we have had, and may have in the future, customer or supply relationships with our present or potential competitors. For example, we have an agreement with Natera to provide advanced tumor analysis for use in Natera’s MRD testing offerings. During the three months ended March 31, 2024, revenue under our agreement accounted for 41% of our total revenue. See “—We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 In addition, our present or potential competitors may be acquired by, receive investments from, or enter into other commercial relationships with larger, more well-established and well-financed companies.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or if we cannot maintain successful customer or supply relationships with Natera, Illumina or other present or potential competitors, we may be unable to ensure or increase market acceptance and sales of our current or planned future services, which could prevent us from increasing or sustaining our revenue or achieving or sustaining profitability.</w:t>
      </w:r>
    </w:p>
    <w:p>
      <w:pPr>
        <w:pStyle w:val="TextBody"/>
        <w:bidi w:val="0"/>
        <w:spacing w:before="160" w:after="283"/>
        <w:jc w:val="both"/>
        <w:rPr>
          <w:rFonts w:ascii="Arial" w:hAnsi="Arial"/>
          <w:color w:val="000000"/>
          <w:sz w:val="18"/>
        </w:rPr>
      </w:pPr>
      <w:r>
        <w:rPr>
          <w:rFonts w:ascii="Arial" w:hAnsi="Arial"/>
          <w:color w:val="000000"/>
          <w:sz w:val="18"/>
        </w:rPr>
        <w:t>We expect that biopharmaceutical companies will increasingly focus attention and resources on the targeted and personalized cancer diagnostic sector as the potential and prevalence of molecularly targeted oncology therapies approved by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service or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 In addition, we have limited experience developing diagnostics, have never developed an FDA-approved companion diagnostic, and may be unable to successfully compete against companies with more experience developing and commercializing companion diagnostics.</w:t>
      </w:r>
    </w:p>
    <w:p>
      <w:pPr>
        <w:pStyle w:val="TextBody"/>
        <w:bidi w:val="0"/>
        <w:spacing w:before="160" w:after="283"/>
        <w:jc w:val="both"/>
        <w:rPr>
          <w:rFonts w:ascii="Times New Roman" w:hAnsi="Times New Roman"/>
          <w:sz w:val="20"/>
        </w:rPr>
      </w:pPr>
      <w:r>
        <w:rPr>
          <w:rFonts w:ascii="Arial" w:hAnsi="Arial"/>
          <w:color w:val="000000"/>
          <w:sz w:val="18"/>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60" w:after="283"/>
        <w:jc w:val="both"/>
        <w:rPr>
          <w:rFonts w:ascii="Times New Roman" w:hAnsi="Times New Roman"/>
          <w:sz w:val="20"/>
        </w:rPr>
      </w:pPr>
      <w:r>
        <w:rPr>
          <w:rFonts w:ascii="Arial" w:hAnsi="Arial"/>
          <w:color w:val="000000"/>
          <w:sz w:val="18"/>
        </w:rPr>
        <w:t>services and products in countries where we did not apply for or receive patents and compete with us in those countries, including encouraging the use of their products or services by biopharmaceutical companies in other countries.</w:t>
      </w:r>
      <w:r>
        <w:rPr>
          <w:rFonts w:ascii="Times New Roman" w:hAnsi="Times New Roman"/>
          <w:color w:val="000000"/>
          <w:sz w:val="20"/>
        </w:rPr>
        <w:t xml:space="preserve"> </w:t>
      </w:r>
    </w:p>
    <w:p>
      <w:pPr>
        <w:pStyle w:val="TextBody"/>
        <w:bidi w:val="0"/>
        <w:spacing w:before="200" w:after="283"/>
        <w:jc w:val="both"/>
        <w:rPr>
          <w:rFonts w:ascii="Arial" w:hAnsi="Arial"/>
          <w:b/>
          <w:i/>
          <w:color w:val="000000"/>
          <w:sz w:val="18"/>
        </w:rPr>
      </w:pPr>
      <w:r>
        <w:rPr>
          <w:rFonts w:ascii="Arial" w:hAnsi="Arial"/>
          <w:b/>
          <w:i/>
          <w:color w:val="000000"/>
          <w:sz w:val="18"/>
        </w:rPr>
        <w:t>We have substantial customer concentration, with a limited number of customers accounting for a substantial portion of our revenue and accounts receivable; in particular, we currently derive a substantial portion of our revenue from one of our largest customers, Natera, and in the past have derived a substantial portion of our revenue from another of our largest customers, the VA MVP.*</w:t>
      </w:r>
    </w:p>
    <w:p>
      <w:pPr>
        <w:pStyle w:val="TextBody"/>
        <w:bidi w:val="0"/>
        <w:spacing w:before="200" w:after="283"/>
        <w:jc w:val="both"/>
        <w:rPr>
          <w:rFonts w:ascii="Times New Roman" w:hAnsi="Times New Roman"/>
          <w:sz w:val="20"/>
        </w:rPr>
      </w:pPr>
      <w:r>
        <w:rPr>
          <w:rFonts w:ascii="Arial" w:hAnsi="Arial"/>
          <w:color w:val="000000"/>
          <w:sz w:val="18"/>
        </w:rPr>
        <w:t>Like other genomic profiling companies that sell to the pharmaceutical industry, we have substantial customer concentration. We currently derive a significant portion of our revenue from Natera, which accounted for 41% of our revenue for the three months ended March 31, 2024. We previously derived a significant portion of our revenue from the VA MVP, which more recently accounted for less than 10% of our revenue for the three months ended March 31, 2024. Our top five customers, including Natera and the VA MVP, accounted for 83% of our revenue for the three months ended March 31, 2024. There are inherent risks whenever a large percentage of revenue is concentrated with a limited number of customers. While we have attempted to grow our customer base and diversify our revenue concentration beyond Natera and the VA MVP, we may not be able to successfully do so in the future. Our predictions regarding the future level of demand for our services that will be 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we do not win future VA MVP renewals with a value comparable to that of our historical contracted orders, it may have a material adverse effect on our revenue, cash position, and results of operations. Similarly, if the VA MVP was eliminated, awarded its contract to one of our competitors, further reduced the size of our contract or failed to renew our contract in the future, then our revenue, cash position, and results of operations would be materially adversely impacted. Likewise, if Natera or any of our other significant customers were to reduce or cease their use of our services, then our revenue, cash position, and results of operations may be materially adversely impacted. Further, if any of our significant customers were to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r>
        <w:rPr>
          <w:rFonts w:ascii="Times New Roman" w:hAnsi="Times New Roman"/>
          <w:color w:val="000000"/>
          <w:sz w:val="20"/>
        </w:rPr>
        <w:t xml:space="preserve"> </w:t>
      </w:r>
    </w:p>
    <w:p>
      <w:pPr>
        <w:pStyle w:val="TextBody"/>
        <w:bidi w:val="0"/>
        <w:spacing w:before="200" w:after="283"/>
        <w:jc w:val="both"/>
        <w:rPr>
          <w:rFonts w:ascii="Arial" w:hAnsi="Arial"/>
          <w:b/>
          <w:i/>
          <w:color w:val="000000"/>
          <w:sz w:val="18"/>
        </w:rPr>
      </w:pPr>
      <w:r>
        <w:rPr>
          <w:rFonts w:ascii="Arial" w:hAnsi="Arial"/>
          <w:b/>
          <w:i/>
          <w:color w:val="000000"/>
          <w:sz w:val="18"/>
        </w:rPr>
        <w:t>We currently derive a substantial portion of our revenue from DNA sequencing and data analysis services that we provide to Natera. If Natera’s demand for our DNA sequencing and data analysis services were to be substantially reduced, our business, financial condition, revenue and other operating results, and cash flows may be materially harmed.*</w:t>
      </w:r>
    </w:p>
    <w:p>
      <w:pPr>
        <w:pStyle w:val="TextBody"/>
        <w:bidi w:val="0"/>
        <w:spacing w:before="200" w:after="283"/>
        <w:jc w:val="both"/>
        <w:rPr>
          <w:rFonts w:ascii="Arial" w:hAnsi="Arial"/>
          <w:color w:val="000000"/>
          <w:sz w:val="18"/>
        </w:rPr>
      </w:pPr>
      <w:r>
        <w:rPr>
          <w:rFonts w:ascii="Arial" w:hAnsi="Arial"/>
          <w:color w:val="000000"/>
          <w:sz w:val="18"/>
        </w:rPr>
        <w:t>In February 2021, we entered into a partnership in the field of personalized oncology with Natera, pairing our NeXT tumor profiling and diagnostic services and products with Natera’s personalized ctDNA platform Signatera for treatment monitoring and MRD assessment. Under this non-exclusive agreement, Natera is responsible for validating the design of, and commercialization of, Signatera personalized ctDNA assays using matched tumor and normal exome sequence data from us. The agreement covers MRD testing for both clinical use and research use. Since that time, Natera’s sample volumes have increased such that we currently derive a significant portion of our revenue from sales of our DNA sequencing and data analysis services to Natera under our agreement. For example, revenue under our agreement accounted for 41% of our total revenue for the three months ended March 31, 2024. In November 2023, we amended our agreement to extend minimum volume commitments through the end of 2024. We are aware that Natera has at least one third party supplier of DNA sequencing and analysis services, such that Natera has elected, and may continue to elect in the future, to send a portion (or all) of its samples to its other supplier(s) instead of us, which it is not contractually prohibited from doing, given the non-exclusive nature of our agreement. Natera may also bring a portion (or all) of such services in-house in the future, which may result in them purchasing fewer (or no) such services from us, or none from us at all. Our agreement with Natera requires us to achieve certain quality and turnaround time metrics for Natera samples. Recently, the volumes of samples sent to us by Natera have fluctuated significantly and may continue to do so in the future, which could cause us to experience difficulty in achieving such metrics from time to time, or to meet our other obligations under our agreement. If we consistently fail to achieve such metrics, or any of our other obligations under our agreement with Natera, Natera may elect to send a portion (or all) of its samples to its other supplier(s) and/or bring such services in-house.</w:t>
      </w:r>
    </w:p>
    <w:p>
      <w:pPr>
        <w:pStyle w:val="TextBody"/>
        <w:bidi w:val="0"/>
        <w:spacing w:before="200" w:after="283"/>
        <w:jc w:val="both"/>
        <w:rPr>
          <w:rFonts w:ascii="Times New Roman" w:hAnsi="Times New Roman"/>
          <w:sz w:val="20"/>
        </w:rPr>
      </w:pPr>
      <w:r>
        <w:rPr>
          <w:rFonts w:ascii="Arial" w:hAnsi="Arial"/>
          <w:color w:val="000000"/>
          <w:sz w:val="18"/>
        </w:rPr>
        <w:t>Additionally, Natera may allege that such failures to achieve the required metrics are a breach of our agreement and seek to terminate our agreement and/or pursue any remedies available to it under the agreement, at law or in equity. Relatedly, we have incurred expenses in connection with our scale-up activities under our agreement with Natera, and we may incur additional expenses to increase our laboratory’s capacity to process increased sample volumes from Natera, in addition to those from our other customers, in the future. Our activities under our agreement with Natera have had, and may continue to have, an impact on our business, including diversion of our resources and the attention of our management, including with respect to our internal research and development objectives and projects for our other customers, collaborators and/or partners. If we are unable to successfully increase our laboratory’s capacity and manage any such competing objectives and/or projects for other customers, we may be unable to meet the quality and timing requirements of our agreement with Natera or our other customers, collaborators and/or partners. We may also be unable to successfully research, develop, launch and/or commercialize our services or service capabilities. Furthermore, our NeXT Personal test is a next-generation, tumor-informed liquid biopsy assay designed to detect and quantify MRD and recurrence in patients previously diagnosed with cancer. If NeXT Personal or any of our other services is seen as competing with Signatera or any of Natera’s other services, we will</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still be required to fulfill our obligations to Natera under our agreement, although Natera may elect to send a portion (or all) of its samples to its other supplier(s) and/or bring such services in-house. If the volume of samples received under our agreement with Natera were to be significantly reduced or eliminated, or if our agreement with Natera were to be terminated, for these or other reasons, or if we are unable to successfully research, develop, launch and/or commercialize our services or service capabilities, including NeXT Personal, our business, financial condition, revenue and other operating results, and cash flows may be materially harmed.</w:t>
      </w:r>
    </w:p>
    <w:p>
      <w:pPr>
        <w:pStyle w:val="TextBody"/>
        <w:bidi w:val="0"/>
        <w:spacing w:before="200" w:after="283"/>
        <w:jc w:val="both"/>
        <w:rPr>
          <w:rFonts w:ascii="Arial" w:hAnsi="Arial"/>
          <w:b/>
          <w:i/>
          <w:color w:val="000000"/>
          <w:sz w:val="18"/>
        </w:rPr>
      </w:pPr>
      <w:r>
        <w:rPr>
          <w:rFonts w:ascii="Arial" w:hAnsi="Arial"/>
          <w:b/>
          <w:i/>
          <w:color w:val="000000"/>
          <w:sz w:val="18"/>
        </w:rPr>
        <w:t>We have derived a substantial portion of our current revenue from DNA sequencing and data analysis services that we provided to one of our largest customers, the VA MVP. If the VA MVP’s demand for and/or funding for our DNA sequencing and data analysis services continues to be substantially reduced, or if our new contract with the VA MVP were to be terminated, our business, financial condition, revenue and other operating results, and cash flows will be materially harmed.</w:t>
      </w:r>
    </w:p>
    <w:p>
      <w:pPr>
        <w:pStyle w:val="TextBody"/>
        <w:bidi w:val="0"/>
        <w:spacing w:before="200" w:after="283"/>
        <w:jc w:val="both"/>
        <w:rPr>
          <w:rFonts w:ascii="Arial" w:hAnsi="Arial"/>
          <w:color w:val="000000"/>
          <w:sz w:val="18"/>
        </w:rPr>
      </w:pPr>
      <w:r>
        <w:rPr>
          <w:rFonts w:ascii="Arial" w:hAnsi="Arial"/>
          <w:color w:val="000000"/>
          <w:sz w:val="18"/>
        </w:rPr>
        <w:t>We have derived a substantial portion of our revenue from sales of our DNA sequencing and data analysis services to the VA MVP. In September 2017, we entered into a one-year contract with three one-year optional renewal periods with the VA for the VA MVP, pursuant to which we received contracted orders from the VA MVP in September 2017, 2018, 2019, 2020, and 2021. In September 2022, we entered into a new contract with the VA MVP to continue providing them WGS services and received an initial task order with a value of up to $10.0 million (the "2022 VA MVP Agreement"). The performance period under the new contract includes a base period of one year, with four one-year renewal option periods that may be exercised upon discretion of the VA MVP. In August 2023, we received notice of the VA MVP's intention to exercise its first renewal option period and received a second task order with a value of up to $7.5 million, subject to the receipt of samples from the VA MVP. There is no guarantee that the VA MVP will exercise any subsequent renewal option.</w:t>
      </w:r>
    </w:p>
    <w:p>
      <w:pPr>
        <w:pStyle w:val="TextBody"/>
        <w:bidi w:val="0"/>
        <w:spacing w:before="200" w:after="283"/>
        <w:jc w:val="both"/>
        <w:rPr>
          <w:rFonts w:ascii="Arial" w:hAnsi="Arial"/>
          <w:color w:val="000000"/>
          <w:sz w:val="18"/>
        </w:rPr>
      </w:pPr>
      <w:r>
        <w:rPr>
          <w:rFonts w:ascii="Arial" w:hAnsi="Arial"/>
          <w:color w:val="000000"/>
          <w:sz w:val="18"/>
        </w:rPr>
        <w:t>The VA MVP’s contracted orders for DNA sequencing and data analysis services have fluctuated significantly in value over time and are subject to the availability of funding, enrollment of veterans in the VA MVP study, and the VA MVP’s continued demand, if any, for our services among other factors. For example, the VA MVP contracted order received in September 2020 had a value of $30.9 million, whereas the VA MVP contracted orders received in September 2021, 2022, and 2023 had values of $9.7 million, $10.0 million, and $7.5 million, respectively, which represents a substantial decline. We have no certainty that funding will be made available for our services, or that the VA MVP will award any future contracts, contract renewals or contracted orders to us. The priorities of the VA, the VA MVP, or the U.S. government may change, including in response to a health epidemic or pandemic. For example, funding for our services may be limited or not available, and our business, financial condition, and operating results and cash flows will be materially harmed. Similarly, if we do not win future VA MVP contracts and renewals (whether due to being outbid by a competitor or the VA MVP’s decision not to award a future contract on a timely basis or at all, or to terminate for convenience or failure to renew any contract, for whatever reason) with a value comparable to that of our historical contracted orders, our business, financial condition, revenue and other operating results and cash flows may be materially harmed.</w:t>
      </w:r>
    </w:p>
    <w:p>
      <w:pPr>
        <w:pStyle w:val="TextBody"/>
        <w:bidi w:val="0"/>
        <w:spacing w:before="200" w:after="283"/>
        <w:jc w:val="both"/>
        <w:rPr>
          <w:rFonts w:ascii="Arial" w:hAnsi="Arial"/>
          <w:color w:val="000000"/>
          <w:sz w:val="18"/>
        </w:rPr>
      </w:pPr>
      <w:r>
        <w:rPr>
          <w:rFonts w:ascii="Arial" w:hAnsi="Arial"/>
          <w:color w:val="000000"/>
          <w:sz w:val="18"/>
        </w:rPr>
        <w:t>We have only recognized revenue under our VA MVP contract upon the receipt and processing of samples, and the timing and number of VA MVP samples we have received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2020 significantly exceeded the value of the VA MVP contracted order we received in September 2020 because we continued to receive after such date, and subsequently processed, samples under VA MVP contracted orders that remained unfulfilled as of September 2020 due to the time required for the VA to select optimal samples from its collection for research and then provide us those samples. Therefore, period-to-period comparisons of our operating results relating to VA MVP contracted orders may not be meaningful. The timing and number of VA MVP samples may also be negatively affected by a public health crisis. For example, in March 2020, the VA MVP announced that it was suspending sample collection due to the COVID-19 pandemic. In addition, we believe the COVID-19 pandemic may have been a contributing factor to the reduction in values of the September 2021 and 2022 VA MVP contracted orders compared to the September 2020 contracted order, as the VA MVP delayed new enrollment and also may have needed to divert resources to respond to the pandemic. A health epidemic or pandemic may negatively impact the value of any potential new VA MVP contract or order.</w:t>
      </w:r>
    </w:p>
    <w:p>
      <w:pPr>
        <w:pStyle w:val="TextBody"/>
        <w:bidi w:val="0"/>
        <w:spacing w:before="200" w:after="283"/>
        <w:jc w:val="both"/>
        <w:rPr>
          <w:rFonts w:ascii="Arial" w:hAnsi="Arial"/>
          <w:b/>
          <w:i/>
          <w:color w:val="000000"/>
          <w:sz w:val="18"/>
        </w:rPr>
      </w:pPr>
      <w:r>
        <w:rPr>
          <w:rFonts w:ascii="Arial" w:hAnsi="Arial"/>
          <w:b/>
          <w:i/>
          <w:color w:val="000000"/>
          <w:sz w:val="18"/>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pStyle w:val="TextBody"/>
        <w:bidi w:val="0"/>
        <w:spacing w:before="200" w:after="283"/>
        <w:jc w:val="both"/>
        <w:rPr>
          <w:rFonts w:ascii="Arial" w:hAnsi="Arial"/>
          <w:color w:val="000000"/>
          <w:sz w:val="18"/>
        </w:rPr>
      </w:pPr>
      <w:r>
        <w:rPr>
          <w:rFonts w:ascii="Arial" w:hAnsi="Arial"/>
          <w:color w:val="000000"/>
          <w:sz w:val="18"/>
        </w:rPr>
        <w:t>Our customers other than the VA MVP and Natera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a public health crisis), failures in their clinical trials (which failures are statistically much more likely to occur than not at some point in the clinical development process, notwithstanding any enhanced patient stratification from the use of our proprietary tests and algorithms), financial constraints, or utilization of internal testing resources or tests performed by other parties, or other circumstances outside of our control.</w:t>
      </w:r>
    </w:p>
    <w:p>
      <w:pPr>
        <w:pStyle w:val="TextBody"/>
        <w:bidi w:val="0"/>
        <w:spacing w:before="200" w:after="283"/>
        <w:jc w:val="both"/>
        <w:rPr>
          <w:rFonts w:ascii="Times New Roman" w:hAnsi="Times New Roman"/>
          <w:sz w:val="20"/>
        </w:rPr>
      </w:pPr>
      <w:r>
        <w:rPr>
          <w:rFonts w:ascii="Arial" w:hAnsi="Arial"/>
          <w:color w:val="000000"/>
          <w:sz w:val="18"/>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pStyle w:val="TextBody"/>
        <w:bidi w:val="0"/>
        <w:spacing w:before="200" w:after="283"/>
        <w:jc w:val="both"/>
        <w:rPr>
          <w:rFonts w:ascii="Arial" w:hAnsi="Arial"/>
          <w:color w:val="000000"/>
          <w:sz w:val="18"/>
        </w:rPr>
      </w:pPr>
      <w:r>
        <w:rPr>
          <w:rFonts w:ascii="Arial" w:hAnsi="Arial"/>
          <w:color w:val="000000"/>
          <w:sz w:val="18"/>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pStyle w:val="TextBody"/>
        <w:bidi w:val="0"/>
        <w:spacing w:before="200" w:after="283"/>
        <w:jc w:val="both"/>
        <w:rPr>
          <w:rFonts w:ascii="Arial" w:hAnsi="Arial"/>
          <w:b/>
          <w:i/>
          <w:color w:val="000000"/>
          <w:sz w:val="18"/>
        </w:rPr>
      </w:pPr>
      <w:r>
        <w:rPr>
          <w:rFonts w:ascii="Arial" w:hAnsi="Arial"/>
          <w:b/>
          <w:i/>
          <w:color w:val="000000"/>
          <w:sz w:val="18"/>
        </w:rPr>
        <w:t>When we grow our business by developing in vitro diagnostic tests, we may be subject to reimbursement challenges.</w:t>
      </w:r>
    </w:p>
    <w:p>
      <w:pPr>
        <w:pStyle w:val="TextBody"/>
        <w:bidi w:val="0"/>
        <w:spacing w:before="200" w:after="283"/>
        <w:jc w:val="both"/>
        <w:rPr>
          <w:rFonts w:ascii="Arial" w:hAnsi="Arial"/>
          <w:color w:val="000000"/>
          <w:sz w:val="18"/>
        </w:rPr>
      </w:pPr>
      <w:r>
        <w:rPr>
          <w:rFonts w:ascii="Arial" w:hAnsi="Arial"/>
          <w:color w:val="000000"/>
          <w:sz w:val="18"/>
        </w:rPr>
        <w:t>The coverage and reimbursement status of newly-approved or cleared laboratory developed tests, including our NeXT Dx and NeXT Personal Dx products, is uncertain. We are seeking reimbursement for our NeXT Dx and NeXT Personal Dx tests, and other in vitro diagnostic tests we may develop, and if such tests are inadequately covered by insurance or ineligible for such reimbursement, this could limit our ability to derive revenue from any such current or future tests. The commercial success of current or future services and products in both domestic and international markets may depend in part on the availability of coverage and adequate reimbursement from third-party payors, including government payors, such as the Medicare and Medicaid programs, or equivalent foreign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current or future in vitro diagnostic tests that we develop. These payors may conclude that our services or products are less safe, less effective, or less cost-effective than existing or later-introduced services or products. These payors may also conclude that the overall cost of using one of our tests exceeds the overall cost of using a competing test, and third-party payors may not approve any current or future in vitro diagnostic tests we develop for insurance coverage and adequate reimbursement.</w:t>
      </w:r>
    </w:p>
    <w:p>
      <w:pPr>
        <w:pStyle w:val="TextBody"/>
        <w:bidi w:val="0"/>
        <w:spacing w:before="200" w:after="283"/>
        <w:jc w:val="both"/>
        <w:rPr>
          <w:rFonts w:ascii="Arial" w:hAnsi="Arial"/>
          <w:color w:val="000000"/>
          <w:sz w:val="18"/>
        </w:rPr>
      </w:pPr>
      <w:r>
        <w:rPr>
          <w:rFonts w:ascii="Arial" w:hAnsi="Arial"/>
          <w:color w:val="000000"/>
          <w:sz w:val="18"/>
        </w:rPr>
        <w:t>In January 2024, we announced that we received a final Medicare coverage determination for our NeXT Dx offering, extended retroactively to August 29, 2023. While we estimate that approximately half of new solid tumor cancer cases will be diagnosed in patients covered by Medicare, the Medicare coverage determination may not be indicative of our ability to obtain coverage with other payors. Even if favorable coverage and reimbursement status is attained for one or more of our products, less favorable coverage policies and reimbursement rates may be implemented in the future.</w:t>
      </w:r>
    </w:p>
    <w:p>
      <w:pPr>
        <w:pStyle w:val="TextBody"/>
        <w:bidi w:val="0"/>
        <w:spacing w:before="200" w:after="283"/>
        <w:jc w:val="both"/>
        <w:rPr>
          <w:rFonts w:ascii="Arial" w:hAnsi="Arial"/>
          <w:b/>
          <w:i/>
          <w:color w:val="000000"/>
          <w:sz w:val="18"/>
        </w:rPr>
      </w:pPr>
      <w:r>
        <w:rPr>
          <w:rFonts w:ascii="Arial" w:hAnsi="Arial"/>
          <w:b/>
          <w:i/>
          <w:color w:val="000000"/>
          <w:sz w:val="18"/>
        </w:rPr>
        <w:t>We rely on a limited number of suppliers, or in some cases, a sole supplier, for some of our laboratory instruments and materials, and we may not be able to find replacements or immediately transition to alternative suppliers should we need to do so.</w:t>
      </w:r>
    </w:p>
    <w:p>
      <w:pPr>
        <w:pStyle w:val="TextBody"/>
        <w:bidi w:val="0"/>
        <w:spacing w:before="200" w:after="283"/>
        <w:jc w:val="both"/>
        <w:rPr>
          <w:rFonts w:ascii="Arial" w:hAnsi="Arial"/>
          <w:color w:val="000000"/>
          <w:sz w:val="18"/>
        </w:rPr>
      </w:pPr>
      <w:r>
        <w:rPr>
          <w:rFonts w:ascii="Arial" w:hAnsi="Arial"/>
          <w:color w:val="000000"/>
          <w:sz w:val="18"/>
        </w:rPr>
        <w:t>We rely on a limited number of suppliers for sequencers and other equipment and materials that we use in our laboratory operations. For example, we rely on Illumina as our sole supplier of sequencers and various associated reagents and other materials used in our routine laboratory operations, and as the sole provider of maintenance and repair services for these sequencers. Any disruption in Illumina’s operations or our inability to negotiate pricing with Illumina on acceptable terms, or at all, could negatively impact our supply chain and laboratory operations and our ability to conduct our business and generate revenue. Additionally, COVID-19 previously disrupted Illumina’s ability to fulfill our purchase orders for reagents or other materials in a timely manner and another health epidemic or pandemic may disrupt the ability of Illumina and our other suppliers to fulfill our purchase orders in a timely manner or at all. Our suppliers, including Illumina, could cease supplying these materials and equipment at any time, could increase the price of these materials or equipment (including the promotional pricing offered to us by Illumina for our 2022 VA MVP Agreement and certain other projects) or fail to provide us with sufficient quantities of materials or equipment that meet our specifications. Our laboratory operations have been and in the future could be interrupted if we encounter delays or difficulties in securing sequencers or other equipment or materials, or if we cannot obtain an acceptable substitute. We have also experienced, and may experience in the future, delays or difficulties in upgrading to newer versions or replacements of these materials and equipment, which may have better performance or be more cost-effective than the current versions. Any such interruption, delay or difficulty could significantly affect our business, financial condition, results of operations, and reputation.</w:t>
      </w:r>
    </w:p>
    <w:p>
      <w:pPr>
        <w:pStyle w:val="TextBody"/>
        <w:bidi w:val="0"/>
        <w:spacing w:before="200" w:after="283"/>
        <w:jc w:val="both"/>
        <w:rPr>
          <w:rFonts w:ascii="Times New Roman" w:hAnsi="Times New Roman"/>
          <w:sz w:val="20"/>
        </w:rPr>
      </w:pPr>
      <w:r>
        <w:rPr>
          <w:rFonts w:ascii="Arial" w:hAnsi="Arial"/>
          <w:color w:val="000000"/>
          <w:sz w:val="18"/>
        </w:rPr>
        <w:t>We believe that there are only a few manufacturers other than Illumina that are currently capable of supplying and servicing the equipment necessary for our laboratory operations, including sequencers and various associated reagents. Likewise, we believe that there are a limited number of manufacturers and suppliers for other reagents and materials necessary for our laboratory operations, such as the sample preparation reagents required for our ACE technology, which enables our NeXT Platform to provide more comprehensive sequencing coverage, as well as those required to create personalized liquid biopsy panels for each patient as part of our NeXT Personal assay. Although we have evaluated and may continue in the future to evaluate equipment and materials from other suppliers, the use of equipment or materials provided by these replacement suppliers would require us to alter our laboratory operations. Transitioning to a new supplier would be time-consuming and expensive, would likely result in interruptions in our laboratory operations, could affect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performance specifications of our laboratory operations, or could require that we revalidate our tests. Additionally, an existing supplier of ours may allege that such activities constitute a breach of its agreement with us and may cease supplying us with sufficient quantities of materials or equipment that meet our specifications, in a timely manner or at all. Moreover, an existing supplier or third party may allege that such activities, replacement equipment or materials infringe, misappropriate or otherwise violate its intellectual property, and may bring infringement or other intellectual property-related claims against us. See “—Litigation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 We cannot assure you that, if we were forced to replace Illumina or another supplier on which we rely, we would be able to secure alternative equipment, reagents, and other materials, and bring such equipment, reagents, and other materials on-line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pStyle w:val="TextBody"/>
        <w:bidi w:val="0"/>
        <w:spacing w:before="200" w:after="283"/>
        <w:jc w:val="both"/>
        <w:rPr>
          <w:rFonts w:ascii="Arial" w:hAnsi="Arial"/>
          <w:color w:val="000000"/>
          <w:sz w:val="18"/>
        </w:rPr>
      </w:pPr>
      <w:r>
        <w:rPr>
          <w:rFonts w:ascii="Arial" w:hAnsi="Arial"/>
          <w:color w:val="000000"/>
          <w:sz w:val="18"/>
        </w:rPr>
        <w:t>In addition, the Device Master Files that we filed with the FDA, which are focused on the technology, quality management, and validation of our platform, specifically on its use for the development of personalized immunotherapies, are predicated on our use of specified equipment and processes, including Illumina sequencers and related equipment. The detailed information in the Device Master Files is not shared with our customers, but with our permission they can reference our FDA file numbers in their Investigational New Drug filings with the FDA. If we were required to transition to a new supplier of sequencers or certain other equipment or processes in our laboratory, our Device Master Files would need to be replaced or updated, and until such time as that occurred, customers for which we deliver services after the transition would not be able to reference our Device Master Files, which would cause us to lose a competitive advantage.</w:t>
      </w:r>
    </w:p>
    <w:p>
      <w:pPr>
        <w:pStyle w:val="TextBody"/>
        <w:bidi w:val="0"/>
        <w:spacing w:before="200" w:after="283"/>
        <w:jc w:val="both"/>
        <w:rPr>
          <w:rFonts w:ascii="Arial" w:hAnsi="Arial"/>
          <w:b/>
          <w:i/>
          <w:color w:val="000000"/>
          <w:sz w:val="18"/>
        </w:rPr>
      </w:pPr>
      <w:r>
        <w:rPr>
          <w:rFonts w:ascii="Arial" w:hAnsi="Arial"/>
          <w:b/>
          <w:i/>
          <w:color w:val="000000"/>
          <w:sz w:val="18"/>
        </w:rPr>
        <w:t>If our facilities become damaged or inoperable, or we are required to vacate the facilities, our ability to sell and provide our services and pursue our research and development efforts may be jeopardized.</w:t>
      </w:r>
    </w:p>
    <w:p>
      <w:pPr>
        <w:pStyle w:val="TextBody"/>
        <w:bidi w:val="0"/>
        <w:spacing w:before="200" w:after="283"/>
        <w:jc w:val="both"/>
        <w:rPr>
          <w:rFonts w:ascii="Arial" w:hAnsi="Arial"/>
          <w:color w:val="000000"/>
          <w:sz w:val="18"/>
        </w:rPr>
      </w:pPr>
      <w:r>
        <w:rPr>
          <w:rFonts w:ascii="Arial" w:hAnsi="Arial"/>
          <w:color w:val="000000"/>
          <w:sz w:val="18"/>
        </w:rPr>
        <w:t>We currently derive our revenue from our genomic analysis conducted in our laboratories. Currently, our only clinical reference or research and development laboratory facilities are in Fremont, California. Our facilities and equipment could be harmed or rendered inoperable by natural or man-made disasters, including fires, earthquakes, flooding, and power outages, which may render it difficult or impossible for us to sell or perform our services for some period of time. Northern California continues to experience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For example, from January 2023 through April 2023, we experienced substantial disruption to our use of the Fremont facility due to a failure of an electrical bus duct serving the facility. See “—The process of opening our new laboratory facilities in Fremont, California has diverted and could continue to divert management’s attention and has disrupted and could continue to disrupt our ongoing business.” Furthermore, our facilities and the equipment we use to perform our services and our research and development work could be costly and time-consuming to repair or replace.</w:t>
      </w:r>
    </w:p>
    <w:p>
      <w:pPr>
        <w:pStyle w:val="TextBody"/>
        <w:bidi w:val="0"/>
        <w:spacing w:before="200" w:after="283"/>
        <w:jc w:val="both"/>
        <w:rPr>
          <w:rFonts w:ascii="Arial" w:hAnsi="Arial"/>
          <w:color w:val="000000"/>
          <w:sz w:val="18"/>
        </w:rPr>
      </w:pPr>
      <w:r>
        <w:rPr>
          <w:rFonts w:ascii="Arial" w:hAnsi="Arial"/>
          <w:color w:val="000000"/>
          <w:sz w:val="18"/>
        </w:rPr>
        <w:t>Additionally, a key component of our research and development process involves using biological samples as the basis for the development of our services, and our services typically involve using biological samples provided by or on behalf of our customers or collaborators. In some cases, these samples are difficult to obtain. If the parts of our laboratory facilities where we store these biological samples were damaged or compromised, or if these biological samples or the resulting data were otherwise lost, damaged or compromised due to equipment malfunction, human error or other causes, our ability to pursue our research and development projects or provide our services, as well as our reputation, could be jeopardized. For example, we have experienced from time to time, and may experience in the future, equipment malfunctions that have resulted in lost, damaged or compromised samples or resulting data. We carry insurance for damage to our property or to our customer's property while in our possession, and we also carry insurance for the disruption of our business, but these types of insurance may not be sufficient to cover all of our potential losses or liabilities and may not continue to be available to us on acceptable terms, if at all.</w:t>
      </w:r>
    </w:p>
    <w:p>
      <w:pPr>
        <w:pStyle w:val="TextBody"/>
        <w:bidi w:val="0"/>
        <w:spacing w:before="200" w:after="283"/>
        <w:jc w:val="both"/>
        <w:rPr>
          <w:rFonts w:ascii="Arial" w:hAnsi="Arial"/>
          <w:color w:val="000000"/>
          <w:sz w:val="18"/>
        </w:rPr>
      </w:pPr>
      <w:r>
        <w:rPr>
          <w:rFonts w:ascii="Arial" w:hAnsi="Arial"/>
          <w:color w:val="000000"/>
          <w:sz w:val="18"/>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pStyle w:val="TextBody"/>
        <w:bidi w:val="0"/>
        <w:spacing w:before="200" w:after="283"/>
        <w:jc w:val="both"/>
        <w:rPr>
          <w:rFonts w:ascii="Arial" w:hAnsi="Arial"/>
          <w:b/>
          <w:i/>
          <w:color w:val="000000"/>
          <w:sz w:val="18"/>
        </w:rPr>
      </w:pPr>
      <w:r>
        <w:rPr>
          <w:rFonts w:ascii="Arial" w:hAnsi="Arial"/>
          <w:b/>
          <w:i/>
          <w:color w:val="000000"/>
          <w:sz w:val="18"/>
        </w:rPr>
        <w:t>Our success depends on our ability to provide reliable and timely, high-quality genomic data and analyses and to rapidly evolve to meet our customers’ needs.</w:t>
      </w:r>
    </w:p>
    <w:p>
      <w:pPr>
        <w:pStyle w:val="TextBody"/>
        <w:bidi w:val="0"/>
        <w:spacing w:before="200" w:after="283"/>
        <w:jc w:val="both"/>
        <w:rPr>
          <w:rFonts w:ascii="Times New Roman" w:hAnsi="Times New Roman"/>
          <w:sz w:val="20"/>
        </w:rPr>
      </w:pPr>
      <w:r>
        <w:rPr>
          <w:rFonts w:ascii="Arial" w:hAnsi="Arial"/>
          <w:color w:val="000000"/>
          <w:sz w:val="18"/>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 In addition,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customers require timely turnaround of high-quality genomic data and analyses, and if we were not able to meet our customers’ specific requirements, it could also have a significant adverse effect on our business.</w:t>
      </w:r>
    </w:p>
    <w:p>
      <w:pPr>
        <w:pStyle w:val="TextBody"/>
        <w:bidi w:val="0"/>
        <w:spacing w:before="200" w:after="283"/>
        <w:jc w:val="both"/>
        <w:rPr>
          <w:rFonts w:ascii="Arial" w:hAnsi="Arial"/>
          <w:color w:val="000000"/>
          <w:sz w:val="18"/>
        </w:rPr>
      </w:pPr>
      <w:r>
        <w:rPr>
          <w:rFonts w:ascii="Arial" w:hAnsi="Arial"/>
          <w:color w:val="000000"/>
          <w:sz w:val="18"/>
        </w:rPr>
        <w:t>Inaccurate results or misunderstandings of, or inappropriate reliance on, the information we provide to our customers could lead to, or be associated with, lack of efficacy, side effects or adverse events in patients who use our tests, or who rely on our tests to determine therapies to develop, select or monitor, including treatment-related death, and could lead to termination of our services or result in claims against us. A product liability or professional liability claim could result in substantial damages and be costly and time-consuming for us to defend.</w:t>
      </w:r>
    </w:p>
    <w:p>
      <w:pPr>
        <w:pStyle w:val="TextBody"/>
        <w:bidi w:val="0"/>
        <w:spacing w:before="200" w:after="283"/>
        <w:jc w:val="both"/>
        <w:rPr>
          <w:rFonts w:ascii="Arial" w:hAnsi="Arial"/>
          <w:color w:val="000000"/>
          <w:sz w:val="18"/>
        </w:rPr>
      </w:pPr>
      <w:r>
        <w:rPr>
          <w:rFonts w:ascii="Arial" w:hAnsi="Arial"/>
          <w:color w:val="000000"/>
          <w:sz w:val="18"/>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If we cannot develop services and products to keep pace with rapid advances in technology, medicine, and science, or if we experience delays in developing such services and products, our operating results and competitive position could be harmed.</w:t>
      </w:r>
    </w:p>
    <w:p>
      <w:pPr>
        <w:pStyle w:val="TextBody"/>
        <w:bidi w:val="0"/>
        <w:spacing w:before="200" w:after="283"/>
        <w:jc w:val="both"/>
        <w:rPr>
          <w:rFonts w:ascii="Arial" w:hAnsi="Arial"/>
          <w:color w:val="000000"/>
          <w:sz w:val="18"/>
        </w:rPr>
      </w:pPr>
      <w:r>
        <w:rPr>
          <w:rFonts w:ascii="Arial" w:hAnsi="Arial"/>
          <w:color w:val="000000"/>
          <w:sz w:val="18"/>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pStyle w:val="TextBody"/>
        <w:bidi w:val="0"/>
        <w:spacing w:before="200" w:after="283"/>
        <w:jc w:val="both"/>
        <w:rPr>
          <w:rFonts w:ascii="Arial" w:hAnsi="Arial"/>
          <w:color w:val="000000"/>
          <w:sz w:val="18"/>
        </w:rPr>
      </w:pPr>
      <w:r>
        <w:rPr>
          <w:rFonts w:ascii="Arial" w:hAnsi="Arial"/>
          <w:color w:val="000000"/>
          <w:sz w:val="18"/>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pStyle w:val="TextBody"/>
        <w:bidi w:val="0"/>
        <w:spacing w:before="200" w:after="283"/>
        <w:jc w:val="both"/>
        <w:rPr>
          <w:rFonts w:ascii="Arial" w:hAnsi="Arial"/>
          <w:color w:val="000000"/>
          <w:sz w:val="18"/>
        </w:rPr>
      </w:pPr>
      <w:r>
        <w:rPr>
          <w:rFonts w:ascii="Arial" w:hAnsi="Arial"/>
          <w:color w:val="000000"/>
          <w:sz w:val="18"/>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pStyle w:val="TextBody"/>
        <w:bidi w:val="0"/>
        <w:spacing w:before="200" w:after="283"/>
        <w:jc w:val="both"/>
        <w:rPr>
          <w:rFonts w:ascii="Arial" w:hAnsi="Arial"/>
          <w:color w:val="000000"/>
          <w:sz w:val="18"/>
        </w:rPr>
      </w:pPr>
      <w:r>
        <w:rPr>
          <w:rFonts w:ascii="Arial" w:hAnsi="Arial"/>
          <w:color w:val="000000"/>
          <w:sz w:val="18"/>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pStyle w:val="TextBody"/>
        <w:bidi w:val="0"/>
        <w:spacing w:before="200" w:after="283"/>
        <w:jc w:val="both"/>
        <w:rPr>
          <w:rFonts w:ascii="Times New Roman" w:hAnsi="Times New Roman"/>
          <w:sz w:val="20"/>
        </w:rPr>
      </w:pPr>
      <w:r>
        <w:rPr>
          <w:rFonts w:ascii="Arial" w:hAnsi="Arial"/>
          <w:color w:val="000000"/>
          <w:sz w:val="18"/>
        </w:rPr>
        <w:t>In the European Economic Area (and Northern Ireland) (“EEA”), in order to place an in vitro diagnostic medical device ("IVD"), or an accessory to an IVD, on the market, or put it into service in the EEA, the device must be designed, developed, manufactured and marketed in compliance with the relevant legal framework. On May 26, 2022, the Regulation on In-Vitro Diagnostic Devices (Regulation (EU) 2017/746) (“IVDR”) entered into application, repealing and replacing the Directive on In-Vitro Diagnostic Devices (98/79/EC) (the “IVDD”). The IVDR and its associated guidance documents and harmonized standards govern, among other things, device design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development, preclinical and clinical or performance testing, premarket conformity assessment, registration and listing, manufacturing, labeling, storage, claims, sales and distribution, export and import and post-market surveillance, vigilance, and market surveillance. IVDs must comply with the General Safety and Performance Requirements set out in Annex I of the IVDR. Compliance with these requirements is a prerequisite to be able to affix the CE Mark to IVDs, without which they cannot be marketed or sold in the EEA.</w:t>
      </w:r>
    </w:p>
    <w:p>
      <w:pPr>
        <w:pStyle w:val="TextBody"/>
        <w:bidi w:val="0"/>
        <w:spacing w:before="200" w:after="283"/>
        <w:jc w:val="both"/>
        <w:rPr>
          <w:rFonts w:ascii="Arial" w:hAnsi="Arial"/>
          <w:color w:val="000000"/>
          <w:sz w:val="18"/>
        </w:rPr>
      </w:pPr>
      <w:r>
        <w:rPr>
          <w:rFonts w:ascii="Arial" w:hAnsi="Arial"/>
          <w:color w:val="000000"/>
          <w:sz w:val="18"/>
        </w:rPr>
        <w:t>In accordance with the IVDR, devices that are not placed on the market but are used within the context of a commercial activity, whether in return for payment or free of charge, for the provision of a diagnostic or therapeutic service offered by means of information society services, as defined in point (b) of Article 1(1) of Directive (EU) 2015/1535, or by other means of communication, directly or through intermediaries, to a natural or legal person established in the EEA (and Northern Ireland) will be subject to the IVDR. As a result, diagnostic and therapeutic services offered to customers in the EEA (and Northern Ireland) (whether directly or via intermediaries) by providers that are based outside the EEA will be covered by the IVDR.</w:t>
      </w:r>
    </w:p>
    <w:p>
      <w:pPr>
        <w:pStyle w:val="TextBody"/>
        <w:bidi w:val="0"/>
        <w:spacing w:before="200" w:after="283"/>
        <w:jc w:val="both"/>
        <w:rPr>
          <w:rFonts w:ascii="Arial" w:hAnsi="Arial"/>
          <w:color w:val="000000"/>
          <w:sz w:val="18"/>
        </w:rPr>
      </w:pPr>
      <w:r>
        <w:rPr>
          <w:rFonts w:ascii="Arial" w:hAnsi="Arial"/>
          <w:color w:val="000000"/>
          <w:sz w:val="18"/>
        </w:rPr>
        <w:t>Fulfillment of the obligations imposed by the IVDR are likely to increase the cost and time required in order to obtain regulatory approval for products and services in the EEA. If we offer tests or services to customers within the EEA (and Northern Ireland) (whether directly or via intermediaries) that fall within the scope of the IVDR, we may be unable to fulfill these obligations, or a notified body, where applicable, may consider that we have not adequately demonstrated compliance with our related obligations to merit a CE Certificate of Conformity on the basis of the IVDR. Our ability, and the ability of our customers, to commercialize diagnostic tests based on our technology will depend in part on the extent to which coverage and reimbursement for these tests will be available from third-party payors. Coverage and reimbursement of new products and services is uncertain, and whether the companies that use our tests or services to develop their own products or services will attain coverage and adequate reimbursement is unknown. In the U.S. and the EU,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w:t>
      </w:r>
    </w:p>
    <w:p>
      <w:pPr>
        <w:pStyle w:val="TextBody"/>
        <w:bidi w:val="0"/>
        <w:spacing w:before="200" w:after="283"/>
        <w:jc w:val="both"/>
        <w:rPr>
          <w:rFonts w:ascii="Arial" w:hAnsi="Arial"/>
          <w:color w:val="000000"/>
          <w:sz w:val="18"/>
        </w:rPr>
      </w:pPr>
      <w:r>
        <w:rPr>
          <w:rFonts w:ascii="Arial" w:hAnsi="Arial"/>
          <w:color w:val="000000"/>
          <w:sz w:val="18"/>
        </w:rPr>
        <w:t>Physicians, hospitals, and third-party payors often are slow to adopt new products, services,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pStyle w:val="TextBody"/>
        <w:bidi w:val="0"/>
        <w:spacing w:before="200" w:after="283"/>
        <w:jc w:val="both"/>
        <w:rPr>
          <w:rFonts w:ascii="Arial" w:hAnsi="Arial"/>
          <w:b/>
          <w:i/>
          <w:color w:val="000000"/>
          <w:sz w:val="18"/>
        </w:rPr>
      </w:pPr>
      <w:r>
        <w:rPr>
          <w:rFonts w:ascii="Arial" w:hAnsi="Arial"/>
          <w:b/>
          <w:i/>
          <w:color w:val="000000"/>
          <w:sz w:val="18"/>
        </w:rPr>
        <w:t>The loss of key members of our executive management team could adversely affect our business.*</w:t>
      </w:r>
    </w:p>
    <w:p>
      <w:pPr>
        <w:pStyle w:val="TextBody"/>
        <w:bidi w:val="0"/>
        <w:spacing w:before="200" w:after="283"/>
        <w:jc w:val="both"/>
        <w:rPr>
          <w:rFonts w:ascii="Arial" w:hAnsi="Arial"/>
          <w:color w:val="000000"/>
          <w:sz w:val="18"/>
        </w:rPr>
      </w:pPr>
      <w:r>
        <w:rPr>
          <w:rFonts w:ascii="Arial" w:hAnsi="Arial"/>
          <w:color w:val="000000"/>
          <w:sz w:val="18"/>
        </w:rPr>
        <w:t>Our success in implementing our business strategy depends largely on the skills, experience, and performance of key members of our executive management team and others in key management positions. The collective efforts of each of our executives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If there are changes to our leadership team, there is a risk to organizational effectiveness and employee retention as well as the potential for disruption to our business. Integrating members into new or different management roles could prove disruptive to our operations, require substantial resources and management attention and ultimately prove unsuccessful. Each member of our executive management team has an employment agreement; however, the existence of an employment agreement does not guarantee retention of members of our executive management team, and we may not be able to retain those individuals or replace them in the event we lose their services. We do not maintain “key person” life insurance on any of our employees.</w:t>
      </w:r>
    </w:p>
    <w:p>
      <w:pPr>
        <w:pStyle w:val="TextBody"/>
        <w:bidi w:val="0"/>
        <w:spacing w:before="200" w:after="283"/>
        <w:jc w:val="both"/>
        <w:rPr>
          <w:rFonts w:ascii="Arial" w:hAnsi="Arial"/>
          <w:color w:val="000000"/>
          <w:sz w:val="18"/>
        </w:rPr>
      </w:pPr>
      <w:r>
        <w:rPr>
          <w:rFonts w:ascii="Arial" w:hAnsi="Arial"/>
          <w:color w:val="000000"/>
          <w:sz w:val="18"/>
        </w:rPr>
        <w:t>In addition, we rely on collaborators, consultants, and advisors, including scientific and clinical advisors, to assist us in formulating our research and development and commercialization strategy. Our collaborators, consultants, and advisors are generally self-employed or employed by employers other than us and may have commitments under agreements with other entities that may limit their availability to us.</w:t>
      </w:r>
    </w:p>
    <w:p>
      <w:pPr>
        <w:pStyle w:val="TextBody"/>
        <w:bidi w:val="0"/>
        <w:spacing w:before="200" w:after="283"/>
        <w:jc w:val="both"/>
        <w:rPr>
          <w:rFonts w:ascii="Arial" w:hAnsi="Arial"/>
          <w:color w:val="000000"/>
          <w:sz w:val="18"/>
        </w:rPr>
      </w:pPr>
      <w:r>
        <w:rPr>
          <w:rFonts w:ascii="Arial" w:hAnsi="Arial"/>
          <w:color w:val="000000"/>
          <w:sz w:val="18"/>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pStyle w:val="TextBody"/>
        <w:bidi w:val="0"/>
        <w:spacing w:before="200" w:after="283"/>
        <w:jc w:val="both"/>
        <w:rPr>
          <w:rFonts w:ascii="Arial" w:hAnsi="Arial"/>
          <w:b/>
          <w:i/>
          <w:color w:val="000000"/>
          <w:sz w:val="18"/>
        </w:rPr>
      </w:pPr>
      <w:r>
        <w:rPr>
          <w:rFonts w:ascii="Arial" w:hAnsi="Arial"/>
          <w:b/>
          <w:i/>
          <w:color w:val="000000"/>
          <w:sz w:val="18"/>
        </w:rPr>
        <w:t>We rely on highly skilled personnel in a broad array of disciplines and if we are unable to hire, retain, or motivate these individuals, or maintain our corporate culture, we may not be able to maintain the quality of our services or grow effectively.</w:t>
      </w:r>
    </w:p>
    <w:p>
      <w:pPr>
        <w:pStyle w:val="TextBody"/>
        <w:bidi w:val="0"/>
        <w:spacing w:before="200" w:after="283"/>
        <w:jc w:val="both"/>
        <w:rPr>
          <w:rFonts w:ascii="Times New Roman" w:hAnsi="Times New Roman"/>
          <w:sz w:val="20"/>
        </w:rPr>
      </w:pPr>
      <w:r>
        <w:rPr>
          <w:rFonts w:ascii="Arial" w:hAnsi="Arial"/>
          <w:color w:val="000000"/>
          <w:sz w:val="18"/>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(“CLS”), and genetic counselors, due to the competition for qualified personnel among life science businesses, technology companies, as well as universities and public and private research institutions, particularly in the San Francisco Bay Area. For example, California has a shortage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38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of qualified CLS, who must be licensed by the California Department of Public Health to perform clinical testing in laboratories located in California such as our CLIA-certified and CAP-accredited laboratory. We face intense competition for, and we have experienced and may in the future experience difficulty attracting and retaining, sufficient numbers of licensed and qualified CLS to support the needs of our business and our laboratory capacity expansion efforts.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including licensed and qualified CLS,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pStyle w:val="TextBody"/>
        <w:bidi w:val="0"/>
        <w:spacing w:before="200" w:after="283"/>
        <w:jc w:val="both"/>
        <w:rPr>
          <w:rFonts w:ascii="Arial" w:hAnsi="Arial"/>
          <w:b/>
          <w:i/>
          <w:color w:val="000000"/>
          <w:sz w:val="18"/>
        </w:rPr>
      </w:pPr>
      <w:r>
        <w:rPr>
          <w:rFonts w:ascii="Arial" w:hAnsi="Arial"/>
          <w:b/>
          <w:i/>
          <w:color w:val="000000"/>
          <w:sz w:val="18"/>
        </w:rPr>
        <w:t>We have undertaken in the past, and may in the future undertake, internal restructuring activities that could result in disruptions to our business or otherwise harm our results of operations or financial condition.</w:t>
      </w:r>
    </w:p>
    <w:p>
      <w:pPr>
        <w:pStyle w:val="TextBody"/>
        <w:bidi w:val="0"/>
        <w:spacing w:before="200" w:after="283"/>
        <w:jc w:val="both"/>
        <w:rPr>
          <w:rFonts w:ascii="Arial" w:hAnsi="Arial"/>
          <w:color w:val="000000"/>
          <w:sz w:val="18"/>
        </w:rPr>
      </w:pPr>
      <w:r>
        <w:rPr>
          <w:rFonts w:ascii="Arial" w:hAnsi="Arial"/>
          <w:color w:val="000000"/>
          <w:sz w:val="18"/>
        </w:rPr>
        <w:t>From time to time we may undertake internal restructuring activities as we continue to evaluate and attempt to optimize our cost and operating structure in light of developments in our business strategy and long-term operating plans. For example, in the first quarter of 2023 and in the fourth quarter of 2023, we implemented reductions in our workforce to reduce operating costs and improve operating efficiency that collectively affected nearly 50% of our workforce. Any restructuring activities that we may undertake in the future may result in write-offs or other restructuring charges. There can be no assurance that any restructuring activities that we undertake in the future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and disrupt our ongoing business. If any internal restructuring activities we undertake in the future fail to achieve some or all of the expected benefits therefrom, our business, results of operations and financial condition could be materially and adversely affected.</w:t>
      </w:r>
    </w:p>
    <w:p>
      <w:pPr>
        <w:pStyle w:val="TextBody"/>
        <w:bidi w:val="0"/>
        <w:spacing w:before="200" w:after="283"/>
        <w:jc w:val="both"/>
        <w:rPr>
          <w:rFonts w:ascii="Arial" w:hAnsi="Arial"/>
          <w:b/>
          <w:i/>
          <w:color w:val="000000"/>
          <w:sz w:val="18"/>
        </w:rPr>
      </w:pPr>
      <w:r>
        <w:rPr>
          <w:rFonts w:ascii="Arial" w:hAnsi="Arial"/>
          <w:b/>
          <w:i/>
          <w:color w:val="000000"/>
          <w:sz w:val="18"/>
        </w:rPr>
        <w:t>The process of opening our new laboratory facilities in Fremont, California has diverted and could continue to divert management’s attention and has disrupted and could continue to disrupt our ongoing business.</w:t>
      </w:r>
    </w:p>
    <w:p>
      <w:pPr>
        <w:pStyle w:val="TextBody"/>
        <w:bidi w:val="0"/>
        <w:spacing w:before="200" w:after="283"/>
        <w:jc w:val="both"/>
        <w:rPr>
          <w:rFonts w:ascii="Arial" w:hAnsi="Arial"/>
          <w:color w:val="000000"/>
          <w:sz w:val="18"/>
        </w:rPr>
      </w:pPr>
      <w:r>
        <w:rPr>
          <w:rFonts w:ascii="Arial" w:hAnsi="Arial"/>
          <w:color w:val="000000"/>
          <w:sz w:val="18"/>
        </w:rPr>
        <w:t>We have relocated our corporate headquarters and all laboratory facilities to Fremont, California. These efforts have involved significant tenant improvements, construction and regulatory compliance activities to be undertaken. Such efforts have distracted and may continue to distract management from current operations, have disrupted and may continue to disrupt planned research, development or regulatory compliance activities, and have resulted in and may continue to result in greater than expected liabilities and expenses, any of which could result in a material adverse effect on our business prospects, financial condition, or results of operations. For example, delays in the completion of updates to our new corporate headquarters in Fremont delayed our previously planned move-in date. Additionally, from January 2023 through April 2023, we experienced substantial disruption to our use of the Fremont facility due to a failure of an electrical bus duct serving the facility. We used backup generators to power our laboratories and emergency lights at the facility through February 2023 but were unable to use the office portions of the facility, or use the facility's heating, ventilation and air conditioning system during this time. We were able to restore full power to the facility on a temporary basis during March 2023 and April 2023 using additional generators, and regular electrical service to the facility has since been restored. However, we may experience additional disruptions in the future. We incurred costs in maintaining temporary power to the facility and in attempting to permanently remedy the problem, including obtaining additional backup generators, equipment, and back up batteries, and purchasing fuel for the generators on a daily basis. If we experience additional disruptions to our power supply, it may result in a loss in productivity, including delays to research and development programs, and could render it difficult or impossible for us to sell or perform certain of our services for some period of time. Additionally, if the backup generators were to fail, it could result in damage to biological samples stored within the Fremont facility, which may include certain customer samples. See “—If our facilities become damaged or inoperable, or we are required to vacate the facilities, our ability to sell and provide our services and pursue our research and development efforts may be jeopardized."</w:t>
      </w:r>
    </w:p>
    <w:p>
      <w:pPr>
        <w:pStyle w:val="TextBody"/>
        <w:bidi w:val="0"/>
        <w:spacing w:before="200" w:after="283"/>
        <w:jc w:val="both"/>
        <w:rPr>
          <w:rFonts w:ascii="Arial" w:hAnsi="Arial"/>
          <w:b/>
          <w:i/>
          <w:color w:val="000000"/>
          <w:sz w:val="18"/>
        </w:rPr>
      </w:pPr>
      <w:r>
        <w:rPr>
          <w:rFonts w:ascii="Arial" w:hAnsi="Arial"/>
          <w:b/>
          <w:i/>
          <w:color w:val="000000"/>
          <w:sz w:val="18"/>
        </w:rPr>
        <w:t>We may not be able to manage our future growth effectively, which could make it difficult to execute our business strategy.</w:t>
      </w:r>
    </w:p>
    <w:p>
      <w:pPr>
        <w:pStyle w:val="TextBody"/>
        <w:bidi w:val="0"/>
        <w:spacing w:before="200" w:after="283"/>
        <w:jc w:val="both"/>
        <w:rPr>
          <w:rFonts w:ascii="Arial" w:hAnsi="Arial"/>
          <w:color w:val="000000"/>
          <w:sz w:val="18"/>
        </w:rPr>
      </w:pPr>
      <w:r>
        <w:rPr>
          <w:rFonts w:ascii="Arial" w:hAnsi="Arial"/>
          <w:color w:val="000000"/>
          <w:sz w:val="18"/>
        </w:rPr>
        <w:t>Our expected future growth could create a strain on our organizational, administrative, and operational infrastructure, including facilities (such as our new facility in Fremont, California),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pStyle w:val="TextBody"/>
        <w:bidi w:val="0"/>
        <w:spacing w:before="240" w:after="283"/>
        <w:jc w:val="center"/>
        <w:rPr>
          <w:rFonts w:ascii="Arial" w:hAnsi="Arial"/>
          <w:color w:val="000000"/>
          <w:sz w:val="18"/>
        </w:rPr>
      </w:pPr>
      <w:r>
        <w:rPr>
          <w:rFonts w:ascii="Arial" w:hAnsi="Arial"/>
          <w:color w:val="000000"/>
          <w:sz w:val="18"/>
        </w:rPr>
        <w:t>39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We may need to continue to invest in our infrastructure in advance of increased demand for our services; our failure to accurately forecast demand would have a negative impact on our business and our ability to achieve and sustain profitability.</w:t>
      </w:r>
    </w:p>
    <w:p>
      <w:pPr>
        <w:pStyle w:val="TextBody"/>
        <w:bidi w:val="0"/>
        <w:spacing w:before="200" w:after="283"/>
        <w:jc w:val="both"/>
        <w:rPr>
          <w:rFonts w:ascii="Arial" w:hAnsi="Arial"/>
          <w:color w:val="000000"/>
          <w:sz w:val="18"/>
        </w:rPr>
      </w:pPr>
      <w:r>
        <w:rPr>
          <w:rFonts w:ascii="Arial" w:hAnsi="Arial"/>
          <w:color w:val="000000"/>
          <w:sz w:val="18"/>
        </w:rPr>
        <w:t>Our new Fremont facility expanded our laboratory capacity and, in order to execute our business model, we may need to make additional investments to further scale our infrastructure, including purchases of additional equipment, some of which can take several months or more to procure, setup, and validate, or increases to our software and computing capacity. There is no assurance that any of these increases in scale, equipment, software, and computing capacities, or process enhancements will be successfully implemented.</w:t>
      </w:r>
    </w:p>
    <w:p>
      <w:pPr>
        <w:pStyle w:val="TextBody"/>
        <w:bidi w:val="0"/>
        <w:spacing w:before="200" w:after="283"/>
        <w:jc w:val="both"/>
        <w:rPr>
          <w:rFonts w:ascii="Arial" w:hAnsi="Arial"/>
          <w:color w:val="000000"/>
          <w:sz w:val="18"/>
        </w:rPr>
      </w:pPr>
      <w:r>
        <w:rPr>
          <w:rFonts w:ascii="Arial" w:hAnsi="Arial"/>
          <w:color w:val="000000"/>
          <w:sz w:val="18"/>
        </w:rPr>
        <w:t>We expanded our laboratory facilities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or at all.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pStyle w:val="TextBody"/>
        <w:bidi w:val="0"/>
        <w:spacing w:before="200" w:after="283"/>
        <w:jc w:val="both"/>
        <w:rPr>
          <w:rFonts w:ascii="Arial" w:hAnsi="Arial"/>
          <w:color w:val="000000"/>
          <w:sz w:val="18"/>
        </w:rPr>
      </w:pPr>
      <w:r>
        <w:rPr>
          <w:rFonts w:ascii="Arial" w:hAnsi="Arial"/>
          <w:color w:val="000000"/>
          <w:sz w:val="18"/>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pStyle w:val="TextBody"/>
        <w:bidi w:val="0"/>
        <w:spacing w:before="200" w:after="283"/>
        <w:jc w:val="both"/>
        <w:rPr>
          <w:rFonts w:ascii="Arial" w:hAnsi="Arial"/>
          <w:b/>
          <w:i/>
          <w:color w:val="000000"/>
          <w:sz w:val="18"/>
        </w:rPr>
      </w:pPr>
      <w:r>
        <w:rPr>
          <w:rFonts w:ascii="Arial" w:hAnsi="Arial"/>
          <w:b/>
          <w:i/>
          <w:color w:val="000000"/>
          <w:sz w:val="18"/>
        </w:rPr>
        <w:t>We may acquire businesses or assets, form joint ventures, or make investments in other companies or technologies that could harm our operating results, dilute our stockholders’ ownership, or cause us to incur debt or significant expense.</w:t>
      </w:r>
    </w:p>
    <w:p>
      <w:pPr>
        <w:pStyle w:val="TextBody"/>
        <w:bidi w:val="0"/>
        <w:spacing w:before="200" w:after="283"/>
        <w:jc w:val="both"/>
        <w:rPr>
          <w:rFonts w:ascii="Arial" w:hAnsi="Arial"/>
          <w:color w:val="000000"/>
          <w:sz w:val="18"/>
        </w:rPr>
      </w:pPr>
      <w:r>
        <w:rPr>
          <w:rFonts w:ascii="Arial" w:hAnsi="Arial"/>
          <w:color w:val="000000"/>
          <w:sz w:val="18"/>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pStyle w:val="TextBody"/>
        <w:bidi w:val="0"/>
        <w:spacing w:before="200" w:after="283"/>
        <w:jc w:val="both"/>
        <w:rPr>
          <w:rFonts w:ascii="Arial" w:hAnsi="Arial"/>
          <w:color w:val="000000"/>
          <w:sz w:val="18"/>
        </w:rPr>
      </w:pPr>
      <w:r>
        <w:rPr>
          <w:rFonts w:ascii="Arial" w:hAnsi="Arial"/>
          <w:color w:val="000000"/>
          <w:sz w:val="18"/>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pStyle w:val="TextBody"/>
        <w:bidi w:val="0"/>
        <w:spacing w:before="200" w:after="283"/>
        <w:jc w:val="both"/>
        <w:rPr>
          <w:rFonts w:ascii="Arial" w:hAnsi="Arial"/>
          <w:b/>
          <w:i/>
          <w:color w:val="000000"/>
          <w:sz w:val="18"/>
        </w:rPr>
      </w:pPr>
      <w:r>
        <w:rPr>
          <w:rFonts w:ascii="Arial" w:hAnsi="Arial"/>
          <w:b/>
          <w:i/>
          <w:color w:val="000000"/>
          <w:sz w:val="18"/>
        </w:rPr>
        <w:t>Ethical, legal, and social concerns related to the use of genetic information could reduce demand for our tests.</w:t>
      </w:r>
    </w:p>
    <w:p>
      <w:pPr>
        <w:pStyle w:val="TextBody"/>
        <w:bidi w:val="0"/>
        <w:spacing w:before="200" w:after="283"/>
        <w:jc w:val="both"/>
        <w:rPr>
          <w:rFonts w:ascii="Arial" w:hAnsi="Arial"/>
          <w:color w:val="000000"/>
          <w:sz w:val="18"/>
        </w:rPr>
      </w:pPr>
      <w:r>
        <w:rPr>
          <w:rFonts w:ascii="Arial" w:hAnsi="Arial"/>
          <w:color w:val="000000"/>
          <w:sz w:val="18"/>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pStyle w:val="TextBody"/>
        <w:bidi w:val="0"/>
        <w:spacing w:before="200" w:after="283"/>
        <w:jc w:val="both"/>
        <w:rPr>
          <w:rFonts w:ascii="Arial" w:hAnsi="Arial"/>
          <w:b/>
          <w:i/>
          <w:color w:val="000000"/>
          <w:sz w:val="18"/>
        </w:rPr>
      </w:pPr>
      <w:r>
        <w:rPr>
          <w:rFonts w:ascii="Arial" w:hAnsi="Arial"/>
          <w:b/>
          <w:i/>
          <w:color w:val="000000"/>
          <w:sz w:val="18"/>
        </w:rPr>
        <w:t>Any collaboration arrangements that we have entered into or may enter into in the future may not be successful, which could adversely affect our ability to develop and commercialize our services and products.</w:t>
      </w:r>
    </w:p>
    <w:p>
      <w:pPr>
        <w:pStyle w:val="TextBody"/>
        <w:bidi w:val="0"/>
        <w:spacing w:before="200" w:after="283"/>
        <w:jc w:val="both"/>
        <w:rPr>
          <w:rFonts w:ascii="Times New Roman" w:hAnsi="Times New Roman"/>
          <w:sz w:val="20"/>
        </w:rPr>
      </w:pPr>
      <w:r>
        <w:rPr>
          <w:rFonts w:ascii="Arial" w:hAnsi="Arial"/>
          <w:color w:val="000000"/>
          <w:sz w:val="18"/>
        </w:rPr>
        <w:t>Any current or future collaborations, including any strategic alliances or any collaborations to develop companion diagnostic tests, that we have entered (for example, our collaborations with Tempus; Myriad; ClearNote Health, Inc.; Cancer Research UK, University College London, and the Francis Crick Institute (the TRACERx study); The Royal Marsden; the Vall d'Hebron Institute of Oncology (VHIO); Duke University; the Dana-Farber Cancer Institute; University Medical Center Hamburg-Eppendorf (also known as UKE); and Criterium</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and the Academic Breast Cancer Consortium) or may enter into may not be successful. The success of our collaboration arrangements will depend heavily on the efforts and activities of our collaborators. Collaborations are subject to numerous risks, which include that: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have significant discretion in determining the efforts and resources that they will apply to collaborations;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could independently develop, or develop with third parties, services or products that compete directly or indirectly with our services or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with marketing, manufacturing, and distribution rights to one or more services or products may not commit sufficient resources to or otherwise not perform satisfactorily in carrying out these activities;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could grant exclusive rights to our collaborators that would prevent us from collaborating with others;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 large percentage of our revenue may be concentrated with the collaborators if the collaborations are successful and we may experience further losses if they are or later become unsuccessful;</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collaborations may be terminated, and, if terminated, may result in a need for additional capital to pursue further development or commercialization of the applicable current or future services or products;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may own or co-own intellectual property covering our services or products that results from our collaborating with them, and in such cases, we would not have the exclusive right to develop or commercialize such intellectual property;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activities or use of our services or deliverables may create additional regulatory obligations and could lead to side effects or adverse events in patients, exposing us to potential liability or regulatory review;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collaborators’ sales and marketing activities or other operations may not be in compliance with applicable laws resulting in civil or criminal proceedings.</w:t>
      </w:r>
    </w:p>
    <w:p>
      <w:pPr>
        <w:pStyle w:val="TextBody"/>
        <w:bidi w:val="0"/>
        <w:spacing w:before="200" w:after="283"/>
        <w:jc w:val="both"/>
        <w:rPr>
          <w:rFonts w:ascii="Arial" w:hAnsi="Arial"/>
          <w:color w:val="000000"/>
          <w:sz w:val="18"/>
        </w:rPr>
      </w:pPr>
      <w:r>
        <w:rPr>
          <w:rFonts w:ascii="Arial" w:hAnsi="Arial"/>
          <w:color w:val="000000"/>
          <w:sz w:val="18"/>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pStyle w:val="TextBody"/>
        <w:bidi w:val="0"/>
        <w:spacing w:before="200" w:after="283"/>
        <w:jc w:val="both"/>
        <w:rPr>
          <w:rFonts w:ascii="Arial" w:hAnsi="Arial"/>
          <w:b/>
          <w:i/>
          <w:color w:val="000000"/>
          <w:sz w:val="18"/>
        </w:rPr>
      </w:pPr>
      <w:r>
        <w:rPr>
          <w:rFonts w:ascii="Arial" w:hAnsi="Arial"/>
          <w:b/>
          <w:i/>
          <w:color w:val="000000"/>
          <w:sz w:val="18"/>
        </w:rPr>
        <w:t>Our operations and employees face risks related to health crises that could adversely affect our operations, our financial condition, and the business or operations of our customers or other third parties with whom we conduct business.</w:t>
      </w:r>
    </w:p>
    <w:p>
      <w:pPr>
        <w:pStyle w:val="TextBody"/>
        <w:bidi w:val="0"/>
        <w:spacing w:before="200" w:after="283"/>
        <w:jc w:val="both"/>
        <w:rPr>
          <w:rFonts w:ascii="Arial" w:hAnsi="Arial"/>
          <w:color w:val="000000"/>
          <w:sz w:val="18"/>
        </w:rPr>
      </w:pPr>
      <w:r>
        <w:rPr>
          <w:rFonts w:ascii="Arial" w:hAnsi="Arial"/>
          <w:color w:val="000000"/>
          <w:sz w:val="18"/>
        </w:rPr>
        <w:t>Our business could be adversely impacted by the effects of a health crisis that could cause significant disruption in the operations of our customers and third-party suppliers upon whom we rely. Our laboratory facilities,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pStyle w:val="TextBody"/>
        <w:bidi w:val="0"/>
        <w:spacing w:before="200" w:after="283"/>
        <w:jc w:val="both"/>
        <w:rPr>
          <w:rFonts w:ascii="Times New Roman" w:hAnsi="Times New Roman"/>
          <w:sz w:val="20"/>
        </w:rPr>
      </w:pPr>
      <w:r>
        <w:rPr>
          <w:rFonts w:ascii="Arial" w:hAnsi="Arial"/>
          <w:color w:val="000000"/>
          <w:sz w:val="18"/>
        </w:rPr>
        <w:t>Our operations were previously impacted by the COVID-19 pandemic. For example, the previous shelter-in-place order and health orders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cause similar effects on our operations. COVID-19 disrupted, and a future health epidemic or pandemic may disrupt in the future, the ability of our suppliers to fulfill our purchase orders in a timely manner or at all. Additionally, we use certain consumables in our operations, and we have faced, and may face in the future, difficulties in acquiring such consumables if our suppliers prioritize orders related to a health epidemic or pandemic or if other supply chain issues arise as a result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such a public health crisis. Several of our customers were delayed in sending us samples due to the inability to collect or ship samples during the COVID-19 pandemic, and these and additional customers may be disrupted from collecting samples or sending purchase orders or samples to us in the future in the event of the emergence of another health epidemic or pandemic.</w:t>
      </w:r>
    </w:p>
    <w:p>
      <w:pPr>
        <w:pStyle w:val="TextBody"/>
        <w:bidi w:val="0"/>
        <w:spacing w:before="200" w:after="283"/>
        <w:jc w:val="both"/>
        <w:rPr>
          <w:rFonts w:ascii="Arial" w:hAnsi="Arial"/>
          <w:color w:val="000000"/>
          <w:sz w:val="18"/>
        </w:rPr>
      </w:pPr>
      <w:r>
        <w:rPr>
          <w:rFonts w:ascii="Arial" w:hAnsi="Arial"/>
          <w:color w:val="000000"/>
          <w:sz w:val="18"/>
        </w:rPr>
        <w:t>Moreover, the ultimate impact of a health epidemic or pandemic on our business, operations, or the global economy as a whole is highly uncertain, but a continued and prolonged public health crisis could have a material negative impact on our business, financial condition, and operating results.</w:t>
      </w:r>
    </w:p>
    <w:p>
      <w:pPr>
        <w:pStyle w:val="TextBody"/>
        <w:bidi w:val="0"/>
        <w:spacing w:before="200" w:after="283"/>
        <w:jc w:val="both"/>
        <w:rPr>
          <w:rFonts w:ascii="Arial" w:hAnsi="Arial"/>
          <w:b/>
          <w:i/>
          <w:color w:val="000000"/>
          <w:sz w:val="18"/>
        </w:rPr>
      </w:pPr>
      <w:r>
        <w:rPr>
          <w:rFonts w:ascii="Arial" w:hAnsi="Arial"/>
          <w:b/>
          <w:i/>
          <w:color w:val="000000"/>
          <w:sz w:val="18"/>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pStyle w:val="TextBody"/>
        <w:bidi w:val="0"/>
        <w:spacing w:before="200" w:after="283"/>
        <w:jc w:val="both"/>
        <w:rPr>
          <w:rFonts w:ascii="Arial" w:hAnsi="Arial"/>
          <w:color w:val="000000"/>
          <w:sz w:val="18"/>
        </w:rPr>
      </w:pPr>
      <w:r>
        <w:rPr>
          <w:rFonts w:ascii="Arial" w:hAnsi="Arial"/>
          <w:color w:val="000000"/>
          <w:sz w:val="18"/>
        </w:rPr>
        <w:t>We may in the future expand our business and operations into international jurisdictions in which we have limited operating experience, including with respect to seeking regulatory approvals and marketing and selling products and services.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Foreign Corrupt Practices Act of 1977, as amended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pStyle w:val="TextBody"/>
        <w:bidi w:val="0"/>
        <w:spacing w:before="200" w:after="283"/>
        <w:jc w:val="both"/>
        <w:rPr>
          <w:rFonts w:ascii="Arial" w:hAnsi="Arial"/>
          <w:b/>
          <w:color w:val="000000"/>
          <w:sz w:val="18"/>
        </w:rPr>
      </w:pPr>
      <w:r>
        <w:rPr>
          <w:rFonts w:ascii="Arial" w:hAnsi="Arial"/>
          <w:b/>
          <w:color w:val="000000"/>
          <w:sz w:val="18"/>
        </w:rPr>
        <w:t>Regulatory, Legal and Cybersecurity Risks</w:t>
      </w:r>
    </w:p>
    <w:p>
      <w:pPr>
        <w:pStyle w:val="TextBody"/>
        <w:bidi w:val="0"/>
        <w:spacing w:before="200" w:after="283"/>
        <w:jc w:val="both"/>
        <w:rPr>
          <w:rFonts w:ascii="Arial" w:hAnsi="Arial"/>
          <w:b/>
          <w:i/>
          <w:color w:val="000000"/>
          <w:sz w:val="18"/>
        </w:rPr>
      </w:pPr>
      <w:r>
        <w:rPr>
          <w:rFonts w:ascii="Arial" w:hAnsi="Arial"/>
          <w:b/>
          <w:i/>
          <w:color w:val="000000"/>
          <w:sz w:val="18"/>
        </w:rPr>
        <w:t>Our tests may be subject to regulatory action if regulatory agencies or authorities determine that our tests do not appropriately comply with statutory and regulatory requirements enforced by the FDA, or equivalent foreign regulatory authorities and/or CLIA requirements for quality laboratory testing or equivalent foreign requirements.*</w:t>
      </w:r>
    </w:p>
    <w:p>
      <w:pPr>
        <w:pStyle w:val="TextBody"/>
        <w:bidi w:val="0"/>
        <w:spacing w:before="200" w:after="283"/>
        <w:jc w:val="both"/>
        <w:rPr>
          <w:rFonts w:ascii="Arial" w:hAnsi="Arial"/>
          <w:color w:val="000000"/>
          <w:sz w:val="18"/>
        </w:rPr>
      </w:pPr>
      <w:r>
        <w:rPr>
          <w:rFonts w:ascii="Arial" w:hAnsi="Arial"/>
          <w:color w:val="000000"/>
          <w:sz w:val="18"/>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devices distributed domestically are safe and effective for their intended uses. In addition, the FDA regulates the import and export of medical devices.</w:t>
      </w:r>
    </w:p>
    <w:p>
      <w:pPr>
        <w:pStyle w:val="TextBody"/>
        <w:bidi w:val="0"/>
        <w:spacing w:before="200" w:after="283"/>
        <w:jc w:val="both"/>
        <w:rPr>
          <w:rFonts w:ascii="Arial" w:hAnsi="Arial"/>
          <w:color w:val="000000"/>
          <w:sz w:val="18"/>
        </w:rPr>
      </w:pPr>
      <w:r>
        <w:rPr>
          <w:rFonts w:ascii="Arial" w:hAnsi="Arial"/>
          <w:color w:val="000000"/>
          <w:sz w:val="18"/>
        </w:rPr>
        <w:t>Although the FDA has statutory authority to assure that medical devices are safe and effective for their intended uses, the FDA has generally exercised its enforcement discretion and not enforced applicable regulations with respect to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w:t>
      </w:r>
    </w:p>
    <w:p>
      <w:pPr>
        <w:pStyle w:val="TextBody"/>
        <w:bidi w:val="0"/>
        <w:spacing w:before="200" w:after="283"/>
        <w:jc w:val="both"/>
        <w:rPr>
          <w:rFonts w:ascii="Times New Roman" w:hAnsi="Times New Roman"/>
          <w:sz w:val="20"/>
        </w:rPr>
      </w:pPr>
      <w:r>
        <w:rPr>
          <w:rFonts w:ascii="Arial" w:hAnsi="Arial"/>
          <w:color w:val="000000"/>
          <w:sz w:val="18"/>
        </w:rPr>
        <w:t>On May 6, 2024, the FDA issued final regulations under which it intends to phase out its enforcement discretion approach to LDTs over a period of four years (the "Final Rule"). We anticipate that we may be required to obtain PMA approval for certain of our tests by October 1, 2027. We may also be subject to device registration and listing requirements, medical device reporting requirements and the requirements of the FDA’s Quality System Regulation. We may be required to conduct clinical trials to support any premarket notification or applications to FDA, which would increase the costs to our business and impair our profitability. If the FDA determines that our tests are subject to enforcement as medical devices, we could be subject to enforcement action, including administrative and judicial sanctions, and additional regulatory controls and submissions for our tests, all of which could be burdensome. We and/or our collaborators may also be required to submit one or more of our tests for premarket notification, review, clearance or approval by the FDA as medical devices. See “—Failure to comply with federal, state, and foreign laboratory licensing requirements and the applicable requirements of</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the FDA or any other regulatory authority, could cause us to lose the ability to perform our tests, experience disruptions to our business or become subject to administrative or judicial sanctions.”</w:t>
      </w:r>
    </w:p>
    <w:p>
      <w:pPr>
        <w:pStyle w:val="TextBody"/>
        <w:bidi w:val="0"/>
        <w:spacing w:before="200" w:after="283"/>
        <w:jc w:val="both"/>
        <w:rPr>
          <w:rFonts w:ascii="Arial" w:hAnsi="Arial"/>
          <w:color w:val="000000"/>
          <w:sz w:val="18"/>
        </w:rPr>
      </w:pPr>
      <w:r>
        <w:rPr>
          <w:rFonts w:ascii="Arial" w:hAnsi="Arial"/>
          <w:color w:val="000000"/>
          <w:sz w:val="18"/>
        </w:rPr>
        <w:t>The implementation of the Final Rule exposes us to additional regulatory controls and submissions for our tests or the possibility of enforcement action, both of which would be burdensome. In addition,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pStyle w:val="TextBody"/>
        <w:bidi w:val="0"/>
        <w:spacing w:before="200" w:after="283"/>
        <w:jc w:val="both"/>
        <w:rPr>
          <w:rFonts w:ascii="Arial" w:hAnsi="Arial"/>
          <w:color w:val="000000"/>
          <w:sz w:val="18"/>
        </w:rPr>
      </w:pPr>
      <w:r>
        <w:rPr>
          <w:rFonts w:ascii="Arial" w:hAnsi="Arial"/>
          <w:color w:val="000000"/>
          <w:sz w:val="18"/>
        </w:rPr>
        <w:t>In the EEA, IVDs are governed by the IVDR and must comply with the requirements of the IVDR in order to be placed on the market or put into service in the EEA. The IVDR does not specifically address the regulation of products falling within the description "laboratory-developed tests". Moreover, while the Regulation includes only limited exemptions for devices that are manufactured and used only within health institutions established in the EEA, diagnostic and therapeutic services undertaken outside of the EEA (for example at our facilities in the U.S.) would not fall within the scope of such exemptions. We believe that we do not currently offer tests or services to customers established in the EEA which would fall within the scope of the IVDR. If, in the future, we offer tests or services to customers within the EEA (whether directly or via intermediaries) that fall within the scope of the IVDR, it is unlikely that we will benefit from IVDR exemptions foreseen for health institutions established in the EEA. This means that we will have to comply with the IVDR in full.</w:t>
      </w:r>
    </w:p>
    <w:p>
      <w:pPr>
        <w:pStyle w:val="TextBody"/>
        <w:bidi w:val="0"/>
        <w:spacing w:before="200" w:after="283"/>
        <w:jc w:val="both"/>
        <w:rPr>
          <w:rFonts w:ascii="Arial" w:hAnsi="Arial"/>
          <w:b/>
          <w:i/>
          <w:color w:val="000000"/>
          <w:sz w:val="18"/>
        </w:rPr>
      </w:pPr>
      <w:r>
        <w:rPr>
          <w:rFonts w:ascii="Arial" w:hAnsi="Arial"/>
          <w:b/>
          <w:i/>
          <w:color w:val="000000"/>
          <w:sz w:val="18"/>
        </w:rPr>
        <w:t>If the FDA determines that our services are subject to enforcement as medical devices, or if foreign regulatory authorities regulate our products as IVDs, we could incur substantial costs and time delays associated with satisfying statutory and regulatory requirements such as pre-market clearance, approval or certification, and we could incur additional expense in offering our tests and tests that we may develop in the future.</w:t>
      </w:r>
    </w:p>
    <w:p>
      <w:pPr>
        <w:pStyle w:val="TextBody"/>
        <w:bidi w:val="0"/>
        <w:spacing w:before="200" w:after="283"/>
        <w:jc w:val="both"/>
        <w:rPr>
          <w:rFonts w:ascii="Arial" w:hAnsi="Arial"/>
          <w:color w:val="000000"/>
          <w:sz w:val="18"/>
        </w:rPr>
      </w:pPr>
      <w:r>
        <w:rPr>
          <w:rFonts w:ascii="Arial" w:hAnsi="Arial"/>
          <w:color w:val="000000"/>
          <w:sz w:val="18"/>
        </w:rPr>
        <w:t>If the FDA determines that our tests and associated software do not fall within the definition of an LDT, under the FDA's Final Rule or otherwise, or if we voluntarily submit one or more of our tests for premarket notification, review, clearance or approval by the FDA as medical devices,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or if we voluntarily submit one or more of our tests for premarket notification, review, clearance or approval by the FDA as medical devices, the regulatory requirements to which our tests are subject would depend on the FDA’s classification of our tests. The FDA has issued regulations classifying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 On January 31, 2024, FDA announced its intent to initiate a reclassification process for most IVDs that are currently Class III (high risk), the majority of which are infectious disease and companion diagnostic IVDs, into Class II (moderate risk). This reclassification would allow manufacturers of certain types of IVDs to seek marketing clearance through the less burdensome Class II 510(k) premarket notification pathway rather than the Class III premarket approval (PMA) pathway, the most stringent type of FDA medical device review.</w:t>
      </w:r>
    </w:p>
    <w:p>
      <w:pPr>
        <w:pStyle w:val="TextBody"/>
        <w:bidi w:val="0"/>
        <w:spacing w:before="200" w:after="283"/>
        <w:jc w:val="both"/>
        <w:rPr>
          <w:rFonts w:ascii="Arial" w:hAnsi="Arial"/>
          <w:color w:val="000000"/>
          <w:sz w:val="18"/>
        </w:rPr>
      </w:pPr>
      <w:r>
        <w:rPr>
          <w:rFonts w:ascii="Arial" w:hAnsi="Arial"/>
          <w:color w:val="000000"/>
          <w:sz w:val="18"/>
        </w:rPr>
        <w:t>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device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de novo request for reclassification.</w:t>
      </w:r>
    </w:p>
    <w:p>
      <w:pPr>
        <w:pStyle w:val="TextBody"/>
        <w:bidi w:val="0"/>
        <w:spacing w:before="200" w:after="283"/>
        <w:jc w:val="both"/>
        <w:rPr>
          <w:rFonts w:ascii="Arial" w:hAnsi="Arial"/>
          <w:color w:val="000000"/>
          <w:sz w:val="18"/>
        </w:rPr>
      </w:pPr>
      <w:r>
        <w:rPr>
          <w:rFonts w:ascii="Arial" w:hAnsi="Arial"/>
          <w:color w:val="000000"/>
          <w:sz w:val="18"/>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pStyle w:val="TextBody"/>
        <w:bidi w:val="0"/>
        <w:spacing w:before="200" w:after="283"/>
        <w:jc w:val="both"/>
        <w:rPr>
          <w:rFonts w:ascii="Times New Roman" w:hAnsi="Times New Roman"/>
          <w:sz w:val="20"/>
        </w:rPr>
      </w:pPr>
      <w:r>
        <w:rPr>
          <w:rFonts w:ascii="Arial" w:hAnsi="Arial"/>
          <w:color w:val="000000"/>
          <w:sz w:val="18"/>
        </w:rPr>
        <w:t>If our tests are considered medical devices not subject to enforcement discretion, or if we voluntarily submit one or more of our tests for premarket notification, review, clearance or approval by the FDA as medical devices, one classification regulation that could be relevant to one or more of our tests is a classification for genetic health risk (“GHR”) assessment tests, codified at 21 C.F.R. § 866.5950. If our tests are considered medical devices that are not subject to enforcement discretion, or if we voluntarily submit one or more of our tests for premarket notification, review, clearance or approval by the FDA as medical devices, and one or more of our tests is considered to fall under the 21 C.F.R. § 866.5950 classification regulation for GHR tests, or under another Class II classification that is subject to a</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pStyle w:val="TextBody"/>
        <w:bidi w:val="0"/>
        <w:spacing w:before="200" w:after="283"/>
        <w:jc w:val="both"/>
        <w:rPr>
          <w:rFonts w:ascii="Arial" w:hAnsi="Arial"/>
          <w:color w:val="000000"/>
          <w:sz w:val="18"/>
        </w:rPr>
      </w:pPr>
      <w:r>
        <w:rPr>
          <w:rFonts w:ascii="Arial" w:hAnsi="Arial"/>
          <w:color w:val="000000"/>
          <w:sz w:val="18"/>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service and product development costs, delay commercialization of any future services or products, and interrupt sales of our current services and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pStyle w:val="TextBody"/>
        <w:bidi w:val="0"/>
        <w:spacing w:before="200" w:after="283"/>
        <w:jc w:val="both"/>
        <w:rPr>
          <w:rFonts w:ascii="Arial" w:hAnsi="Arial"/>
          <w:color w:val="000000"/>
          <w:sz w:val="18"/>
        </w:rPr>
      </w:pPr>
      <w:r>
        <w:rPr>
          <w:rFonts w:ascii="Arial" w:hAnsi="Arial"/>
          <w:color w:val="000000"/>
          <w:sz w:val="18"/>
        </w:rPr>
        <w:t>If we are required to conduct clinical trials, we and any third-party contractors we engage would be required to comply with good clinical practices (“GCPs”), which are regulations and guidelines enforced by the FDA, for devices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 Similar actions and obligations may be imposed by the competent authorities of a European Union ("EU") Member State, or a foreign regulatory authority.</w:t>
      </w:r>
    </w:p>
    <w:p>
      <w:pPr>
        <w:pStyle w:val="TextBody"/>
        <w:bidi w:val="0"/>
        <w:spacing w:before="200" w:after="283"/>
        <w:jc w:val="both"/>
        <w:rPr>
          <w:rFonts w:ascii="Arial" w:hAnsi="Arial"/>
          <w:color w:val="000000"/>
          <w:sz w:val="18"/>
        </w:rPr>
      </w:pPr>
      <w:r>
        <w:rPr>
          <w:rFonts w:ascii="Arial" w:hAnsi="Arial"/>
          <w:color w:val="000000"/>
          <w:sz w:val="18"/>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devices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pStyle w:val="TextBody"/>
        <w:bidi w:val="0"/>
        <w:spacing w:before="200" w:after="283"/>
        <w:jc w:val="both"/>
        <w:rPr>
          <w:rFonts w:ascii="Arial" w:hAnsi="Arial"/>
          <w:color w:val="000000"/>
          <w:sz w:val="18"/>
        </w:rPr>
      </w:pPr>
      <w:r>
        <w:rPr>
          <w:rFonts w:ascii="Arial" w:hAnsi="Arial"/>
          <w:color w:val="000000"/>
          <w:sz w:val="18"/>
        </w:rPr>
        <w:t>Moreover, there can be no assurance that any cleared or approved labeling claims will be consistent with our current claims or adequate to support continued adoption of our services and products. If premarket review is required for some or all of our services and products, the FDA may require that we stop selling such services and products pending clearance or approval, which would negatively impact our business. Even if our services and products are allowed to remain on the market prior to clearance or approval, demand for our services and products may decline if there is uncertainty about our services or products, if we are required to label our services or products as investigational by the FDA, or if the FDA limits the labeling claims we are permitted to make for our services or products. As a result, we could experience significantly increased development costs and a delay in generating additional revenue from our services and products, or from other services or products now in development.</w:t>
      </w:r>
    </w:p>
    <w:p>
      <w:pPr>
        <w:pStyle w:val="TextBody"/>
        <w:bidi w:val="0"/>
        <w:spacing w:before="200" w:after="283"/>
        <w:jc w:val="both"/>
        <w:rPr>
          <w:rFonts w:ascii="Arial" w:hAnsi="Arial"/>
          <w:color w:val="000000"/>
          <w:sz w:val="18"/>
        </w:rPr>
      </w:pPr>
      <w:r>
        <w:rPr>
          <w:rFonts w:ascii="Arial" w:hAnsi="Arial"/>
          <w:color w:val="000000"/>
          <w:sz w:val="18"/>
        </w:rPr>
        <w:t>In addition, any clearance or approval we obtain for our services or products may contain requirements for costly post-market testing and surveillance to monitor the safety or efficacy of the product. The FDA has broad post-market enforcement powers, and if unanticipated problems with our services or products arise, or if we or our suppliers fail to comply with regulatory requirements following FDA clearance or approval, we may become subject to enforcement actions such as: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restrictions on manufacturing processes;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restrictions on service or product marketing;</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warning letters;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withdrawal or recall of services or products from the market;</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refusal to approve pending PMAs, 510(k)s, or supplements to approved PMAs or cleared 510(k)s that we submit;</w:t>
      </w:r>
    </w:p>
    <w:p>
      <w:pPr>
        <w:pStyle w:val="TextBody"/>
        <w:bidi w:val="0"/>
        <w:spacing w:before="240" w:after="283"/>
        <w:jc w:val="center"/>
        <w:rPr>
          <w:rFonts w:ascii="Arial" w:hAnsi="Arial"/>
          <w:color w:val="000000"/>
          <w:sz w:val="18"/>
        </w:rPr>
      </w:pPr>
      <w:r>
        <w:rPr>
          <w:rFonts w:ascii="Arial" w:hAnsi="Arial"/>
          <w:color w:val="000000"/>
          <w:sz w:val="18"/>
        </w:rPr>
        <w:t>44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fines, restitution, or disgorgement of profits or revenue;</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suspension or withdrawal of regulatory clearances or approvals;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limitation on, or refusal to permit, import or export of our products;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product seizures;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injunctions; or</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8"/>
        </w:rPr>
      </w:pPr>
      <w:r>
        <w:rPr>
          <w:rFonts w:ascii="Arial" w:hAnsi="Arial"/>
          <w:color w:val="000000"/>
          <w:sz w:val="18"/>
        </w:rPr>
        <w:t>imposition of civil or criminal penalties.</w:t>
      </w:r>
    </w:p>
    <w:p>
      <w:pPr>
        <w:pStyle w:val="TextBody"/>
        <w:bidi w:val="0"/>
        <w:spacing w:before="200" w:after="283"/>
        <w:jc w:val="both"/>
        <w:rPr>
          <w:rFonts w:ascii="Arial" w:hAnsi="Arial"/>
          <w:color w:val="000000"/>
          <w:sz w:val="18"/>
        </w:rPr>
      </w:pPr>
      <w:r>
        <w:rPr>
          <w:rFonts w:ascii="Arial" w:hAnsi="Arial"/>
          <w:color w:val="000000"/>
          <w:sz w:val="18"/>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device’s FDA approved labeling. The FDA and other agencies or authorities actively enforce the laws and regulations prohibiting the promotion of off-label uses, and a company that is found to have improperly promoted off-label uses may be subject to significant civil, criminal, and administrative penalties.</w:t>
      </w:r>
    </w:p>
    <w:p>
      <w:pPr>
        <w:pStyle w:val="TextBody"/>
        <w:bidi w:val="0"/>
        <w:spacing w:before="200" w:after="283"/>
        <w:jc w:val="both"/>
        <w:rPr>
          <w:rFonts w:ascii="Arial" w:hAnsi="Arial"/>
          <w:color w:val="000000"/>
          <w:sz w:val="18"/>
        </w:rPr>
      </w:pPr>
      <w:r>
        <w:rPr>
          <w:rFonts w:ascii="Arial" w:hAnsi="Arial"/>
          <w:color w:val="000000"/>
          <w:sz w:val="18"/>
        </w:rPr>
        <w:t>In addition, many of the products we use to perform our tests, including sequencers and various associated reagents supplied to us by Illumina, are labeled as research use only (“RUO”) in the U.S. RUO products are exempt from FDA medical device requirements provided their manufacturers comply with specified labeling and restrictions on distribution. The products must bear the statement: “For Research Use Only. Not for Use in Diagnostic Procedures.” Manufacturers of RUO products cannot make any claims related to safety, effectiveness or diagnostic utility, and RUO products cannot be intended by the manufacturer for clinical diagnostic use. A product promoted for diagnostic use may be viewed by the FDA as adulterated and misbranded under the FDC Act and is subject to FDA enforcement activities, including requiring the manufacturer to seek marketing authorization for the products. We currently use Illumina and other RUO products for our clinical diagnostic tests. If the FDA were to require clearance, approval or authorization for the sale of Illumina’s RUO products and if Illumina does not obtain such clearance, approval or authorization, we would have to find an alternative sequencing platform for some or all of our clinical diagnostic tests. We currently have not validated an alternative sequencing platform on which our tests could be run in a commercially viable manner. If we were not successful in selecting, acquiring on commercially reasonable terms and implementing an alternative platform on a timely basis, our business, financial condition and results of operations would be adversely affected. Similarly, a finding that any of our other suppliers failed to comply with applicable requirements could result in interruptions in our ability to supply our services to the market and adversely affect our operations.</w:t>
      </w:r>
    </w:p>
    <w:p>
      <w:pPr>
        <w:pStyle w:val="TextBody"/>
        <w:bidi w:val="0"/>
        <w:spacing w:before="200" w:after="283"/>
        <w:jc w:val="both"/>
        <w:rPr>
          <w:rFonts w:ascii="Arial" w:hAnsi="Arial"/>
          <w:color w:val="000000"/>
          <w:sz w:val="18"/>
        </w:rPr>
      </w:pPr>
      <w:r>
        <w:rPr>
          <w:rFonts w:ascii="Arial" w:hAnsi="Arial"/>
          <w:color w:val="000000"/>
          <w:sz w:val="18"/>
        </w:rPr>
        <w:t>In addition, if we offer tests or services to customers within the EEA (and Northern Ireland) (whether directly or via intermediaries) that fall within the scope of the IVDR, we would be required to comply with strict requirements in order to affix the CE mark to our products, including requirements for clinical evidence, pre-market assessment of safety and performance, quality management system, traceability of products, promotion and advertising, and conduct costly post-market testing and surveillance to monitor the safety or effectiveness of our products in the EEA and detailed reporting obligations.</w:t>
      </w:r>
    </w:p>
    <w:p>
      <w:pPr>
        <w:pStyle w:val="TextBody"/>
        <w:bidi w:val="0"/>
        <w:spacing w:before="200" w:after="283"/>
        <w:jc w:val="both"/>
        <w:rPr>
          <w:rFonts w:ascii="Arial" w:hAnsi="Arial"/>
          <w:b/>
          <w:i/>
          <w:color w:val="000000"/>
          <w:sz w:val="18"/>
        </w:rPr>
      </w:pPr>
      <w:r>
        <w:rPr>
          <w:rFonts w:ascii="Arial" w:hAnsi="Arial"/>
          <w:b/>
          <w:i/>
          <w:color w:val="000000"/>
          <w:sz w:val="18"/>
        </w:rPr>
        <w:t>Failure to comply with federal, state, and foreign laboratory licensing requirements and the applicable requirements of the FDA or any other regulatory authority, or equivalent foreign regulatory authority, could cause us to lose the ability to perform our tests, experience disruptions to our business, or become subject to administrative or judicial sanctions.</w:t>
      </w:r>
    </w:p>
    <w:p>
      <w:pPr>
        <w:pStyle w:val="TextBody"/>
        <w:bidi w:val="0"/>
        <w:spacing w:before="200" w:after="283"/>
        <w:jc w:val="both"/>
        <w:rPr>
          <w:rFonts w:ascii="Arial" w:hAnsi="Arial"/>
          <w:color w:val="000000"/>
          <w:sz w:val="18"/>
        </w:rPr>
      </w:pPr>
      <w:r>
        <w:rPr>
          <w:rFonts w:ascii="Arial" w:hAnsi="Arial"/>
          <w:color w:val="000000"/>
          <w:sz w:val="18"/>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Fremont, California. To renew this certificate, we are subject to survey and inspection every two years. Because we are a CAP-accredited laboratory, the Centers for Medicare &amp; Medicaid Services ("CMS") does not perform this survey and inspection and relies on our CAP survey and inspection. We also may be subject to additional unannounced inspections.</w:t>
      </w:r>
    </w:p>
    <w:p>
      <w:pPr>
        <w:pStyle w:val="TextBody"/>
        <w:bidi w:val="0"/>
        <w:spacing w:before="200" w:after="283"/>
        <w:jc w:val="both"/>
        <w:rPr>
          <w:rFonts w:ascii="Times New Roman" w:hAnsi="Times New Roman"/>
          <w:sz w:val="20"/>
        </w:rPr>
      </w:pPr>
      <w:r>
        <w:rPr>
          <w:rFonts w:ascii="Arial" w:hAnsi="Arial"/>
          <w:color w:val="000000"/>
          <w:sz w:val="18"/>
        </w:rPr>
        <w:t>We are also required to maintain a license to conduct testing in California. California laws establish standards for day-to-day operation of our clinical reference laboratory,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test-specific basis by New York as an out-of-state laboratory, and our LDTs must be approved by the New York State Department of Health (the “NYDOH”) on a test-by-test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also require us to maintain out-of-state licenses. Other states may have similar requirements or may adopt similar requirements in the future. Although we have obtained licenses from states for our clinical reference laboratory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ability to make our tests available outside of the U.S. Complying with licensure requirements in new jurisdictions may be expensive and/or time-consuming, may subject us to significant and unanticipated delays, or may be in conflict with other applicable requirements.</w:t>
      </w:r>
    </w:p>
    <w:p>
      <w:pPr>
        <w:pStyle w:val="TextBody"/>
        <w:bidi w:val="0"/>
        <w:spacing w:before="200" w:after="283"/>
        <w:jc w:val="both"/>
        <w:rPr>
          <w:rFonts w:ascii="Arial" w:hAnsi="Arial"/>
          <w:color w:val="000000"/>
          <w:sz w:val="18"/>
        </w:rPr>
      </w:pPr>
      <w:r>
        <w:rPr>
          <w:rFonts w:ascii="Arial" w:hAnsi="Arial"/>
          <w:color w:val="000000"/>
          <w:sz w:val="18"/>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pStyle w:val="TextBody"/>
        <w:bidi w:val="0"/>
        <w:spacing w:before="200" w:after="283"/>
        <w:jc w:val="both"/>
        <w:rPr>
          <w:rFonts w:ascii="Arial" w:hAnsi="Arial"/>
          <w:color w:val="000000"/>
          <w:sz w:val="18"/>
        </w:rPr>
      </w:pPr>
      <w:r>
        <w:rPr>
          <w:rFonts w:ascii="Arial" w:hAnsi="Arial"/>
          <w:color w:val="000000"/>
          <w:sz w:val="18"/>
        </w:rPr>
        <w:t>Failure to comply with the IVDR may result in a range of enforcement actions by the regulatory authorities of EU Member States as well as repercussions for any CE Certificates of Conformity issued by notified bodies, including fines, suspension variation or withdrawal of CE Certificates of Conformity, product seizures, injunctions or the imposition of civil or criminal penalties which would adversely affect our business, operating results and prospects.</w:t>
      </w:r>
    </w:p>
    <w:p>
      <w:pPr>
        <w:pStyle w:val="TextBody"/>
        <w:bidi w:val="0"/>
        <w:spacing w:before="200" w:after="283"/>
        <w:jc w:val="both"/>
        <w:rPr>
          <w:rFonts w:ascii="Arial" w:hAnsi="Arial"/>
          <w:color w:val="000000"/>
          <w:sz w:val="18"/>
        </w:rPr>
      </w:pPr>
      <w:r>
        <w:rPr>
          <w:rFonts w:ascii="Arial" w:hAnsi="Arial"/>
          <w:color w:val="000000"/>
          <w:sz w:val="18"/>
        </w:rPr>
        <w:t>Although we market our tests as LDTs that are currently subject to the FDA’s exercise of enforcement discretion, if any of our services or products fail to comply with FDA regulatory requirements as enforced, including the Final Rule, or if we are required or voluntarily submit one or more of our tests for premarket notification, review, clearance or approval by the FDA as medical devices,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services or products have defects that call into question the accuracy of their results, we may be required to undertake a retest of all results and analyses provided during the period relevant to the defect, or recall the affected services and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and authorities may not agree, and a determination that we have violated these laws or a public announcement that we are being investigated for possible violations of these laws could adversely affect our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before="200" w:after="283"/>
        <w:jc w:val="both"/>
        <w:rPr>
          <w:rFonts w:ascii="Arial" w:hAnsi="Arial"/>
          <w:color w:val="000000"/>
          <w:sz w:val="18"/>
        </w:rPr>
      </w:pPr>
      <w:r>
        <w:rPr>
          <w:rFonts w:ascii="Arial" w:hAnsi="Arial"/>
          <w:color w:val="000000"/>
          <w:sz w:val="18"/>
        </w:rPr>
        <w:t>In the ordinary course of our business, we, and the third parties upon which we rely, collect, process, receive, generate, use, transfer, disclose, make accessible, protect, secure, dispose of, transmit, share and store (collectively, “process”) proprietary, confidential, and sensitive information, including protected health information (“PHI”), personal information, credit card and other financial information, intellectual property, trade secrets, medical information, biometric information and genomic information (collectively, “sensitive information”) owned or controlled by ourselves or our customers, payors, and other parties.</w:t>
      </w:r>
    </w:p>
    <w:p>
      <w:pPr>
        <w:pStyle w:val="TextBody"/>
        <w:bidi w:val="0"/>
        <w:spacing w:before="200" w:after="283"/>
        <w:jc w:val="both"/>
        <w:rPr>
          <w:rFonts w:ascii="Arial" w:hAnsi="Arial"/>
          <w:color w:val="000000"/>
          <w:sz w:val="18"/>
        </w:rPr>
      </w:pPr>
      <w:r>
        <w:rPr>
          <w:rFonts w:ascii="Arial" w:hAnsi="Arial"/>
          <w:color w:val="000000"/>
          <w:sz w:val="18"/>
        </w:rPr>
        <w:t>Cyberattacks, malicious internet-based activity, and online and offline fraud, and other similar activities threaten the confidentiality, integrity, and availability of our sensitive information and information technology systems, and those of the third parties upon which we rely. Such threats are prevalent and continue to increase, are becoming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including the war between Russia and Ukraine, the state of war between Israel and Hamas and the risk of a larger regional conflict, we, and the third parties upon which we rely, may be vulnerable to a heightened risk of these attacks, including retaliatory cyberattacks, that could materially disrupt our systems and operations, supply chain, and ability to produce, sell, and distribute our platform, products, and services.</w:t>
      </w:r>
    </w:p>
    <w:p>
      <w:pPr>
        <w:pStyle w:val="TextBody"/>
        <w:bidi w:val="0"/>
        <w:spacing w:before="200" w:after="283"/>
        <w:jc w:val="both"/>
        <w:rPr>
          <w:rFonts w:ascii="Times New Roman" w:hAnsi="Times New Roman"/>
          <w:sz w:val="20"/>
        </w:rPr>
      </w:pPr>
      <w:r>
        <w:rPr>
          <w:rFonts w:ascii="Arial" w:hAnsi="Arial"/>
          <w:color w:val="000000"/>
          <w:sz w:val="18"/>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attacks enhanced or facilitated by artificial intelligence ("AI"), software or hardware failures, loss of data or other information technology assets, adware, telecommunications failures, natural disasters, terrorism, and other similar threats. In particular, ransomware attacks are becoming increasingly prevalent and severe and can lead to significant interruptions in our operations, ability to provide our services, loss of data and income, reputational harm, and diversion of funds. Extortion payments may alleviate the negative impact of a ransomware attack, but we may be unwilling or unable to make such payments due to, for example, applicable laws or regulations prohibiting such payments. Most of our employees are working remotely at least part of the time and such remote work has increased risks to our information technology systems and data, as more of our employees utilize network connections, computers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200" w:after="283"/>
        <w:jc w:val="both"/>
        <w:rPr>
          <w:rFonts w:ascii="Arial" w:hAnsi="Arial"/>
          <w:color w:val="000000"/>
          <w:sz w:val="18"/>
        </w:rPr>
      </w:pPr>
      <w:r>
        <w:rPr>
          <w:rFonts w:ascii="Arial" w:hAnsi="Arial"/>
          <w:color w:val="000000"/>
          <w:sz w:val="18"/>
        </w:rPr>
        <w:t>We rely on third-party service providers and technologies to operate critical business systems to process sensitive information in a variety of contexts, including, without limitation, on-site systems and cloud-based data centers, systems handling human resources, financial reporting and controls, customer relationship management, regulatory compliance, and other infrastructure operations. We also communicate sensitive data, including patient data, electronically, and through relationships with multiple third-party vendors and their subcontractors. These applications and data encompass a wide variety of sensitive information, including research and development information, patient data, commercial information, and business and financial information. Our ability to monitor these third parties’ security practices is limited, and these third parties may not have adequate security measures in place. If any of our third-party service providers experience a security incident or other interruption, we could experience adverse consequences. While we may be entitled to damages if any of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and our services.</w:t>
      </w:r>
    </w:p>
    <w:p>
      <w:pPr>
        <w:pStyle w:val="TextBody"/>
        <w:bidi w:val="0"/>
        <w:spacing w:before="200" w:after="283"/>
        <w:jc w:val="both"/>
        <w:rPr>
          <w:rFonts w:ascii="Arial" w:hAnsi="Arial"/>
          <w:color w:val="000000"/>
          <w:sz w:val="18"/>
        </w:rPr>
      </w:pPr>
      <w:r>
        <w:rPr>
          <w:rFonts w:ascii="Arial" w:hAnsi="Arial"/>
          <w:color w:val="000000"/>
          <w:sz w:val="18"/>
        </w:rPr>
        <w:t>Despite the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2018, we experienced downtime in our information technology systems in connection with the adoption of certain new information technology, and our results of operations in the first and second quarters of 2018 were adversely affected as a result.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platform, products, and services.</w:t>
      </w:r>
    </w:p>
    <w:p>
      <w:pPr>
        <w:pStyle w:val="TextBody"/>
        <w:bidi w:val="0"/>
        <w:spacing w:before="200" w:after="283"/>
        <w:jc w:val="both"/>
        <w:rPr>
          <w:rFonts w:ascii="Arial" w:hAnsi="Arial"/>
          <w:color w:val="000000"/>
          <w:sz w:val="18"/>
        </w:rPr>
      </w:pPr>
      <w:r>
        <w:rPr>
          <w:rFonts w:ascii="Arial" w:hAnsi="Arial"/>
          <w:color w:val="000000"/>
          <w:sz w:val="18"/>
        </w:rPr>
        <w:t>We may expend significant resources or modify our business activities (including our clinical trial activities) to try to protect against security incidents. Additionally, certain data privacy and security obligations may require us to implement and maintain certain measures to protect our information technology systems and sensitive information.</w:t>
      </w:r>
    </w:p>
    <w:p>
      <w:pPr>
        <w:pStyle w:val="TextBody"/>
        <w:bidi w:val="0"/>
        <w:spacing w:before="200" w:after="283"/>
        <w:jc w:val="both"/>
        <w:rPr>
          <w:rFonts w:ascii="Arial" w:hAnsi="Arial"/>
          <w:color w:val="000000"/>
          <w:sz w:val="18"/>
        </w:rPr>
      </w:pPr>
      <w:r>
        <w:rPr>
          <w:rFonts w:ascii="Arial" w:hAnsi="Arial"/>
          <w:color w:val="000000"/>
          <w:sz w:val="18"/>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developing and deploying remedial measures and patches designed to address identified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Further, if the information technology systems of the third parties upon which we rely become subject to security incidents, we may have insufficient recourse against such third parties, and we may have to expend significant resources to mitigate the impact of such an event, and to develop and implement protections to prevent future events of this nature from occurring.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tests and services and otherwise conduct our business in the ordinary course.</w:t>
      </w:r>
    </w:p>
    <w:p>
      <w:pPr>
        <w:pStyle w:val="TextBody"/>
        <w:bidi w:val="0"/>
        <w:spacing w:before="200" w:after="283"/>
        <w:jc w:val="both"/>
        <w:rPr>
          <w:rFonts w:ascii="Arial" w:hAnsi="Arial"/>
          <w:color w:val="000000"/>
          <w:sz w:val="18"/>
        </w:rPr>
      </w:pPr>
      <w:r>
        <w:rPr>
          <w:rFonts w:ascii="Arial" w:hAnsi="Arial"/>
          <w:color w:val="000000"/>
          <w:sz w:val="18"/>
        </w:rPr>
        <w:t>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 Further, we may experience delays in developing and deploying remedial measures designed to address any such identified vulnerabilities. For example, like many companies, we use Log4j with respect to certain software or systems to log security and performance information. In early 2022, we discovered a Log4j vulnerability in our environment although to date we have found no indication that our or our partners’ data was exposed. Upon learning of this vulnerability, we applied a patch and made updates to our systems and infrastructure intended to reduce risks associated with the vulnerability.</w:t>
      </w:r>
    </w:p>
    <w:p>
      <w:pPr>
        <w:pStyle w:val="TextBody"/>
        <w:bidi w:val="0"/>
        <w:spacing w:before="200" w:after="283"/>
        <w:jc w:val="both"/>
        <w:rPr>
          <w:rFonts w:ascii="Times New Roman" w:hAnsi="Times New Roman"/>
          <w:sz w:val="20"/>
        </w:rPr>
      </w:pPr>
      <w:r>
        <w:rPr>
          <w:rFonts w:ascii="Arial" w:hAnsi="Arial"/>
          <w:color w:val="000000"/>
          <w:sz w:val="18"/>
        </w:rPr>
        <w:t>Applicable data privacy and security obligations, including applicable federal and/or state breach notification laws and foreign equivalents, as well as public company disclosure obligations, may require us to notify relevant stakeholders, including affected individuals, regulatory authorities and our stockholders, of certain security incidents. Such disclosures are costly, and the disclosure or the failure to comply with such requirements could lead to adverse consequences. If we (or a third party upon whom we rely) experience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information); litigation (including class claims) and mass arbitration; indemnification obligations; negative publicity; reputational harm; monetary fund diversions; interruptions in our operations (including availability of data); financial loss; and other similar harms. Security incidents and attendant consequences may prevent or cause customers or partners to stop using our platform, products, and services, deter new customers or partners from using our platform, products, and services, and negatively impact our ability to grow and operate our business. Whether a cybersecurity incident is reportable to our stockholders may not be straightforward, may take considerable time to determine, and may be subject to change as the investigation of the incident progresses, including changes that may significantly alter any initial disclosure that we provide.</w:t>
      </w:r>
    </w:p>
    <w:p>
      <w:pPr>
        <w:pStyle w:val="TextBody"/>
        <w:bidi w:val="0"/>
        <w:spacing w:before="200" w:after="283"/>
        <w:jc w:val="both"/>
        <w:rPr>
          <w:rFonts w:ascii="Arial" w:hAnsi="Arial"/>
          <w:color w:val="000000"/>
          <w:sz w:val="18"/>
        </w:rPr>
      </w:pPr>
      <w:r>
        <w:rPr>
          <w:rFonts w:ascii="Arial" w:hAnsi="Arial"/>
          <w:color w:val="000000"/>
          <w:sz w:val="18"/>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data privacy and security practices. Additionally, we cannot be sure that such coverage will continue to be available on commercially reasonable terms or at all, or that such coverage will pay future claims.</w:t>
      </w:r>
    </w:p>
    <w:p>
      <w:pPr>
        <w:pStyle w:val="TextBody"/>
        <w:bidi w:val="0"/>
        <w:spacing w:before="200" w:after="283"/>
        <w:jc w:val="both"/>
        <w:rPr>
          <w:rFonts w:ascii="Arial" w:hAnsi="Arial"/>
          <w:color w:val="000000"/>
          <w:sz w:val="18"/>
        </w:rPr>
      </w:pPr>
      <w:r>
        <w:rPr>
          <w:rFonts w:ascii="Arial" w:hAnsi="Arial"/>
          <w:color w:val="000000"/>
          <w:sz w:val="18"/>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our sensitive information could be leaked, disclosed, or revealed as a result of or in connection with our employee’s, personnel’s, or vendor’s use of generative AI technologies.</w:t>
      </w:r>
    </w:p>
    <w:p>
      <w:pPr>
        <w:pStyle w:val="TextBody"/>
        <w:bidi w:val="0"/>
        <w:spacing w:before="200" w:after="283"/>
        <w:jc w:val="both"/>
        <w:rPr>
          <w:rFonts w:ascii="Arial" w:hAnsi="Arial"/>
          <w:b/>
          <w:i/>
          <w:color w:val="000000"/>
          <w:sz w:val="18"/>
        </w:rPr>
      </w:pPr>
      <w:r>
        <w:rPr>
          <w:rFonts w:ascii="Arial" w:hAnsi="Arial"/>
          <w:b/>
          <w:i/>
          <w:color w:val="000000"/>
          <w:sz w:val="18"/>
        </w:rPr>
        <w:t>We are subject to stringent and evolving U.S. and foreign laws, regulations,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before="200" w:after="283"/>
        <w:jc w:val="both"/>
        <w:rPr>
          <w:rFonts w:ascii="Arial" w:hAnsi="Arial"/>
          <w:color w:val="000000"/>
          <w:sz w:val="18"/>
        </w:rPr>
      </w:pPr>
      <w:r>
        <w:rPr>
          <w:rFonts w:ascii="Arial" w:hAnsi="Arial"/>
          <w:color w:val="000000"/>
          <w:sz w:val="18"/>
        </w:rPr>
        <w:t>In the ordinary course of business, we process sensitive information, including data we collect from our customers about trial participants in connection with clinical trials.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pStyle w:val="TextBody"/>
        <w:bidi w:val="0"/>
        <w:spacing w:before="200" w:after="283"/>
        <w:jc w:val="both"/>
        <w:rPr>
          <w:rFonts w:ascii="Arial" w:hAnsi="Arial"/>
          <w:color w:val="000000"/>
          <w:sz w:val="18"/>
        </w:rPr>
      </w:pPr>
      <w:r>
        <w:rPr>
          <w:rFonts w:ascii="Arial" w:hAnsi="Arial"/>
          <w:color w:val="000000"/>
          <w:sz w:val="18"/>
        </w:rPr>
        <w:t>In the United States, federal, state, and local governments have enacted numerous data privacy, and security laws, including data breach notification laws, personal information privacy laws, and consumer protection laws. For example, the Health Insurance Portability and Accountability Act ("HIPAA"), as amended by the Health Information Technology for Economic and Clinical Health Act ("HITECH"), imposes specific requirements relating to the privacy, security, and transmission of individually identifiable health information. Penalties for failure to comply with HIPAA and HITECH include significant civil monetary penalties and criminal penalties in certain circumstances with fines up to $250,000 per violation and/or imprisonment. 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and applicable to us, we may have to comply with the stricter provisions. In addition to fines and penalties imposed upon violators, some of these state laws also afford private rights of action to individuals who believe their personal information has been misused. Similarly, the California Consumer Privacy Act of 2018, as amended by the California Privacy Rights Act of 2020 (“CPRA”) (collectively, "CCPA") applies to personal information of consumers, business representatives, and employees, and requires businesses to provide specific disclosures in privacy notices and honor requests of California residents to exercise certain privacy rights, including those noted below. The CCPA provides for fines of up to $7,500 per intentional violation and allows private litigants affected by certain data breaches to recover significant statutory damages. Although the CCPA exempts some data processed in the context of clinical trials, the CCPA increases compliance costs and potential liability with respect to other personal information we maintain about California residents. In addition, the CPRA expands the CCPA’s requirements, including by adding a new right for individuals to correct their personal information and establishing a new regulatory agency to implement and enforce the law. Other states, such as Virginia, Colorado, Connecticut and Utah have also enacted comprehensive privacy laws, and similar laws are being considered in several other states, as well as at the federal and local levels. These state laws and the CCPA provide individuals with certain rights concerning their personal information, including the right to access, correct, or delete certain personal information, and opt-out of certain data processing activities, such as targeted advertising, profiling, and automated decision-making. The exercise of these rights may impact our business and ability to provide our products and services. While these states, like the CCPA, also exempt some data processed in the context of clinical trials, these developments further complicate compliance efforts, and increase legal risk and compliance costs for us, the third parties upon whom we rely and our customers. Additionally, several states and localities have enacted statutes banning or restricting the collection of biometric information and regulators, such as the Federal Trade Commission, have indicated that use of biometric technologies (including facial recognition technologies) may be subject to additional scrutiny.</w:t>
      </w:r>
    </w:p>
    <w:p>
      <w:pPr>
        <w:pStyle w:val="TextBody"/>
        <w:bidi w:val="0"/>
        <w:spacing w:before="200" w:after="283"/>
        <w:jc w:val="both"/>
        <w:rPr>
          <w:rFonts w:ascii="Times New Roman" w:hAnsi="Times New Roman"/>
          <w:sz w:val="20"/>
        </w:rPr>
      </w:pPr>
      <w:r>
        <w:rPr>
          <w:rFonts w:ascii="Arial" w:hAnsi="Arial"/>
          <w:color w:val="000000"/>
          <w:sz w:val="18"/>
        </w:rPr>
        <w:t>We may be subject to new laws governing the privacy of consumer health data, including reproductive, sexual orientation, and gender identity privacy rights.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are considering and may adopt similar laws. California also recently passed a law protecting privacy of abortion-related records and other reproductive healthcare services.</w:t>
      </w:r>
    </w:p>
    <w:p>
      <w:pPr>
        <w:pStyle w:val="TextBody"/>
        <w:bidi w:val="0"/>
        <w:spacing w:before="200" w:after="283"/>
        <w:jc w:val="both"/>
        <w:rPr>
          <w:rFonts w:ascii="Arial" w:hAnsi="Arial"/>
          <w:color w:val="000000"/>
          <w:sz w:val="18"/>
        </w:rPr>
      </w:pPr>
      <w:r>
        <w:rPr>
          <w:rFonts w:ascii="Arial" w:hAnsi="Arial"/>
          <w:color w:val="000000"/>
          <w:sz w:val="18"/>
        </w:rPr>
        <w:t>Outside the U.S., an increasing number of laws, regulations, and industry standards govern data privacy and security. For example, the General Data Protection Regulation 2016/679 (“EU GDPR”), the United Kingdom’s GDPR (“UK GDPR”), Brazil’s General Data Protection Law (Lei Geral de Proteção de Dados Pessoais) (Law No. 13,709/2018), and China’s Personal Information Protection Law impose strict requirements for processing personal information. Under the EU GDPR and UK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information brought by classes of data subjects or consumer protection organizations authorized at law to represent their interests. In Canada, the Personal Information Protection and Electronic Documents Act and various related provincial laws, as well as Canada’s Anti-Spam Legislation, applies to our operations. We also receive personal information from customers in Asia and may be subject to new and emerging data privacy and security regimes in Asia, including Japan’s Act on the Protection of Personal Information, and Singapore's Personal Data Protection Act.</w:t>
      </w:r>
    </w:p>
    <w:p>
      <w:pPr>
        <w:pStyle w:val="TextBody"/>
        <w:bidi w:val="0"/>
        <w:spacing w:before="200" w:after="283"/>
        <w:jc w:val="both"/>
        <w:rPr>
          <w:rFonts w:ascii="Arial" w:hAnsi="Arial"/>
          <w:color w:val="000000"/>
          <w:sz w:val="18"/>
        </w:rPr>
      </w:pPr>
      <w:r>
        <w:rPr>
          <w:rFonts w:ascii="Arial" w:hAnsi="Arial"/>
          <w:color w:val="000000"/>
          <w:sz w:val="18"/>
        </w:rPr>
        <w:t>In the ordinary course of business, we may transfer personal information from Europe and other jurisdictions to the U.S. or other countries. Europe and other jurisdictions have enacted laws requiring data to be localized or limiting the transfer of personal information to other countries. In particular, the EEA and the U.K. have significantly restricted the transfer of personal information to the U.S. and other countries whose data privacy and security laws they generally believe are inadequate. Other jurisdictions may adopt similarly stringent interpretations of their data localization and cross-border data transfer laws. Although there are currently various mechanisms that may be used to transfer personal information from the EEA and U.K. to the U.S. in compliance with law, such as the EEA’s standard contractual clauses, the U.K.'s International Data Transfer Agreement / Addendum, and the EU-U.S. Data Privacy Framework (and U.K. extension thereto) (which allows for transfers for relevant U.S.-based organizations who self-certify compliance and participate in such framework), these mechanisms are susceptible to legal challenges, and there is no assurance that we can satisfy or rely on these measures to lawfully transfer personal information to the U.S. If there is no lawful manner for us to transfer personal information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information necessary to operate our business. Additionally, companies that transfer personal information out of the EEA and U.K. to other jurisdictions, particularly to the U.S.,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 EEA countries may also introduce national legislation further limiting the processing of personal genetic, biometric, or health data, which could limit our ability to collect, use and share data originating from the EEA, or could cause our compliance costs to increase, require us to change our practices, adversely impact our business, and harm our financial condition.</w:t>
      </w:r>
    </w:p>
    <w:p>
      <w:pPr>
        <w:pStyle w:val="TextBody"/>
        <w:bidi w:val="0"/>
        <w:spacing w:before="200" w:after="283"/>
        <w:jc w:val="both"/>
        <w:rPr>
          <w:rFonts w:ascii="Arial" w:hAnsi="Arial"/>
          <w:color w:val="000000"/>
          <w:sz w:val="18"/>
        </w:rPr>
      </w:pPr>
      <w:r>
        <w:rPr>
          <w:rFonts w:ascii="Arial" w:hAnsi="Arial"/>
          <w:color w:val="000000"/>
          <w:sz w:val="18"/>
        </w:rPr>
        <w:t>In addition to data privacy and security laws, because we process some credit card payments through a third-party payment processing partner, we are contractually subject to industry standards adopted by industry groups and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w:t>
      </w:r>
    </w:p>
    <w:p>
      <w:pPr>
        <w:pStyle w:val="TextBody"/>
        <w:bidi w:val="0"/>
        <w:spacing w:before="200" w:after="283"/>
        <w:jc w:val="both"/>
        <w:rPr>
          <w:rFonts w:ascii="Arial" w:hAnsi="Arial"/>
          <w:color w:val="000000"/>
          <w:sz w:val="18"/>
        </w:rPr>
      </w:pPr>
      <w:r>
        <w:rPr>
          <w:rFonts w:ascii="Arial" w:hAnsi="Arial"/>
          <w:color w:val="000000"/>
          <w:sz w:val="18"/>
        </w:rPr>
        <w:t>We also rely on vendors to process payment card data, who may be subject to PCI DSS, and our business may be negatively affected if our vendors are fined or suffer other consequences as a result of PCI DSS noncompliance. We are also bound by contractual obligations related to data privacy and security, and our efforts to comply with such obligations may not be successful. For example, certain privacy laws, such as the GDPR, require our customers to impose specific contractual restrictions on their service providers. 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00" w:after="283"/>
        <w:jc w:val="both"/>
        <w:rPr>
          <w:rFonts w:ascii="Arial" w:hAnsi="Arial"/>
          <w:color w:val="000000"/>
          <w:sz w:val="18"/>
        </w:rPr>
      </w:pPr>
      <w:r>
        <w:rPr>
          <w:rFonts w:ascii="Arial" w:hAnsi="Arial"/>
          <w:color w:val="000000"/>
          <w:sz w:val="18"/>
        </w:rPr>
        <w:t>Our employees and personnel may use generative AI technologies to perform their work, and the disclosure and use of personal information in generative AI technologies is subject to various data privacy laws and other privacy obligations.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spacing w:before="200" w:after="283"/>
        <w:jc w:val="both"/>
        <w:rPr>
          <w:rFonts w:ascii="Times New Roman" w:hAnsi="Times New Roman"/>
          <w:sz w:val="20"/>
        </w:rPr>
      </w:pPr>
      <w:r>
        <w:rPr>
          <w:rFonts w:ascii="Arial" w:hAnsi="Arial"/>
          <w:color w:val="000000"/>
          <w:sz w:val="18"/>
        </w:rPr>
        <w:t>Obligations related to data privacy and security (and consumers'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platform, products and/or services, information technologies, systems, and practices and to those of any third parties that process personal information on our behalf. In addition, these obligations may require us to change our business model. Our business model materially depends on our ability to process personal information, so we are particularly exposed to the risks associated with the rapidly changing legal landscape. For example, because we process PHI,</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49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personal information and sensitive information, we may be at heightened risk of regulatory scrutiny, and any changes in the regulatory framework could require us to fundamentally change our business model, including causing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particularly with respect to our RUO and clinical trial services, and we also typically rely on each provider ordering our LDTs or diagnostic services to obtain valid and appropriate consent from each of his or her patients whose genetic samples and data we process on such patient's behalf. Given that we do not typically obtain direct consent from such data subjects or patients, and we do not audit our customers or the ordering providers to ensure that they have obtained the necessary consents required by law, the failure of our customers or the order providers to obtain consents that are valid under applicable law could result in our own non-compliance with data privacy and security laws. For example, our NeXT Personal RUO test leverages WGS, and the scope of existing consents from our customers' clinical trial subjects may be insufficient to cover use of NeXT Personal on their samples, which may either limit uptake of NeXT Personal or expose our customers and ourselves to risk of exceeding the scope of prior consent for specimen testing. A failure, or a perceived failure, to address or comply with U.S. and foreign data privacy and security laws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privacy and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pStyle w:val="TextBody"/>
        <w:bidi w:val="0"/>
        <w:spacing w:before="200" w:after="283"/>
        <w:jc w:val="both"/>
        <w:rPr>
          <w:rFonts w:ascii="Times New Roman" w:hAnsi="Times New Roman"/>
          <w:sz w:val="20"/>
        </w:rPr>
      </w:pPr>
      <w:r>
        <w:rPr>
          <w:rFonts w:ascii="Arial" w:hAnsi="Arial"/>
          <w:color w:val="000000"/>
          <w:sz w:val="18"/>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information; orders to destroy or not use personal information;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interruptions or stoppages of data collection needed to train our algorithms; inability to process personal information or to operate in certain jurisdictions; limited ability to develop or commercialize our platform, products, and services; expenditure of time and resources to defend any claim or inquiry; adverse publicity; or substantial changes to our business model or operations.</w:t>
      </w:r>
      <w:r>
        <w:rPr>
          <w:rFonts w:ascii="Times New Roman" w:hAnsi="Times New Roman"/>
          <w:color w:val="000000"/>
          <w:sz w:val="20"/>
        </w:rPr>
        <w:t xml:space="preserve"> </w:t>
      </w:r>
    </w:p>
    <w:p>
      <w:pPr>
        <w:pStyle w:val="TextBody"/>
        <w:bidi w:val="0"/>
        <w:spacing w:before="200" w:after="283"/>
        <w:jc w:val="both"/>
        <w:rPr>
          <w:rFonts w:ascii="Arial" w:hAnsi="Arial"/>
          <w:b/>
          <w:i/>
          <w:color w:val="000000"/>
          <w:sz w:val="18"/>
        </w:rPr>
      </w:pPr>
      <w:r>
        <w:rPr>
          <w:rFonts w:ascii="Arial" w:hAnsi="Arial"/>
          <w:b/>
          <w:i/>
          <w:color w:val="000000"/>
          <w:sz w:val="18"/>
        </w:rPr>
        <w:t>Our employees may engage in misconduct or other improper activities, including noncompliance with regulatory standards and requirements, which could cause significant liability for us and harm our reputation.</w:t>
      </w:r>
    </w:p>
    <w:p>
      <w:pPr>
        <w:pStyle w:val="TextBody"/>
        <w:bidi w:val="0"/>
        <w:spacing w:before="200" w:after="283"/>
        <w:jc w:val="both"/>
        <w:rPr>
          <w:rFonts w:ascii="Arial" w:hAnsi="Arial"/>
          <w:color w:val="000000"/>
          <w:sz w:val="18"/>
        </w:rPr>
      </w:pPr>
      <w:r>
        <w:rPr>
          <w:rFonts w:ascii="Arial" w:hAnsi="Arial"/>
          <w:color w:val="000000"/>
          <w:sz w:val="18"/>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w:t>
      </w:r>
    </w:p>
    <w:p>
      <w:pPr>
        <w:pStyle w:val="TextBody"/>
        <w:bidi w:val="0"/>
        <w:spacing w:before="200" w:after="283"/>
        <w:jc w:val="both"/>
        <w:rPr>
          <w:rFonts w:ascii="Arial" w:hAnsi="Arial"/>
          <w:color w:val="000000"/>
          <w:sz w:val="18"/>
        </w:rPr>
      </w:pPr>
      <w:r>
        <w:rPr>
          <w:rFonts w:ascii="Arial" w:hAnsi="Arial"/>
          <w:color w:val="000000"/>
          <w:sz w:val="18"/>
        </w:rPr>
        <w:t>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pStyle w:val="TextBody"/>
        <w:bidi w:val="0"/>
        <w:spacing w:before="200" w:after="283"/>
        <w:jc w:val="both"/>
        <w:rPr>
          <w:rFonts w:ascii="Arial" w:hAnsi="Arial"/>
          <w:b/>
          <w:i/>
          <w:color w:val="000000"/>
          <w:sz w:val="18"/>
        </w:rPr>
      </w:pPr>
      <w:r>
        <w:rPr>
          <w:rFonts w:ascii="Arial" w:hAnsi="Arial"/>
          <w:b/>
          <w:i/>
          <w:color w:val="000000"/>
          <w:sz w:val="18"/>
        </w:rPr>
        <w:t>Complying with numerous statutes and regulations pertaining to our business is an expensive and time-consuming process, and any failure to comply could result in substantial penalties.*</w:t>
      </w:r>
    </w:p>
    <w:p>
      <w:pPr>
        <w:pStyle w:val="TextBody"/>
        <w:bidi w:val="0"/>
        <w:spacing w:before="200" w:after="283"/>
        <w:jc w:val="both"/>
        <w:rPr>
          <w:rFonts w:ascii="Arial" w:hAnsi="Arial"/>
          <w:color w:val="000000"/>
          <w:sz w:val="18"/>
        </w:rPr>
      </w:pPr>
      <w:r>
        <w:rPr>
          <w:rFonts w:ascii="Arial" w:hAnsi="Arial"/>
          <w:color w:val="000000"/>
          <w:sz w:val="18"/>
        </w:rPr>
        <w:t>Our operations are or may be subject to other extensive federal, state, local, and foreign laws and regulations, all of which are subject to change. These laws and regulations currently include, among others: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pStyle w:val="TextBody"/>
        <w:bidi w:val="0"/>
        <w:spacing w:before="240" w:after="283"/>
        <w:jc w:val="center"/>
        <w:rPr>
          <w:rFonts w:ascii="Arial" w:hAnsi="Arial"/>
          <w:color w:val="000000"/>
          <w:sz w:val="18"/>
        </w:rPr>
      </w:pPr>
      <w:r>
        <w:rPr>
          <w:rFonts w:ascii="Arial" w:hAnsi="Arial"/>
          <w:color w:val="000000"/>
          <w:sz w:val="18"/>
        </w:rPr>
        <w:t>50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Anti-Markup Rule, which,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payor is billed at a rate that exceeds the performing laboratory’s charges to the billing physician or supplier, and the performing laboratory could be at risk under false claims laws, described below, for causing the submission of a false claim;</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 xml:space="preserve">the 14-Day Rule, also known as the Medicare Date of Service Rule, which prohibits a laboratory supplier from billing the Medicare program for tests performed on samples collected during or within 14 days of an inpatient hospital stay, unless an exception applies, and requires the laboratory supplier to bill the hospital in those cases. Penalties may apply to the laboratory supplier if Medicare determines that the Medicare program was inappropriately billed for testing that should have been billed to the hospital where the sample was collected; </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state client billing laws, which specify whether a person that did not perform the service is permitted to submit the claim for payment and if so, whether the non-performing person is permitted to mark up the cost of the services in excess of the price the purchasing provider paid for such services. For example, California has an anti-markup statute which prohibits providers from charging for any laboratory test that it did not perform unless the provider (a) notifies the patient, client or customer of the name, address, and charges of the laboratory performing the test, and (b) charges no more than what the provider was charged by the clinical laboratory which performed the test except for any other service actually rendered to the patient by the provider (for example, specimen collection, processing and handling) (California Business and Professions Code Section 655.5). This provision applies, with certain limited exceptions, to licensed persons such as physicians and clinical laboratories regulated under the Business and Professions Code. In addition, many states also have “direct-bill” laws, which means that the services actually performed by an individual or entity must be billed by such individual or entity, thus preventing ordering physicians from purchasing services from a laboratory and rebilling for the services they order. For example, California has a direct bill rule specific to anatomic pathology services that prohibits any provider from billing for anatomic pathology services if those services were not actually rendered by that person or under his or her direct supervision with some exemptions (California Business and Professions Code Section 655.7);</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services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with certain exceptions, to report annually to CMS information related to (i) payments and other transfers of value to physicians (defined to include doctors, dentists, optometrists, podiatrists, and chiropractors), other healthcare professionals (such as physicians assistants and nurse practitioners) and teaching hospitals, and (ii) ownership and investment interests held by physicians and their immediate family members;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 xml:space="preserve">HIPAA, as amended by HITECH, and their respective implementing regulations, which impose obligations on certain healthcare providers, health plans, and healthcare clearinghouses, known as covered entities, as well as individuals and entities that create, receive, maintain or transmit individually identifiable health information for or on behalf of a covered entity, known as business associates, as well as their covered subcontractors, with respect to safeguarding the privacy, security and transmission of individually identifiable health information. HITECH also created new tiers of civil monetary </w:t>
      </w:r>
    </w:p>
    <w:p>
      <w:pPr>
        <w:pStyle w:val="TextBody"/>
        <w:bidi w:val="0"/>
        <w:spacing w:before="240" w:after="283"/>
        <w:jc w:val="center"/>
        <w:rPr>
          <w:rFonts w:ascii="Arial" w:hAnsi="Arial"/>
          <w:color w:val="000000"/>
          <w:sz w:val="18"/>
        </w:rPr>
      </w:pPr>
      <w:r>
        <w:rPr>
          <w:rFonts w:ascii="Arial" w:hAnsi="Arial"/>
          <w:color w:val="000000"/>
          <w:sz w:val="18"/>
        </w:rPr>
        <w:t>51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Eliminating Kickbacks in Recovery Act of 2018 (“EKRA”), which prohibits payments for referrals to recovery homes, clinical treatment facilities, and laboratories and is similar to the federal Anti-Kickback Statute in that it creates criminal penalties for knowing or willful payment or offer, or solicitation or receipt, of any remuneration, whether directly or indirectly, overtly or covertly, in cash or in kind, in exchange for the referral or inducement of laboratory testing unless a specific exception applies. Unlike the federal Anti-Kickback Statute, EKRA’s reach extends beyond federal health care programs to include private insurance (i.e., it is an “all payor” statute). Additionally, most of the safe harbors available under the federal Anti-Kickback Statute are not reiterated under EKRA, and certain EKRA safe harbors conflict with the safe harbors available under the federal Anti-Kickback Statute. Therefore, compliance with a federal Anti-Kickback safe harbor does not guarantee protection under EKRA. Because EKRA is a new law, there is very little additional guidance to indicate how and to what extent it will be interpreted, applied and enforced by the government. Currently, there is no proposed regulation interpreting or implementing EKRA, nor any public guidance released by a federal agency concerning EKRA;</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payor, including private insurers;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prohibition on reassignment of Medicare claims, which, subject to certain exceptions, precludes the reassignment of Medicare claims to any other party;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state laws that prohibit other specified practices, such as billing physicians for testing that they order as discussed above;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similar foreign laws and regulations that apply to us in the countries in which we operate or may operate in the future.</w:t>
      </w:r>
    </w:p>
    <w:p>
      <w:pPr>
        <w:pStyle w:val="TextBody"/>
        <w:bidi w:val="0"/>
        <w:spacing w:before="200" w:after="283"/>
        <w:jc w:val="both"/>
        <w:rPr>
          <w:rFonts w:ascii="Arial" w:hAnsi="Arial"/>
          <w:color w:val="000000"/>
          <w:sz w:val="18"/>
        </w:rPr>
      </w:pPr>
      <w:r>
        <w:rPr>
          <w:rFonts w:ascii="Arial" w:hAnsi="Arial"/>
          <w:color w:val="000000"/>
          <w:sz w:val="18"/>
        </w:rPr>
        <w:t>As a clinical laboratory, our business practices may face additional scrutiny from government regulatory agencies and authorities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pStyle w:val="TextBody"/>
        <w:bidi w:val="0"/>
        <w:spacing w:before="200" w:after="283"/>
        <w:jc w:val="both"/>
        <w:rPr>
          <w:rFonts w:ascii="Arial" w:hAnsi="Arial"/>
          <w:color w:val="000000"/>
          <w:sz w:val="18"/>
        </w:rPr>
      </w:pPr>
      <w:r>
        <w:rPr>
          <w:rFonts w:ascii="Arial" w:hAnsi="Arial"/>
          <w:color w:val="000000"/>
          <w:sz w:val="18"/>
        </w:rPr>
        <w:t>The growth of our business, including services we provide under our agreement with Natera,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disgorgement,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pStyle w:val="TextBody"/>
        <w:bidi w:val="0"/>
        <w:spacing w:before="200" w:after="283"/>
        <w:jc w:val="both"/>
        <w:rPr>
          <w:rFonts w:ascii="Arial" w:hAnsi="Arial"/>
          <w:b/>
          <w:i/>
          <w:color w:val="000000"/>
          <w:sz w:val="18"/>
        </w:rPr>
      </w:pPr>
      <w:r>
        <w:rPr>
          <w:rFonts w:ascii="Arial" w:hAnsi="Arial"/>
          <w:b/>
          <w:i/>
          <w:color w:val="000000"/>
          <w:sz w:val="18"/>
        </w:rPr>
        <w:t>We could be adversely affected by violations of the FCPA and other worldwide anti-bribery laws.</w:t>
      </w:r>
    </w:p>
    <w:p>
      <w:pPr>
        <w:pStyle w:val="TextBody"/>
        <w:bidi w:val="0"/>
        <w:spacing w:before="200" w:after="283"/>
        <w:jc w:val="both"/>
        <w:rPr>
          <w:rFonts w:ascii="Arial" w:hAnsi="Arial"/>
          <w:color w:val="000000"/>
          <w:sz w:val="18"/>
        </w:rPr>
      </w:pPr>
      <w:r>
        <w:rPr>
          <w:rFonts w:ascii="Arial" w:hAnsi="Arial"/>
          <w:color w:val="000000"/>
          <w:sz w:val="18"/>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pStyle w:val="TextBody"/>
        <w:bidi w:val="0"/>
        <w:spacing w:before="240" w:after="283"/>
        <w:jc w:val="center"/>
        <w:rPr>
          <w:rFonts w:ascii="Arial" w:hAnsi="Arial"/>
          <w:color w:val="000000"/>
          <w:sz w:val="18"/>
        </w:rPr>
      </w:pPr>
      <w:r>
        <w:rPr>
          <w:rFonts w:ascii="Arial" w:hAnsi="Arial"/>
          <w:color w:val="000000"/>
          <w:sz w:val="18"/>
        </w:rPr>
        <w:t>52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Changes in health care policy could increase our costs, decrease our revenue, and impact sales of and reimbursement for our tests.</w:t>
      </w:r>
    </w:p>
    <w:p>
      <w:pPr>
        <w:pStyle w:val="TextBody"/>
        <w:bidi w:val="0"/>
        <w:spacing w:before="200" w:after="283"/>
        <w:jc w:val="both"/>
        <w:rPr>
          <w:rFonts w:ascii="Arial" w:hAnsi="Arial"/>
          <w:color w:val="000000"/>
          <w:sz w:val="18"/>
        </w:rPr>
      </w:pPr>
      <w:r>
        <w:rPr>
          <w:rFonts w:ascii="Arial" w:hAnsi="Arial"/>
          <w:color w:val="000000"/>
          <w:sz w:val="18"/>
        </w:rPr>
        <w:t>In March 2010, the Patient Protection and Affordable Care Act, as amended by the Health Care and Education Reconciliation Act (the “ACA”), became law. This law substantially changed the way health care is financed by both commercial payors and government payors,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pStyle w:val="TextBody"/>
        <w:bidi w:val="0"/>
        <w:spacing w:before="200" w:after="283"/>
        <w:jc w:val="both"/>
        <w:rPr>
          <w:rFonts w:ascii="Arial" w:hAnsi="Arial"/>
          <w:color w:val="000000"/>
          <w:sz w:val="18"/>
        </w:rPr>
      </w:pPr>
      <w:r>
        <w:rPr>
          <w:rFonts w:ascii="Arial" w:hAnsi="Arial"/>
          <w:color w:val="000000"/>
          <w:sz w:val="18"/>
        </w:rPr>
        <w:t>Among other things, the ACA:</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established a new Patient-Centered Outcomes Research Institute to oversee and identify priorities in comparative clinical efficacy research in an effort to coordinate and develop such research;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established a Center for Medicare and Medicaid Innovation at CMS to test innovative payment and service delivery models to lower Medicare and Medicaid spending.</w:t>
      </w:r>
    </w:p>
    <w:p>
      <w:pPr>
        <w:pStyle w:val="TextBody"/>
        <w:bidi w:val="0"/>
        <w:spacing w:before="200" w:after="283"/>
        <w:jc w:val="both"/>
        <w:rPr>
          <w:rFonts w:ascii="Arial" w:hAnsi="Arial"/>
          <w:color w:val="000000"/>
          <w:sz w:val="18"/>
        </w:rPr>
      </w:pPr>
      <w:r>
        <w:rPr>
          <w:rFonts w:ascii="Arial" w:hAnsi="Arial"/>
          <w:color w:val="000000"/>
          <w:sz w:val="18"/>
        </w:rPr>
        <w:t>There have been executive,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June 17, 2021 the U.S. Supreme Court dismissed a challenge on procedural grounds that argued the ACA is unconstitutional in its entirety because the “individual mandate” was repealed by Congress. Further, prior to the U.S. Supreme Court ruling, on January 28, 2021, President Biden issued an executive order that initiated a special enrollment period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Further, on August 16, 2022, President Biden signed the Inflation Reduction Act of 2022 (the “IRA 2022”) into law, which among other things, extends enhanced subsidies for individuals purchasing health insurance coverage in ACA marketplaces through plan year 2025. The IRA 2022 also eliminates the “donut hole” under the Medicare Part D program beginning in 2025 by significantly lowering the beneficiary maximum out-of-pocket cost and through a newly established manufacturer discount program. It is possible that the ACA will be subject to judicial or Congressional challenges in the future. Efforts to repeal, substantially modify or invalidate some or all of the provisions of the ACA create considerable uncertainties for all businesses involved in healthcare, including our own. It is unclear how such future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pStyle w:val="TextBody"/>
        <w:bidi w:val="0"/>
        <w:spacing w:before="200" w:after="283"/>
        <w:jc w:val="both"/>
        <w:rPr>
          <w:rFonts w:ascii="Arial" w:hAnsi="Arial"/>
          <w:color w:val="000000"/>
          <w:sz w:val="18"/>
        </w:rPr>
      </w:pPr>
      <w:r>
        <w:rPr>
          <w:rFonts w:ascii="Arial" w:hAnsi="Arial"/>
          <w:color w:val="000000"/>
          <w:sz w:val="18"/>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until 2032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APMs, and the Merit-based Incentive Payment System. Under both APMs and MIPS, performance data collected each performance year will affect Medicare payments in later years, including potentially reducing payments.</w:t>
      </w:r>
    </w:p>
    <w:p>
      <w:pPr>
        <w:pStyle w:val="TextBody"/>
        <w:bidi w:val="0"/>
        <w:spacing w:before="200" w:after="283"/>
        <w:jc w:val="both"/>
        <w:rPr>
          <w:rFonts w:ascii="Times New Roman" w:hAnsi="Times New Roman"/>
          <w:sz w:val="20"/>
        </w:rPr>
      </w:pPr>
      <w:r>
        <w:rPr>
          <w:rFonts w:ascii="Arial" w:hAnsi="Arial"/>
          <w:color w:val="000000"/>
          <w:sz w:val="18"/>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Physician Fee Schedule are required to report to CMS, beginning in 2017 and every three years thereafter (or annually for “advanced diagnostic laboratory tests”), private payor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Reporting of payment data under PAMA for clinical diagnostic laboratory tests has been delayed on numerous occasions. Beginning on January 1, 2018, CMS has begun using reported private payor pricing to periodically revise payment rates under the CLFS. Based on current law, between January 1, 2025 and March 31, 2025, applicable laboratories will be required to report on data</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collected during January 1, 2019 and June 30, 2019. This data will be utilized to determine 2025 to 2027 Clinical Laboratory Fee Schedule rates. The payment rate applies to laboratory tests furnished by a hospital laboratory if the test is separately paid under the hospital outpatient prospective payment system. It is still too early to predict the full impact on reimbursement for our current tests or those in development.</w:t>
      </w:r>
    </w:p>
    <w:p>
      <w:pPr>
        <w:pStyle w:val="TextBody"/>
        <w:bidi w:val="0"/>
        <w:spacing w:before="200" w:after="283"/>
        <w:jc w:val="both"/>
        <w:rPr>
          <w:rFonts w:ascii="Arial" w:hAnsi="Arial"/>
          <w:color w:val="000000"/>
          <w:sz w:val="18"/>
        </w:rPr>
      </w:pPr>
      <w:r>
        <w:rPr>
          <w:rFonts w:ascii="Arial" w:hAnsi="Arial"/>
          <w:color w:val="000000"/>
          <w:sz w:val="18"/>
        </w:rPr>
        <w:t>Pursuant to the Consolidated Appropriations Act, the statutory phase-in of the payment reductions has been extended through 2026 with a 0% reduction cap for 2021-2023 and a 15% reduction cap for 2024 through 2026. It is unclear what impact new quality and payment programs, such as MACRA, or new pricing structures, such as those adopted under PAMA, may have on our business, financial condition, results of operations, or cash flows. We also anticipate there will continue to be proposals by legislators at both the federal and state levels, regulators and private payors to reduce costs while expanding individual healthcare benefits. Certain of these changes could impose additional limitations on the prices we will be able to charge for our tests, the coverage of or the amounts of reimbursement available for our tests from payors, including commercial payors and government payors. Therefore, even if favorable coverage and reimbursement status is attained, less favorable coverage policies and reimbursement rates may be implemented in the future.</w:t>
      </w:r>
    </w:p>
    <w:p>
      <w:pPr>
        <w:pStyle w:val="TextBody"/>
        <w:bidi w:val="0"/>
        <w:spacing w:before="200" w:after="283"/>
        <w:jc w:val="both"/>
        <w:rPr>
          <w:rFonts w:ascii="Arial" w:hAnsi="Arial"/>
          <w:b/>
          <w:i/>
          <w:color w:val="000000"/>
          <w:sz w:val="18"/>
        </w:rPr>
      </w:pPr>
      <w:r>
        <w:rPr>
          <w:rFonts w:ascii="Arial" w:hAnsi="Arial"/>
          <w:b/>
          <w:i/>
          <w:color w:val="000000"/>
          <w:sz w:val="18"/>
        </w:rPr>
        <w:t>If we use hazardous materials in a manner that causes injury, we could be liable for resulting damages.</w:t>
      </w:r>
    </w:p>
    <w:p>
      <w:pPr>
        <w:pStyle w:val="TextBody"/>
        <w:bidi w:val="0"/>
        <w:spacing w:before="200" w:after="283"/>
        <w:jc w:val="both"/>
        <w:rPr>
          <w:rFonts w:ascii="Arial" w:hAnsi="Arial"/>
          <w:color w:val="000000"/>
          <w:sz w:val="18"/>
        </w:rPr>
      </w:pPr>
      <w:r>
        <w:rPr>
          <w:rFonts w:ascii="Arial" w:hAnsi="Arial"/>
          <w:color w:val="000000"/>
          <w:sz w:val="18"/>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pStyle w:val="TextBody"/>
        <w:bidi w:val="0"/>
        <w:spacing w:before="200" w:after="283"/>
        <w:jc w:val="both"/>
        <w:rPr>
          <w:rFonts w:ascii="Arial" w:hAnsi="Arial"/>
          <w:b/>
          <w:i/>
          <w:color w:val="000000"/>
          <w:sz w:val="18"/>
        </w:rPr>
      </w:pPr>
      <w:r>
        <w:rPr>
          <w:rFonts w:ascii="Arial" w:hAnsi="Arial"/>
          <w:b/>
          <w:i/>
          <w:color w:val="000000"/>
          <w:sz w:val="18"/>
        </w:rPr>
        <w:t>Changes in tax laws or regulations could adversely affect our business and financial condition.</w:t>
      </w:r>
    </w:p>
    <w:p>
      <w:pPr>
        <w:pStyle w:val="TextBody"/>
        <w:bidi w:val="0"/>
        <w:spacing w:before="200" w:after="283"/>
        <w:jc w:val="both"/>
        <w:rPr>
          <w:rFonts w:ascii="Arial" w:hAnsi="Arial"/>
          <w:color w:val="000000"/>
          <w:sz w:val="18"/>
        </w:rPr>
      </w:pPr>
      <w:r>
        <w:rPr>
          <w:rFonts w:ascii="Arial" w:hAnsi="Arial"/>
          <w:color w:val="000000"/>
          <w:sz w:val="18"/>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On December 27, 2020, the Consolidated Appropriations Act, a coronavirus relief package that extended and expanded various tax provisions, was signed into law. The IRA 2022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IRA 2022, or any newly enacted federal tax legislation.</w:t>
      </w:r>
    </w:p>
    <w:p>
      <w:pPr>
        <w:pStyle w:val="TextBody"/>
        <w:bidi w:val="0"/>
        <w:spacing w:before="200" w:after="283"/>
        <w:jc w:val="both"/>
        <w:rPr>
          <w:rFonts w:ascii="Arial" w:hAnsi="Arial"/>
          <w:b/>
          <w:i/>
          <w:color w:val="000000"/>
          <w:sz w:val="18"/>
        </w:rPr>
      </w:pPr>
      <w:r>
        <w:rPr>
          <w:rFonts w:ascii="Arial" w:hAnsi="Arial"/>
          <w:b/>
          <w:i/>
          <w:color w:val="000000"/>
          <w:sz w:val="18"/>
        </w:rPr>
        <w:t>Our effective tax rate may fluctuate, and we may incur obligations in tax jurisdictions in excess of accrued amounts.</w:t>
      </w:r>
    </w:p>
    <w:p>
      <w:pPr>
        <w:pStyle w:val="TextBody"/>
        <w:bidi w:val="0"/>
        <w:spacing w:before="200" w:after="283"/>
        <w:jc w:val="both"/>
        <w:rPr>
          <w:rFonts w:ascii="Arial" w:hAnsi="Arial"/>
          <w:color w:val="000000"/>
          <w:sz w:val="18"/>
        </w:rPr>
      </w:pPr>
      <w:r>
        <w:rPr>
          <w:rFonts w:ascii="Arial" w:hAnsi="Arial"/>
          <w:color w:val="000000"/>
          <w:sz w:val="18"/>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The foregoing items could increase our future tax expense, change our future intentions regarding reinvestment of foreign earnings, and could have a material adverse effect on our business, financial condition and results of operations. Any of these factors could cause us to experience an effective tax rate significantly different from previous periods or our current expectations and may result in tax obligations in excess of amounts accrued in our financial statements.</w:t>
      </w:r>
    </w:p>
    <w:p>
      <w:pPr>
        <w:pStyle w:val="TextBody"/>
        <w:bidi w:val="0"/>
        <w:spacing w:before="200" w:after="283"/>
        <w:jc w:val="both"/>
        <w:rPr>
          <w:rFonts w:ascii="Arial" w:hAnsi="Arial"/>
          <w:b/>
          <w:i/>
          <w:color w:val="000000"/>
          <w:sz w:val="18"/>
        </w:rPr>
      </w:pPr>
      <w:r>
        <w:rPr>
          <w:rFonts w:ascii="Arial" w:hAnsi="Arial"/>
          <w:b/>
          <w:i/>
          <w:color w:val="000000"/>
          <w:sz w:val="18"/>
        </w:rPr>
        <w:t>The exit of the U.K. from the EU could lead to further regulatory divergence and require us to incur additional expenses in order to develop, manufacture, and commercialize our products and services.</w:t>
      </w:r>
    </w:p>
    <w:p>
      <w:pPr>
        <w:pStyle w:val="TextBody"/>
        <w:bidi w:val="0"/>
        <w:spacing w:before="200" w:after="283"/>
        <w:jc w:val="both"/>
        <w:rPr>
          <w:rFonts w:ascii="Times New Roman" w:hAnsi="Times New Roman"/>
          <w:sz w:val="20"/>
        </w:rPr>
      </w:pPr>
      <w:r>
        <w:rPr>
          <w:rFonts w:ascii="Arial" w:hAnsi="Arial"/>
          <w:color w:val="000000"/>
          <w:sz w:val="18"/>
        </w:rPr>
        <w:t>Following the result of a referendum in 2016, the U.K. left the EU on January 31, 2020, commonly referred to as “Brexit.” Pursuant to the formal withdrawal arrangements agreed between the U.K. and the EU, the U.K. was subject to a transition period until December 31, 2020, during which EU rules continued to apply. The U.K. and the EU have signed the EU-U.K. Trade and Cooperation Agreement, which became provisionally applicable on January 1, 2021 and entered into force on May 1, 2021. This agreement provides details on how some aspects of the U.K. and EU's relationship will operate in the future. However, there are still many uncertainties. On May 26, 2022, the IVDR entered into application in the EU. However, the IVDR is not applicable in the U.K. In the U.K., IVDs are governed by the Medical Devices Regulations 2002 (SI 2002 No 618, as amended) (UK MDR 2002) which retains a regulatory framework similar to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framework set out by the IVDD. As a result, there will be some regulatory divergence in the U.K. from the EU in light of the fact that the CE marking process is set out in EU law, which no longer applies in the U.K. The U.K. has devised a new route to market culminating in a U.K. Conformity Assessed mark to replace the CE Mark for placing IVDs on the market in Great Britain (“G.B.”). Northern Ireland will, however, continue to be covered by the regulations governing CE Marks (a CE Mark or a CE Mark and UKNI Mark will be required to place products on the Northern Ireland market). The EU legal framework, including the IVDR, remains applicable in Northern Ireland (any products placed on the market in the Northern Ireland must be compliant with EU law). However, all medical devices and IVDs must be registered with the MHRA, in order to be placed on the G.B. market.</w:t>
      </w:r>
    </w:p>
    <w:p>
      <w:pPr>
        <w:pStyle w:val="TextBody"/>
        <w:bidi w:val="0"/>
        <w:spacing w:before="200" w:after="283"/>
        <w:jc w:val="both"/>
        <w:rPr>
          <w:rFonts w:ascii="Arial" w:hAnsi="Arial"/>
          <w:color w:val="000000"/>
          <w:sz w:val="18"/>
        </w:rPr>
      </w:pPr>
      <w:r>
        <w:rPr>
          <w:rFonts w:ascii="Arial" w:hAnsi="Arial"/>
          <w:color w:val="000000"/>
          <w:sz w:val="18"/>
        </w:rPr>
        <w:t>The U.K. Government has introduced legislation permitting EU CE Marks to continue to be recognized in G.B. for medical devices. The duration of such recognition depends on the EU regulatory framework on the basis of which the medical devices were previously CE marked. The risk classification of the devices also has an impact if they were CE marked in accordance with the IVDD. The U.K. government also intends to introduce legislation establishing reinforced post-market surveillance requirements in early 2024. The World Trade Organization ("WTO") published notification of the draft Post-market Surveillance Requirements Statutory Instrument (PMS SI) on July 26, 2023. These post-market surveillance requirements are anticipated to apply from mid-2024. The U.K. government is aiming to have core aspects of the future regulatory regime for medical devices applicable from July 1, 2025. The nature of any new regulation in the U.K. is uncertain, and as such, we may experience delays in obtaining future access to the U.K. and other European markets. The U.K.’s departure from the EU has also impacted customs regulations and impacted timing and ease of shipments into the EU from the U.K.</w:t>
      </w:r>
    </w:p>
    <w:p>
      <w:pPr>
        <w:pStyle w:val="TextBody"/>
        <w:bidi w:val="0"/>
        <w:spacing w:before="200" w:after="283"/>
        <w:jc w:val="both"/>
        <w:rPr>
          <w:rFonts w:ascii="Arial" w:hAnsi="Arial"/>
          <w:color w:val="000000"/>
          <w:sz w:val="18"/>
        </w:rPr>
      </w:pPr>
      <w:r>
        <w:rPr>
          <w:rFonts w:ascii="Arial" w:hAnsi="Arial"/>
          <w:color w:val="000000"/>
          <w:sz w:val="18"/>
        </w:rPr>
        <w:t>The UK government has recently amended the MDR 2002 to extend the recognition of CE marked medical devices in Great Britain. The amendments provide that CE marks will cease to be recognized in Great Britain on June 30, 2030, at the latest. Shorter deadlines may apply depending on the regulatory framework on the basis of which the CE mark is affixed and the classification of the medical devices. In addition, CE marks may cease to have affect before the deadlines established in the amended UK MDR – if CE Certificates of Conformity expire, or if related application of EU law renders the CE Certificates of Conformity invalid at an earlier date. Accordingly, IVDs CE marked in accordance with the IVDD can be placed on the Great Britain market until May 26, 2025 if they are list A, list B, or self-testing IVDs or until June 30, 2030 if they are General IVDs which were self-assessed under the IVDD, for which the EU Declaration of Conformity was issued in accordance with the IVDD prior to May 26, 2022, and for which the conformity assessment under Regulation 217/746 on IVDs (IVDR) will require the involvement of a notified body. IVDs CE marked in accordance with the IVDR can be placed on the Great Britain market until June 30, 2030.</w:t>
      </w:r>
    </w:p>
    <w:p>
      <w:pPr>
        <w:pStyle w:val="TextBody"/>
        <w:bidi w:val="0"/>
        <w:spacing w:before="200" w:after="283"/>
        <w:jc w:val="both"/>
        <w:rPr>
          <w:rFonts w:ascii="Arial" w:hAnsi="Arial"/>
          <w:color w:val="000000"/>
          <w:sz w:val="18"/>
        </w:rPr>
      </w:pPr>
      <w:r>
        <w:rPr>
          <w:rFonts w:ascii="Arial" w:hAnsi="Arial"/>
          <w:color w:val="000000"/>
          <w:sz w:val="18"/>
        </w:rPr>
        <w:t>Should the U.K. or G.B.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 It is also possible that Brexit may negatively affect our ability to attract and retain employees in the U.K., particularly those from the EU.</w:t>
      </w:r>
    </w:p>
    <w:p>
      <w:pPr>
        <w:pStyle w:val="TextBody"/>
        <w:bidi w:val="0"/>
        <w:spacing w:before="200" w:after="283"/>
        <w:jc w:val="both"/>
        <w:rPr>
          <w:rFonts w:ascii="Arial" w:hAnsi="Arial"/>
          <w:b/>
          <w:i/>
          <w:color w:val="000000"/>
          <w:sz w:val="18"/>
        </w:rPr>
      </w:pPr>
      <w:r>
        <w:rPr>
          <w:rFonts w:ascii="Arial" w:hAnsi="Arial"/>
          <w:b/>
          <w:i/>
          <w:color w:val="000000"/>
          <w:sz w:val="18"/>
        </w:rPr>
        <w:t>Our business could be negatively impacted by environmental, social and corporate governance (ESG) matters or our reporting of such matters.*</w:t>
      </w:r>
    </w:p>
    <w:p>
      <w:pPr>
        <w:pStyle w:val="TextBody"/>
        <w:bidi w:val="0"/>
        <w:spacing w:before="200" w:after="283"/>
        <w:jc w:val="both"/>
        <w:rPr>
          <w:rFonts w:ascii="Arial" w:hAnsi="Arial"/>
          <w:color w:val="000000"/>
          <w:sz w:val="18"/>
        </w:rPr>
      </w:pPr>
      <w:r>
        <w:rPr>
          <w:rFonts w:ascii="Arial" w:hAnsi="Arial"/>
          <w:color w:val="000000"/>
          <w:sz w:val="18"/>
        </w:rPr>
        <w:t>There is an increasing focus from certain investors, employees, partners, and other stakeholders concerning ESG matters. We currently do not report our environmental emissions and absent a legal requirement to do so we currently do not plan to report our environmental emissions, and lack of reporting could result in certain investors declining to invest in our common stock. As ESG best practices and reporting standards continue to develop, we may incur increasing costs relating to ESG monitoring and reporting and complying with ESG initiatives. For example, California recently enacted Assembly Bill 1305 (“AB 1305”). AB 1305, which became effective on January 1, 2024, creates new annual disclosure requirements regarding substantiation of certain climate-related statements, and, if we report climate related statements in the future, could increase our compliance and reporting costs. Additionally, the SEC recently adopted rules designed to enhance and standardize climate-related disclosures, which have been stayed pending judicial review. If these rules or other climate-related disclosures rules become effective, they may significantly increase our compliance and reporting costs and may also result in disclosures that certain investors or other stakeholders deem to negatively impact our reputation and/or that harm our stock price. In the event that we communicate certain initiatives or goals regarding ESG matters in the future, we could fail, or be perceived to fail, in our achievement of such initiatives or goals, or we could be criticized for the scope of such initiatives or goals. If we fail to satisfy the expectations of certain investors and other stakeholders or our initiatives are not executed as planned, our business, financial condition, results of operations, and prospects may be adversely affected.</w:t>
      </w:r>
    </w:p>
    <w:p>
      <w:pPr>
        <w:pStyle w:val="TextBody"/>
        <w:bidi w:val="0"/>
        <w:spacing w:before="200" w:after="283"/>
        <w:jc w:val="both"/>
        <w:rPr>
          <w:rFonts w:ascii="Arial" w:hAnsi="Arial"/>
          <w:b/>
          <w:color w:val="000000"/>
          <w:sz w:val="18"/>
        </w:rPr>
      </w:pPr>
      <w:r>
        <w:rPr>
          <w:rFonts w:ascii="Arial" w:hAnsi="Arial"/>
          <w:b/>
          <w:color w:val="000000"/>
          <w:sz w:val="18"/>
        </w:rPr>
        <w:t>Intellectual Property Risks</w:t>
      </w:r>
    </w:p>
    <w:p>
      <w:pPr>
        <w:pStyle w:val="TextBody"/>
        <w:bidi w:val="0"/>
        <w:spacing w:before="200" w:after="283"/>
        <w:jc w:val="both"/>
        <w:rPr>
          <w:rFonts w:ascii="Arial" w:hAnsi="Arial"/>
          <w:b/>
          <w:i/>
          <w:color w:val="000000"/>
          <w:sz w:val="18"/>
        </w:rPr>
      </w:pPr>
      <w:r>
        <w:rPr>
          <w:rFonts w:ascii="Arial" w:hAnsi="Arial"/>
          <w:b/>
          <w:i/>
          <w:color w:val="000000"/>
          <w:sz w:val="18"/>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pStyle w:val="TextBody"/>
        <w:bidi w:val="0"/>
        <w:spacing w:before="200" w:after="283"/>
        <w:jc w:val="both"/>
        <w:rPr>
          <w:rFonts w:ascii="Times New Roman" w:hAnsi="Times New Roman"/>
          <w:sz w:val="20"/>
        </w:rPr>
      </w:pPr>
      <w:r>
        <w:rPr>
          <w:rFonts w:ascii="Arial" w:hAnsi="Arial"/>
          <w:color w:val="000000"/>
          <w:sz w:val="18"/>
        </w:rPr>
        <w:t>Our commercial success will depend, in part, on our avoiding infringement of patents and the infringement, misappropriation, or other violation of proprietary rights of third parties, including, for example, the intellectual property of competitors. There is extensive intellectual property litigation involving the biotechnology and pharmaceutical industries and genetic sequencing technology, including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with regard to liquid biopsy assays such as those designed to detect or quantify MRD or recurrence in patients previously diagnosed with cancer.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liability related to an allegation of infringement of these third-party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pStyle w:val="TextBody"/>
        <w:bidi w:val="0"/>
        <w:spacing w:before="200" w:after="283"/>
        <w:jc w:val="both"/>
        <w:rPr>
          <w:rFonts w:ascii="Arial" w:hAnsi="Arial"/>
          <w:color w:val="000000"/>
          <w:sz w:val="18"/>
        </w:rPr>
      </w:pPr>
      <w:r>
        <w:rPr>
          <w:rFonts w:ascii="Arial" w:hAnsi="Arial"/>
          <w:color w:val="000000"/>
          <w:sz w:val="18"/>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w:t>
      </w:r>
    </w:p>
    <w:p>
      <w:pPr>
        <w:pStyle w:val="TextBody"/>
        <w:bidi w:val="0"/>
        <w:spacing w:before="200" w:after="283"/>
        <w:jc w:val="both"/>
        <w:rPr>
          <w:rFonts w:ascii="Arial" w:hAnsi="Arial"/>
          <w:color w:val="000000"/>
          <w:sz w:val="18"/>
        </w:rPr>
      </w:pPr>
      <w:r>
        <w:rPr>
          <w:rFonts w:ascii="Arial" w:hAnsi="Arial"/>
          <w:color w:val="000000"/>
          <w:sz w:val="18"/>
        </w:rPr>
        <w:t>As we continue to commercialize our tests in their current or an updated form, launch different and expanded tests, and enter new markets, other competitors or potential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services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pStyle w:val="TextBody"/>
        <w:bidi w:val="0"/>
        <w:spacing w:before="200" w:after="283"/>
        <w:jc w:val="both"/>
        <w:rPr>
          <w:rFonts w:ascii="Arial" w:hAnsi="Arial"/>
          <w:color w:val="000000"/>
          <w:sz w:val="18"/>
        </w:rPr>
      </w:pPr>
      <w:r>
        <w:rPr>
          <w:rFonts w:ascii="Arial" w:hAnsi="Arial"/>
          <w:color w:val="000000"/>
          <w:sz w:val="18"/>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customers, suppliers, and others to indemnify and hold them harmless for damages arising from intellectual property infringement by us.</w:t>
      </w:r>
    </w:p>
    <w:p>
      <w:pPr>
        <w:pStyle w:val="TextBody"/>
        <w:bidi w:val="0"/>
        <w:spacing w:before="240" w:after="283"/>
        <w:jc w:val="center"/>
        <w:rPr>
          <w:rFonts w:ascii="Arial" w:hAnsi="Arial"/>
          <w:color w:val="000000"/>
          <w:sz w:val="18"/>
        </w:rPr>
      </w:pPr>
      <w:r>
        <w:rPr>
          <w:rFonts w:ascii="Arial" w:hAnsi="Arial"/>
          <w:color w:val="000000"/>
          <w:sz w:val="18"/>
        </w:rPr>
        <w:t>56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If we cannot license rights to use technologies on reasonable terms, we may not be able to commercialize new services or products in the future.</w:t>
      </w:r>
    </w:p>
    <w:p>
      <w:pPr>
        <w:pStyle w:val="TextBody"/>
        <w:bidi w:val="0"/>
        <w:spacing w:before="200" w:after="283"/>
        <w:jc w:val="both"/>
        <w:rPr>
          <w:rFonts w:ascii="Arial" w:hAnsi="Arial"/>
          <w:color w:val="000000"/>
          <w:sz w:val="18"/>
        </w:rPr>
      </w:pPr>
      <w:r>
        <w:rPr>
          <w:rFonts w:ascii="Arial" w:hAnsi="Arial"/>
          <w:color w:val="000000"/>
          <w:sz w:val="18"/>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pStyle w:val="TextBody"/>
        <w:bidi w:val="0"/>
        <w:spacing w:before="200" w:after="283"/>
        <w:jc w:val="both"/>
        <w:rPr>
          <w:rFonts w:ascii="Arial" w:hAnsi="Arial"/>
          <w:color w:val="000000"/>
          <w:sz w:val="18"/>
        </w:rPr>
      </w:pPr>
      <w:r>
        <w:rPr>
          <w:rFonts w:ascii="Arial" w:hAnsi="Arial"/>
          <w:color w:val="000000"/>
          <w:sz w:val="18"/>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pStyle w:val="TextBody"/>
        <w:bidi w:val="0"/>
        <w:spacing w:before="200" w:after="283"/>
        <w:jc w:val="both"/>
        <w:rPr>
          <w:rFonts w:ascii="Arial" w:hAnsi="Arial"/>
          <w:b/>
          <w:i/>
          <w:color w:val="000000"/>
          <w:sz w:val="18"/>
        </w:rPr>
      </w:pPr>
      <w:r>
        <w:rPr>
          <w:rFonts w:ascii="Arial" w:hAnsi="Arial"/>
          <w:b/>
          <w:i/>
          <w:color w:val="000000"/>
          <w:sz w:val="18"/>
        </w:rPr>
        <w:t>Developments or uncertainty in the patent statute, patent case law, or U.S. Patent and Trademark Office (“USPTO”), rules and regulations may impact the validity, scope or enforceability of our patent rights, thereby impairing our ability to protect our services and products.</w:t>
      </w:r>
    </w:p>
    <w:p>
      <w:pPr>
        <w:pStyle w:val="TextBody"/>
        <w:bidi w:val="0"/>
        <w:spacing w:before="200" w:after="283"/>
        <w:jc w:val="both"/>
        <w:rPr>
          <w:rFonts w:ascii="Arial" w:hAnsi="Arial"/>
          <w:color w:val="000000"/>
          <w:sz w:val="18"/>
        </w:rPr>
      </w:pPr>
      <w:r>
        <w:rPr>
          <w:rFonts w:ascii="Arial" w:hAnsi="Arial"/>
          <w:color w:val="000000"/>
          <w:sz w:val="18"/>
        </w:rPr>
        <w:t>Our patent rights, their associated costs, and the enforcement or defense of such patent rights may be affected by developments or uncertainty in the patent statute, patent case law, or USPTO rules and regulations.</w:t>
      </w:r>
    </w:p>
    <w:p>
      <w:pPr>
        <w:pStyle w:val="TextBody"/>
        <w:bidi w:val="0"/>
        <w:spacing w:before="200" w:after="283"/>
        <w:jc w:val="both"/>
        <w:rPr>
          <w:rFonts w:ascii="Arial" w:hAnsi="Arial"/>
          <w:color w:val="000000"/>
          <w:sz w:val="18"/>
        </w:rPr>
      </w:pPr>
      <w:r>
        <w:rPr>
          <w:rFonts w:ascii="Arial" w:hAnsi="Arial"/>
          <w:color w:val="000000"/>
          <w:sz w:val="18"/>
        </w:rPr>
        <w:t>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pStyle w:val="TextBody"/>
        <w:bidi w:val="0"/>
        <w:spacing w:before="200" w:after="283"/>
        <w:jc w:val="both"/>
        <w:rPr>
          <w:rFonts w:ascii="Arial" w:hAnsi="Arial"/>
          <w:color w:val="000000"/>
          <w:sz w:val="18"/>
        </w:rPr>
      </w:pPr>
      <w:r>
        <w:rPr>
          <w:rFonts w:ascii="Arial" w:hAnsi="Arial"/>
          <w:color w:val="000000"/>
          <w:sz w:val="18"/>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a law of nature (for example, the relationship between particular genetic variants and cancer) are not themselves patentable. Precisely what constitutes a law of nature or abstract idea is uncertain, and it is possible that certain aspects of genetic diagnostic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defend or enforce our patent rights in foreign jurisdictions could result in substantial cost and divert our efforts and attention from other aspects of our business.</w:t>
      </w:r>
    </w:p>
    <w:p>
      <w:pPr>
        <w:pStyle w:val="TextBody"/>
        <w:bidi w:val="0"/>
        <w:spacing w:before="200" w:after="283"/>
        <w:jc w:val="both"/>
        <w:rPr>
          <w:rFonts w:ascii="Arial" w:hAnsi="Arial"/>
          <w:b/>
          <w:i/>
          <w:color w:val="000000"/>
          <w:sz w:val="18"/>
        </w:rPr>
      </w:pPr>
      <w:r>
        <w:rPr>
          <w:rFonts w:ascii="Arial" w:hAnsi="Arial"/>
          <w:b/>
          <w:i/>
          <w:color w:val="000000"/>
          <w:sz w:val="18"/>
        </w:rPr>
        <w:t>Patent terms may be inadequate to protect our competitive position for an adequate amount of time.</w:t>
      </w:r>
    </w:p>
    <w:p>
      <w:pPr>
        <w:pStyle w:val="TextBody"/>
        <w:bidi w:val="0"/>
        <w:spacing w:before="200" w:after="283"/>
        <w:jc w:val="both"/>
        <w:rPr>
          <w:rFonts w:ascii="Arial" w:hAnsi="Arial"/>
          <w:color w:val="000000"/>
          <w:sz w:val="18"/>
        </w:rPr>
      </w:pPr>
      <w:r>
        <w:rPr>
          <w:rFonts w:ascii="Arial" w:hAnsi="Arial"/>
          <w:color w:val="000000"/>
          <w:sz w:val="18"/>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or services. Our issued patents will expire on dates ranging from 2033 to 2038, subject to any patent extensions that may be available for such patents. If patents are issued on our pending patent applications, the resulting patents are projected to expire on dates ranging from 2033 to 2042. In addition, although upon issuance in the U.S.,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pStyle w:val="TextBody"/>
        <w:bidi w:val="0"/>
        <w:spacing w:before="200" w:after="283"/>
        <w:jc w:val="both"/>
        <w:rPr>
          <w:rFonts w:ascii="Arial" w:hAnsi="Arial"/>
          <w:b/>
          <w:i/>
          <w:color w:val="000000"/>
          <w:sz w:val="18"/>
        </w:rPr>
      </w:pPr>
      <w:r>
        <w:rPr>
          <w:rFonts w:ascii="Arial" w:hAnsi="Arial"/>
          <w:b/>
          <w:i/>
          <w:color w:val="000000"/>
          <w:sz w:val="18"/>
        </w:rPr>
        <w:t>If we are not able to obtain and enforce patent protection for any services or products we develop and for our technologies, or if the scope of patent protection obtained is not sufficiently broad, our competitors and other third parties could develop and commercialize products, services and technology similar or identical to ours, and our ability to successfully commercialize our products, services, and technologies may be adversely affected.</w:t>
      </w:r>
    </w:p>
    <w:p>
      <w:pPr>
        <w:pStyle w:val="TextBody"/>
        <w:bidi w:val="0"/>
        <w:spacing w:before="200" w:after="283"/>
        <w:jc w:val="both"/>
        <w:rPr>
          <w:rFonts w:ascii="Times New Roman" w:hAnsi="Times New Roman"/>
          <w:sz w:val="20"/>
        </w:rPr>
      </w:pPr>
      <w:r>
        <w:rPr>
          <w:rFonts w:ascii="Arial" w:hAnsi="Arial"/>
          <w:color w:val="000000"/>
          <w:sz w:val="18"/>
        </w:rPr>
        <w:t>We have applied, and we intend to continue applying, for patents covering such aspects of our technologies as we deem appropriate. However, the patent process is expensive, time consuming, and complex, and we may choose not to, or we may not be able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to, apply for patents on certain aspects of our services, products, and other technologies in a timely fashion, at a reasonable cost, in all jurisdictions or at all, and any potential patent coverage we obtain may not be sufficient to prevent substantial competition.</w:t>
      </w:r>
    </w:p>
    <w:p>
      <w:pPr>
        <w:pStyle w:val="TextBody"/>
        <w:bidi w:val="0"/>
        <w:spacing w:before="200" w:after="283"/>
        <w:jc w:val="both"/>
        <w:rPr>
          <w:rFonts w:ascii="Arial" w:hAnsi="Arial"/>
          <w:color w:val="000000"/>
          <w:sz w:val="18"/>
        </w:rPr>
      </w:pPr>
      <w:r>
        <w:rPr>
          <w:rFonts w:ascii="Arial" w:hAnsi="Arial"/>
          <w:color w:val="000000"/>
          <w:sz w:val="18"/>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pStyle w:val="TextBody"/>
        <w:bidi w:val="0"/>
        <w:spacing w:before="200" w:after="283"/>
        <w:jc w:val="both"/>
        <w:rPr>
          <w:rFonts w:ascii="Arial" w:hAnsi="Arial"/>
          <w:color w:val="000000"/>
          <w:sz w:val="18"/>
        </w:rPr>
      </w:pPr>
      <w:r>
        <w:rPr>
          <w:rFonts w:ascii="Arial" w:hAnsi="Arial"/>
          <w:color w:val="000000"/>
          <w:sz w:val="18"/>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services, or products in a non-infringing manner.</w:t>
      </w:r>
    </w:p>
    <w:p>
      <w:pPr>
        <w:pStyle w:val="TextBody"/>
        <w:bidi w:val="0"/>
        <w:spacing w:before="200" w:after="283"/>
        <w:jc w:val="both"/>
        <w:rPr>
          <w:rFonts w:ascii="Arial" w:hAnsi="Arial"/>
          <w:color w:val="000000"/>
          <w:sz w:val="18"/>
        </w:rPr>
      </w:pPr>
      <w:r>
        <w:rPr>
          <w:rFonts w:ascii="Arial" w:hAnsi="Arial"/>
          <w:color w:val="000000"/>
          <w:sz w:val="18"/>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pStyle w:val="TextBody"/>
        <w:bidi w:val="0"/>
        <w:spacing w:before="200" w:after="283"/>
        <w:jc w:val="both"/>
        <w:rPr>
          <w:rFonts w:ascii="Times New Roman" w:hAnsi="Times New Roman"/>
          <w:sz w:val="20"/>
        </w:rPr>
      </w:pPr>
      <w:r>
        <w:rPr>
          <w:rFonts w:ascii="Arial" w:hAnsi="Arial"/>
          <w:color w:val="000000"/>
          <w:sz w:val="18"/>
        </w:rPr>
        <w:t xml:space="preserve">Once granted, patents may remain open to opposition, interference, re-examination, post-grant review, </w:t>
      </w:r>
      <w:r>
        <w:rPr>
          <w:rFonts w:ascii="Arial" w:hAnsi="Arial"/>
          <w:i/>
          <w:color w:val="000000"/>
          <w:sz w:val="18"/>
        </w:rPr>
        <w:t xml:space="preserve">inter partes </w:t>
      </w:r>
      <w:r>
        <w:rPr>
          <w:rFonts w:ascii="Arial" w:hAnsi="Arial"/>
          <w:color w:val="000000"/>
          <w:sz w:val="18"/>
        </w:rPr>
        <w:t>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services,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services, or technologies. In addition, there can be no assurance that:</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others will not or may not be able to make, use, offer to sell, or sell tests that are the same as or similar to our products or services but that are not covered by the claims of the patents that we own or license;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or our future licensors or collaborators are the first to make the inventions covered by each of our issued patents and pending patent applications that we own or license;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or our future licensors or collaborators are the first to file patent applications covering certain aspects of our inventions;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others will not independently develop similar or alternative technologies or duplicate any of our technologies without infringing our intellectual property rights;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 third party may not challenge our patents and, if challenged, a court would hold that our patents are valid, enforceable, and infringed;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issued patents that we own or may license will provide us with any competitive advantages, or will not be challenged by third parties;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we may develop or in-license additional proprietary technologies that are patentable;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pending patent applications that we own or may license will lead to issued patents;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the patents of others will not have a material or adverse effect on our business, financial condition, results of operations, and prospects;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our competitors do not conduct research and development activities in countries where we do not have enforceable patent rights and then use the information learned from such activities to develop competitive products or services for sale in our major commercial markets.</w:t>
      </w:r>
    </w:p>
    <w:p>
      <w:pPr>
        <w:pStyle w:val="TextBody"/>
        <w:bidi w:val="0"/>
        <w:spacing w:before="240" w:after="283"/>
        <w:jc w:val="center"/>
        <w:rPr>
          <w:rFonts w:ascii="Arial" w:hAnsi="Arial"/>
          <w:color w:val="000000"/>
          <w:sz w:val="18"/>
        </w:rPr>
      </w:pPr>
      <w:r>
        <w:rPr>
          <w:rFonts w:ascii="Arial" w:hAnsi="Arial"/>
          <w:color w:val="000000"/>
          <w:sz w:val="18"/>
        </w:rPr>
        <w:t>58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color w:val="000000"/>
          <w:sz w:val="18"/>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hAnsi="Arial"/>
          <w:i/>
          <w:color w:val="000000"/>
          <w:sz w:val="18"/>
        </w:rPr>
        <w:t>inter partes</w:t>
      </w:r>
      <w:r>
        <w:rPr>
          <w:rFonts w:ascii="Times New Roman" w:hAnsi="Times New Roman"/>
          <w:color w:val="000000"/>
          <w:sz w:val="20"/>
        </w:rPr>
        <w:t xml:space="preserve"> </w:t>
      </w:r>
      <w:r>
        <w:rPr>
          <w:rFonts w:ascii="Arial" w:hAnsi="Arial"/>
          <w:color w:val="000000"/>
          <w:sz w:val="18"/>
        </w:rPr>
        <w:t>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services,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pStyle w:val="TextBody"/>
        <w:bidi w:val="0"/>
        <w:spacing w:before="200" w:after="283"/>
        <w:jc w:val="both"/>
        <w:rPr>
          <w:rFonts w:ascii="Arial" w:hAnsi="Arial"/>
          <w:color w:val="000000"/>
          <w:sz w:val="18"/>
        </w:rPr>
      </w:pPr>
      <w:r>
        <w:rPr>
          <w:rFonts w:ascii="Arial" w:hAnsi="Arial"/>
          <w:color w:val="000000"/>
          <w:sz w:val="18"/>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bidi w:val="0"/>
        <w:spacing w:before="200" w:after="283"/>
        <w:jc w:val="both"/>
        <w:rPr>
          <w:rFonts w:ascii="Times New Roman" w:hAnsi="Times New Roman"/>
          <w:sz w:val="20"/>
        </w:rPr>
      </w:pPr>
      <w:r>
        <w:rPr>
          <w:rFonts w:ascii="Arial" w:hAnsi="Arial"/>
          <w:color w:val="000000"/>
          <w:sz w:val="18"/>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have participated, are participating and may in the future have to participate, in interference proceedings, derivation proceedings, </w:t>
      </w:r>
      <w:r>
        <w:rPr>
          <w:rFonts w:ascii="Arial" w:hAnsi="Arial"/>
          <w:i/>
          <w:color w:val="000000"/>
          <w:sz w:val="18"/>
        </w:rPr>
        <w:t>inter partes</w:t>
      </w:r>
      <w:r>
        <w:rPr>
          <w:rFonts w:ascii="Times New Roman" w:hAnsi="Times New Roman"/>
          <w:color w:val="000000"/>
          <w:sz w:val="20"/>
        </w:rPr>
        <w:t xml:space="preserve"> </w:t>
      </w:r>
      <w:r>
        <w:rPr>
          <w:rFonts w:ascii="Arial" w:hAnsi="Arial"/>
          <w:color w:val="000000"/>
          <w:sz w:val="18"/>
        </w:rPr>
        <w:t xml:space="preserve">review proceedings, or other post-grant proceedings declared by the USPTO or a foreign patent office that have resulted, and could in the future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hAnsi="Arial"/>
          <w:i/>
          <w:color w:val="000000"/>
          <w:sz w:val="18"/>
        </w:rPr>
        <w:t xml:space="preserve">inter partes </w:t>
      </w:r>
      <w:r>
        <w:rPr>
          <w:rFonts w:ascii="Arial" w:hAnsi="Arial"/>
          <w:color w:val="000000"/>
          <w:sz w:val="18"/>
        </w:rPr>
        <w:t>review proceedings, providing additional methods for others to challenge our patents.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pStyle w:val="TextBody"/>
        <w:bidi w:val="0"/>
        <w:spacing w:before="200" w:after="283"/>
        <w:jc w:val="both"/>
        <w:rPr>
          <w:rFonts w:ascii="Arial" w:hAnsi="Arial"/>
          <w:b/>
          <w:i/>
          <w:color w:val="000000"/>
          <w:sz w:val="18"/>
        </w:rPr>
      </w:pPr>
      <w:r>
        <w:rPr>
          <w:rFonts w:ascii="Arial" w:hAnsi="Arial"/>
          <w:b/>
          <w:i/>
          <w:color w:val="000000"/>
          <w:sz w:val="18"/>
        </w:rPr>
        <w:t>We are involved in legal proceedings to enforce our intellectual property rights and may in the future become involved in other lawsuits to protect or enforce our patents or other intellectual property, which could be expensive, time consuming, and unsuccessful.*</w:t>
      </w:r>
    </w:p>
    <w:p>
      <w:pPr>
        <w:pStyle w:val="TextBody"/>
        <w:bidi w:val="0"/>
        <w:spacing w:before="200" w:after="283"/>
        <w:jc w:val="both"/>
        <w:rPr>
          <w:rFonts w:ascii="Times New Roman" w:hAnsi="Times New Roman"/>
          <w:sz w:val="20"/>
        </w:rPr>
      </w:pPr>
      <w:r>
        <w:rPr>
          <w:rFonts w:ascii="Arial" w:hAnsi="Arial"/>
          <w:color w:val="000000"/>
          <w:sz w:val="18"/>
        </w:rPr>
        <w:t xml:space="preserve">Our intellectual property rights involve complex factual, scientific and legal questions. We operate in an industry characterized by significant intellectual property litigation. Even though we may believe that we have a valid patent on a particular technology, others may infringe our patents or the patents of our licensing partners. For example, we have filed complaints in the U.S. District Court for the District of Colorado against Foresight for patent infringement (see Note 11 to our unaudited condensed consolidated financial statements). Further, Foresight has filed </w:t>
      </w:r>
      <w:r>
        <w:rPr>
          <w:rFonts w:ascii="Arial" w:hAnsi="Arial"/>
          <w:i/>
          <w:color w:val="000000"/>
          <w:sz w:val="18"/>
        </w:rPr>
        <w:t>inter partes</w:t>
      </w:r>
      <w:r>
        <w:rPr>
          <w:rFonts w:ascii="Times New Roman" w:hAnsi="Times New Roman"/>
          <w:color w:val="000000"/>
          <w:sz w:val="20"/>
        </w:rPr>
        <w:t xml:space="preserve"> </w:t>
      </w:r>
      <w:r>
        <w:rPr>
          <w:rFonts w:ascii="Arial" w:hAnsi="Arial"/>
          <w:color w:val="000000"/>
          <w:sz w:val="18"/>
        </w:rPr>
        <w:t xml:space="preserve">review petitions with the USPTO in an effort to invalidate five of the seven patents that we are asserting against Foresight, and has alleged that it will file additional </w:t>
      </w:r>
      <w:r>
        <w:rPr>
          <w:rFonts w:ascii="Arial" w:hAnsi="Arial"/>
          <w:i/>
          <w:color w:val="000000"/>
          <w:sz w:val="18"/>
        </w:rPr>
        <w:t xml:space="preserve">inter partes </w:t>
      </w:r>
      <w:r>
        <w:rPr>
          <w:rFonts w:ascii="Arial" w:hAnsi="Arial"/>
          <w:color w:val="000000"/>
          <w:sz w:val="18"/>
        </w:rPr>
        <w:t xml:space="preserve">review petitions with the USPTO in an effort to invalidate the two other patents that we are asserting against Foresight. The USPTO has issued decisions granting </w:t>
      </w:r>
      <w:r>
        <w:rPr>
          <w:rFonts w:ascii="Arial" w:hAnsi="Arial"/>
          <w:i/>
          <w:color w:val="000000"/>
          <w:sz w:val="18"/>
        </w:rPr>
        <w:t xml:space="preserve">inter partes </w:t>
      </w:r>
      <w:r>
        <w:rPr>
          <w:rFonts w:ascii="Arial" w:hAnsi="Arial"/>
          <w:color w:val="000000"/>
          <w:sz w:val="18"/>
        </w:rPr>
        <w:t xml:space="preserve">reviews of four of the patents we are asserting against Foresight; the USPTO has yet to issue a decision regarding whether it will institute an </w:t>
      </w:r>
      <w:r>
        <w:rPr>
          <w:rFonts w:ascii="Arial" w:hAnsi="Arial"/>
          <w:i/>
          <w:color w:val="000000"/>
          <w:sz w:val="18"/>
        </w:rPr>
        <w:t xml:space="preserve">inter partes </w:t>
      </w:r>
      <w:r>
        <w:rPr>
          <w:rFonts w:ascii="Arial" w:hAnsi="Arial"/>
          <w:color w:val="000000"/>
          <w:sz w:val="18"/>
        </w:rPr>
        <w:t xml:space="preserve">review of the fifth patent.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services or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w:t>
      </w:r>
      <w:r>
        <w:rPr>
          <w:rFonts w:ascii="Arial" w:hAnsi="Arial"/>
          <w:i/>
          <w:color w:val="000000"/>
          <w:sz w:val="18"/>
        </w:rPr>
        <w:t xml:space="preserve">inter partes </w:t>
      </w:r>
      <w:r>
        <w:rPr>
          <w:rFonts w:ascii="Arial" w:hAnsi="Arial"/>
          <w:color w:val="000000"/>
          <w:sz w:val="18"/>
        </w:rPr>
        <w:t>review, and equivalent proceedings in foreign jurisdictions (e.g., opposition proceedings). Such proceedings could result in revocation or amendment to our patents in such a way that they no longer cover our services or product or the services or products of our competitors. The outcome following legal assertions of invalidity and unenforceability is unpredictable. With respect to the validity question, for example, we cannot be certain that there is no invalidating prior art, of which we and the patent examiner were unaware</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59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pStyle w:val="TextBody"/>
        <w:bidi w:val="0"/>
        <w:spacing w:before="200" w:after="283"/>
        <w:jc w:val="both"/>
        <w:rPr>
          <w:rFonts w:ascii="Arial" w:hAnsi="Arial"/>
          <w:color w:val="000000"/>
          <w:sz w:val="18"/>
        </w:rPr>
      </w:pPr>
      <w:r>
        <w:rPr>
          <w:rFonts w:ascii="Arial" w:hAnsi="Arial"/>
          <w:color w:val="000000"/>
          <w:sz w:val="18"/>
        </w:rPr>
        <w:t>Even if resolved in our favor, litigation or other legal proceedings relating to intellectual property claims have caused and may continue to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200" w:after="283"/>
        <w:jc w:val="both"/>
        <w:rPr>
          <w:rFonts w:ascii="Times New Roman" w:hAnsi="Times New Roman"/>
          <w:sz w:val="20"/>
        </w:rPr>
      </w:pPr>
      <w:r>
        <w:rPr>
          <w:rFonts w:ascii="Arial" w:hAnsi="Arial"/>
          <w:b/>
          <w:i/>
          <w:color w:val="000000"/>
          <w:sz w:val="18"/>
        </w:rPr>
        <w:t>If we are unable to protect the confidentiality of our trade secrets and know-how, our business and competitive position would be harmed</w:t>
      </w:r>
      <w:r>
        <w:rPr>
          <w:rFonts w:ascii="Arial" w:hAnsi="Arial"/>
          <w:b/>
          <w:color w:val="000000"/>
          <w:sz w:val="18"/>
        </w:rPr>
        <w:t>.</w:t>
      </w:r>
    </w:p>
    <w:p>
      <w:pPr>
        <w:pStyle w:val="TextBody"/>
        <w:bidi w:val="0"/>
        <w:spacing w:before="200" w:after="283"/>
        <w:jc w:val="both"/>
        <w:rPr>
          <w:rFonts w:ascii="Arial" w:hAnsi="Arial"/>
          <w:color w:val="000000"/>
          <w:sz w:val="18"/>
        </w:rPr>
      </w:pPr>
      <w:r>
        <w:rPr>
          <w:rFonts w:ascii="Arial" w:hAnsi="Arial"/>
          <w:color w:val="000000"/>
          <w:sz w:val="18"/>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pStyle w:val="TextBody"/>
        <w:bidi w:val="0"/>
        <w:spacing w:before="200" w:after="283"/>
        <w:jc w:val="both"/>
        <w:rPr>
          <w:rFonts w:ascii="Arial" w:hAnsi="Arial"/>
          <w:color w:val="000000"/>
          <w:sz w:val="18"/>
        </w:rPr>
      </w:pPr>
      <w:r>
        <w:rPr>
          <w:rFonts w:ascii="Arial" w:hAnsi="Arial"/>
          <w:color w:val="000000"/>
          <w:sz w:val="18"/>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pStyle w:val="TextBody"/>
        <w:bidi w:val="0"/>
        <w:spacing w:before="200" w:after="283"/>
        <w:jc w:val="both"/>
        <w:rPr>
          <w:rFonts w:ascii="Arial" w:hAnsi="Arial"/>
          <w:color w:val="000000"/>
          <w:sz w:val="18"/>
        </w:rPr>
      </w:pPr>
      <w:r>
        <w:rPr>
          <w:rFonts w:ascii="Arial" w:hAnsi="Arial"/>
          <w:color w:val="000000"/>
          <w:sz w:val="18"/>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pStyle w:val="TextBody"/>
        <w:bidi w:val="0"/>
        <w:spacing w:before="200" w:after="283"/>
        <w:jc w:val="both"/>
        <w:rPr>
          <w:rFonts w:ascii="Arial" w:hAnsi="Arial"/>
          <w:color w:val="000000"/>
          <w:sz w:val="18"/>
        </w:rPr>
      </w:pPr>
      <w:r>
        <w:rPr>
          <w:rFonts w:ascii="Arial" w:hAnsi="Arial"/>
          <w:color w:val="000000"/>
          <w:sz w:val="18"/>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pStyle w:val="TextBody"/>
        <w:bidi w:val="0"/>
        <w:spacing w:before="240" w:after="283"/>
        <w:jc w:val="center"/>
        <w:rPr>
          <w:rFonts w:ascii="Arial" w:hAnsi="Arial"/>
          <w:color w:val="000000"/>
          <w:sz w:val="18"/>
        </w:rPr>
      </w:pPr>
      <w:r>
        <w:rPr>
          <w:rFonts w:ascii="Arial" w:hAnsi="Arial"/>
          <w:color w:val="000000"/>
          <w:sz w:val="18"/>
        </w:rPr>
        <w:t>60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Times New Roman" w:hAnsi="Times New Roman"/>
          <w:sz w:val="20"/>
        </w:rPr>
      </w:pPr>
      <w:r>
        <w:rPr>
          <w:rFonts w:ascii="Arial" w:hAnsi="Arial"/>
          <w:b/>
          <w:i/>
          <w:color w:val="000000"/>
          <w:sz w:val="18"/>
        </w:rPr>
        <w:t>We may not be able to enforce our intellectual property rights throughout the world</w:t>
      </w:r>
      <w:r>
        <w:rPr>
          <w:rFonts w:ascii="Arial" w:hAnsi="Arial"/>
          <w:b/>
          <w:color w:val="000000"/>
          <w:sz w:val="18"/>
        </w:rPr>
        <w:t>.</w:t>
      </w:r>
    </w:p>
    <w:p>
      <w:pPr>
        <w:pStyle w:val="TextBody"/>
        <w:bidi w:val="0"/>
        <w:spacing w:before="200" w:after="283"/>
        <w:jc w:val="both"/>
        <w:rPr>
          <w:rFonts w:ascii="Arial" w:hAnsi="Arial"/>
          <w:color w:val="000000"/>
          <w:sz w:val="18"/>
        </w:rPr>
      </w:pPr>
      <w:r>
        <w:rPr>
          <w:rFonts w:ascii="Arial" w:hAnsi="Arial"/>
          <w:color w:val="000000"/>
          <w:sz w:val="18"/>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sought or obtained patent protection to develop their own products and services and, further, may export otherwise infringing products to territories where we have patent protection or licenses but enforcement is not as strong as that in the U.S. These services and products may compete with our services and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have chosen and in the future may choose not to seek patent protection in certain countries, and we will not have the benefit of patent protection in such countries.</w:t>
      </w:r>
    </w:p>
    <w:p>
      <w:pPr>
        <w:pStyle w:val="TextBody"/>
        <w:bidi w:val="0"/>
        <w:spacing w:before="200" w:after="283"/>
        <w:jc w:val="both"/>
        <w:rPr>
          <w:rFonts w:ascii="Arial" w:hAnsi="Arial"/>
          <w:color w:val="000000"/>
          <w:sz w:val="18"/>
        </w:rPr>
      </w:pPr>
      <w:r>
        <w:rPr>
          <w:rFonts w:ascii="Arial" w:hAnsi="Arial"/>
          <w:color w:val="000000"/>
          <w:sz w:val="18"/>
        </w:rPr>
        <w:t>Proceedings to defend or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200" w:after="283"/>
        <w:jc w:val="both"/>
        <w:rPr>
          <w:rFonts w:ascii="Arial" w:hAnsi="Arial"/>
          <w:color w:val="000000"/>
          <w:sz w:val="18"/>
        </w:rPr>
      </w:pPr>
      <w:r>
        <w:rPr>
          <w:rFonts w:ascii="Arial" w:hAnsi="Arial"/>
          <w:color w:val="000000"/>
          <w:sz w:val="18"/>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has resulted or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Third parties may assert that our employees or consultants have wrongfully used or disclosed confidential information or misappropriated trade secrets.</w:t>
      </w:r>
    </w:p>
    <w:p>
      <w:pPr>
        <w:pStyle w:val="TextBody"/>
        <w:bidi w:val="0"/>
        <w:spacing w:before="200" w:after="283"/>
        <w:jc w:val="both"/>
        <w:rPr>
          <w:rFonts w:ascii="Arial" w:hAnsi="Arial"/>
          <w:color w:val="000000"/>
          <w:sz w:val="18"/>
        </w:rPr>
      </w:pPr>
      <w:r>
        <w:rPr>
          <w:rFonts w:ascii="Arial" w:hAnsi="Arial"/>
          <w:color w:val="000000"/>
          <w:sz w:val="18"/>
        </w:rPr>
        <w:t>We employ individuals who were previously employed or otherwise engaged with universities or genetic testing, diagnostic or other healthcare companies, including our competitors or potential competitors.</w:t>
      </w:r>
    </w:p>
    <w:p>
      <w:pPr>
        <w:pStyle w:val="TextBody"/>
        <w:bidi w:val="0"/>
        <w:spacing w:before="200" w:after="283"/>
        <w:jc w:val="both"/>
        <w:rPr>
          <w:rFonts w:ascii="Arial" w:hAnsi="Arial"/>
          <w:color w:val="000000"/>
          <w:sz w:val="18"/>
        </w:rPr>
      </w:pPr>
      <w:r>
        <w:rPr>
          <w:rFonts w:ascii="Arial" w:hAnsi="Arial"/>
          <w:color w:val="000000"/>
          <w:sz w:val="18"/>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pStyle w:val="TextBody"/>
        <w:bidi w:val="0"/>
        <w:spacing w:before="200" w:after="283"/>
        <w:jc w:val="both"/>
        <w:rPr>
          <w:rFonts w:ascii="Times New Roman" w:hAnsi="Times New Roman"/>
          <w:sz w:val="20"/>
        </w:rPr>
      </w:pPr>
      <w:r>
        <w:rPr>
          <w:rFonts w:ascii="Arial" w:hAnsi="Arial"/>
          <w:color w:val="000000"/>
          <w:sz w:val="18"/>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Our use of “open source” software could subject our proprietary software to general release, adversely affect our ability to sell our products and services, and subject us to possible litigation.</w:t>
      </w:r>
    </w:p>
    <w:p>
      <w:pPr>
        <w:pStyle w:val="TextBody"/>
        <w:bidi w:val="0"/>
        <w:spacing w:before="200" w:after="283"/>
        <w:jc w:val="both"/>
        <w:rPr>
          <w:rFonts w:ascii="Arial" w:hAnsi="Arial"/>
          <w:color w:val="000000"/>
          <w:sz w:val="18"/>
        </w:rPr>
      </w:pPr>
      <w:r>
        <w:rPr>
          <w:rFonts w:ascii="Arial" w:hAnsi="Arial"/>
          <w:color w:val="000000"/>
          <w:sz w:val="18"/>
        </w:rPr>
        <w:t>A portion of the products, services or technologies licensed, developed, and/or distributed by us incorporate so-called “open source” software and we may incorporate open source software into other products, services or technologies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technologies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or provision of our services. In addition, if we combine our proprietary software with open source software in certain ways, under some open source licenses, we could be required to release the source code of our proprietary software, which could substantially help our competitors develop products and services that are similar to or better than ours and otherwise adversely affect our business. These risks could be difficult to eliminate or manage, and, if not addressed, could have a material adverse effect on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If we fail to comply with our obligations under license or technology agreements with third parties, we may be required to pay damages and we could lose license rights that are critical to our business.</w:t>
      </w:r>
    </w:p>
    <w:p>
      <w:pPr>
        <w:pStyle w:val="TextBody"/>
        <w:bidi w:val="0"/>
        <w:spacing w:before="200" w:after="283"/>
        <w:jc w:val="both"/>
        <w:rPr>
          <w:rFonts w:ascii="Arial" w:hAnsi="Arial"/>
          <w:color w:val="000000"/>
          <w:sz w:val="18"/>
        </w:rPr>
      </w:pPr>
      <w:r>
        <w:rPr>
          <w:rFonts w:ascii="Arial" w:hAnsi="Arial"/>
          <w:color w:val="000000"/>
          <w:sz w:val="18"/>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pStyle w:val="TextBody"/>
        <w:bidi w:val="0"/>
        <w:spacing w:before="200" w:after="283"/>
        <w:jc w:val="both"/>
        <w:rPr>
          <w:rFonts w:ascii="Arial" w:hAnsi="Arial"/>
          <w:b/>
          <w:i/>
          <w:color w:val="000000"/>
          <w:sz w:val="18"/>
        </w:rPr>
      </w:pPr>
      <w:r>
        <w:rPr>
          <w:rFonts w:ascii="Arial" w:hAnsi="Arial"/>
          <w:b/>
          <w:i/>
          <w:color w:val="000000"/>
          <w:sz w:val="18"/>
        </w:rPr>
        <w:t>We may be subject to claims challenging the inventorship of our patents and other intellectual property.</w:t>
      </w:r>
    </w:p>
    <w:p>
      <w:pPr>
        <w:pStyle w:val="TextBody"/>
        <w:bidi w:val="0"/>
        <w:spacing w:before="200" w:after="283"/>
        <w:jc w:val="both"/>
        <w:rPr>
          <w:rFonts w:ascii="Arial" w:hAnsi="Arial"/>
          <w:color w:val="000000"/>
          <w:sz w:val="18"/>
        </w:rPr>
      </w:pPr>
      <w:r>
        <w:rPr>
          <w:rFonts w:ascii="Arial" w:hAnsi="Arial"/>
          <w:color w:val="000000"/>
          <w:sz w:val="18"/>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pStyle w:val="TextBody"/>
        <w:bidi w:val="0"/>
        <w:spacing w:before="200" w:after="283"/>
        <w:jc w:val="both"/>
        <w:rPr>
          <w:rFonts w:ascii="Arial" w:hAnsi="Arial"/>
          <w:b/>
          <w:i/>
          <w:color w:val="000000"/>
          <w:sz w:val="18"/>
        </w:rPr>
      </w:pPr>
      <w:r>
        <w:rPr>
          <w:rFonts w:ascii="Arial" w:hAnsi="Arial"/>
          <w:b/>
          <w:i/>
          <w:color w:val="000000"/>
          <w:sz w:val="18"/>
        </w:rPr>
        <w:t>If our trademarks and trade names are not adequately protected, then we may not be able to build name recognition in our markets of interest and our business may be adversely affected.</w:t>
      </w:r>
    </w:p>
    <w:p>
      <w:pPr>
        <w:pStyle w:val="TextBody"/>
        <w:bidi w:val="0"/>
        <w:spacing w:before="200" w:after="283"/>
        <w:jc w:val="both"/>
        <w:rPr>
          <w:rFonts w:ascii="Times New Roman" w:hAnsi="Times New Roman"/>
          <w:sz w:val="20"/>
        </w:rPr>
      </w:pPr>
      <w:r>
        <w:rPr>
          <w:rFonts w:ascii="Arial" w:hAnsi="Arial"/>
          <w:color w:val="000000"/>
          <w:sz w:val="18"/>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62</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pStyle w:val="TextBody"/>
        <w:bidi w:val="0"/>
        <w:spacing w:before="200" w:after="283"/>
        <w:jc w:val="both"/>
        <w:rPr>
          <w:rFonts w:ascii="Arial" w:hAnsi="Arial"/>
          <w:b/>
          <w:color w:val="000000"/>
          <w:sz w:val="18"/>
        </w:rPr>
      </w:pPr>
      <w:r>
        <w:rPr>
          <w:rFonts w:ascii="Arial" w:hAnsi="Arial"/>
          <w:b/>
          <w:color w:val="000000"/>
          <w:sz w:val="18"/>
        </w:rPr>
        <w:t>Financial and Market Risks and Risks Related to Owning Our Common Stock</w:t>
      </w:r>
    </w:p>
    <w:p>
      <w:pPr>
        <w:pStyle w:val="TextBody"/>
        <w:bidi w:val="0"/>
        <w:spacing w:before="200" w:after="283"/>
        <w:jc w:val="both"/>
        <w:rPr>
          <w:rFonts w:ascii="Arial" w:hAnsi="Arial"/>
          <w:b/>
          <w:i/>
          <w:color w:val="000000"/>
          <w:sz w:val="18"/>
        </w:rPr>
      </w:pPr>
      <w:r>
        <w:rPr>
          <w:rFonts w:ascii="Arial" w:hAnsi="Arial"/>
          <w:b/>
          <w:i/>
          <w:color w:val="000000"/>
          <w:sz w:val="18"/>
        </w:rPr>
        <w:t>Our inability to raise additional capital on acceptable terms in the future may limit our ability to continue to operate our business and further expand our operations.</w:t>
      </w:r>
    </w:p>
    <w:p>
      <w:pPr>
        <w:pStyle w:val="TextBody"/>
        <w:bidi w:val="0"/>
        <w:spacing w:before="200" w:after="283"/>
        <w:jc w:val="both"/>
        <w:rPr>
          <w:rFonts w:ascii="Arial" w:hAnsi="Arial"/>
          <w:color w:val="000000"/>
          <w:sz w:val="18"/>
        </w:rPr>
      </w:pPr>
      <w:r>
        <w:rPr>
          <w:rFonts w:ascii="Arial" w:hAnsi="Arial"/>
          <w:color w:val="000000"/>
          <w:sz w:val="18"/>
        </w:rPr>
        <w:t>We may seek to raise additional capital through equity offerings, debt financings, collaborations, or licensing arrangements to continue executing on our long-term business plan. Additional funding may not be available to us on acceptable terms, or at all.</w:t>
      </w:r>
    </w:p>
    <w:p>
      <w:pPr>
        <w:pStyle w:val="TextBody"/>
        <w:bidi w:val="0"/>
        <w:spacing w:before="200" w:after="283"/>
        <w:jc w:val="both"/>
        <w:rPr>
          <w:rFonts w:ascii="Arial" w:hAnsi="Arial"/>
          <w:color w:val="000000"/>
          <w:sz w:val="18"/>
        </w:rPr>
      </w:pPr>
      <w:r>
        <w:rPr>
          <w:rFonts w:ascii="Arial" w:hAnsi="Arial"/>
          <w:color w:val="000000"/>
          <w:sz w:val="18"/>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pStyle w:val="TextBody"/>
        <w:bidi w:val="0"/>
        <w:spacing w:before="200" w:after="283"/>
        <w:jc w:val="both"/>
        <w:rPr>
          <w:rFonts w:ascii="Arial" w:hAnsi="Arial"/>
          <w:color w:val="000000"/>
          <w:sz w:val="18"/>
        </w:rPr>
      </w:pPr>
      <w:r>
        <w:rPr>
          <w:rFonts w:ascii="Arial" w:hAnsi="Arial"/>
          <w:color w:val="000000"/>
          <w:sz w:val="18"/>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macroeconomic conditions, actual or perceived changes in interest rates and inflation, geopolitical conflicts (including the Russia-Ukraine war, the state of war between Israel and Hamas and the risk of a larger regional conflict). In addition, we may have to work with a partner on one or more aspects of our tests or market development programs, which could lower the economic value of those tests or programs to us. While we believe our existing cash, cash equivalents and short-term investments will be sufficient to meet our anticipated cash requirements for at least the next 12 months, rising costs and interest rates due to inflation or other economic conditions may cause our capital expenditures and operating expenses to increase more than expected, and we cannot assure you that we will generate sufficient revenue from commercial sales to adequately fund our operating needs or achieve or sustain profitability. If we are unable to raise additional funding on acceptable terms, or at all, or if we consume our existing capital more quickly than expected, it could negatively impact our ability to retain and attract employees and our competitive position, business, financial condition, results of operations, and prospects will be adversely affected.</w:t>
      </w:r>
    </w:p>
    <w:p>
      <w:pPr>
        <w:pStyle w:val="TextBody"/>
        <w:bidi w:val="0"/>
        <w:spacing w:before="200" w:after="283"/>
        <w:jc w:val="both"/>
        <w:rPr>
          <w:rFonts w:ascii="Arial" w:hAnsi="Arial"/>
          <w:b/>
          <w:i/>
          <w:color w:val="000000"/>
          <w:sz w:val="18"/>
        </w:rPr>
      </w:pPr>
      <w:r>
        <w:rPr>
          <w:rFonts w:ascii="Arial" w:hAnsi="Arial"/>
          <w:b/>
          <w:i/>
          <w:color w:val="000000"/>
          <w:sz w:val="18"/>
        </w:rPr>
        <w:t>The market price of our common stock may be volatile or may decline steeply or suddenly regardless of our operating performance, we may not be able to meet investor or analyst expectations, and you may lose all or part of your investment.</w:t>
      </w:r>
    </w:p>
    <w:p>
      <w:pPr>
        <w:pStyle w:val="TextBody"/>
        <w:bidi w:val="0"/>
        <w:spacing w:before="200" w:after="283"/>
        <w:jc w:val="both"/>
        <w:rPr>
          <w:rFonts w:ascii="Arial" w:hAnsi="Arial"/>
          <w:color w:val="000000"/>
          <w:sz w:val="18"/>
        </w:rPr>
      </w:pPr>
      <w:r>
        <w:rPr>
          <w:rFonts w:ascii="Arial" w:hAnsi="Arial"/>
          <w:color w:val="000000"/>
          <w:sz w:val="18"/>
        </w:rPr>
        <w:t>The market price of our common stock may fluctuate or decline significantly in response to numerous factors, many of which are beyond our control,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actual or anticipated fluctuations in our operating results;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failure to meet or exceed financial estimates and projections of the investment community or that we provide to the public;</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issuance of new or updated research reports by securities analysts or changed recommendations for our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competition from existing tests or new tests that may emerge;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announcements by us or our competitors relating to significant acquisitions, strategic partnerships, joint ventures, collaborations, capital commitments, or by or pertaining to our customers, particularly the VA MVP and Natera, as our largest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the timing and amount of our investments in the growth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actual or anticipated changes in regulatory oversight of our business or issues we may face with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additions or departures of key management or other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inability to obtain additional funding;</w:t>
      </w:r>
    </w:p>
    <w:p>
      <w:pPr>
        <w:pStyle w:val="TextBody"/>
        <w:bidi w:val="0"/>
        <w:spacing w:before="240" w:after="283"/>
        <w:jc w:val="center"/>
        <w:rPr>
          <w:rFonts w:ascii="Arial" w:hAnsi="Arial"/>
          <w:color w:val="000000"/>
          <w:sz w:val="18"/>
        </w:rPr>
      </w:pPr>
      <w:r>
        <w:rPr>
          <w:rFonts w:ascii="Arial" w:hAnsi="Arial"/>
          <w:color w:val="000000"/>
          <w:sz w:val="18"/>
        </w:rPr>
        <w:t>63</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sales of our common stock by us or our stockholders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disputes or other developments related to our intellectual property or other matters, including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health epidemics or pandemics, geopolitical conflicts, inflation, global supply chain issues, regional or national economic slowdowns, recessions, depressions or other economic downturns;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8"/>
        </w:rPr>
      </w:pPr>
      <w:r>
        <w:rPr>
          <w:rFonts w:ascii="Arial" w:hAnsi="Arial"/>
          <w:color w:val="000000"/>
          <w:sz w:val="18"/>
        </w:rPr>
        <w:t>other general economic, industry, and market conditions, including factors unrelated to our operating performance or the operating performance of our competitors.</w:t>
      </w:r>
    </w:p>
    <w:p>
      <w:pPr>
        <w:pStyle w:val="TextBody"/>
        <w:bidi w:val="0"/>
        <w:spacing w:before="200" w:after="283"/>
        <w:jc w:val="both"/>
        <w:rPr>
          <w:rFonts w:ascii="Arial" w:hAnsi="Arial"/>
          <w:color w:val="000000"/>
          <w:sz w:val="18"/>
        </w:rPr>
      </w:pPr>
      <w:r>
        <w:rPr>
          <w:rFonts w:ascii="Arial" w:hAnsi="Arial"/>
          <w:color w:val="000000"/>
          <w:sz w:val="18"/>
        </w:rPr>
        <w:t>In addition, the stock market in general, and the market for life sciences companies in particular, has experienced extreme price and volume fluctuations that have often been unrelated or disproportionate to the operating performance of those companies, including in connection with the COVID-19 pandemic, global supply chain challenges, inflation and fears of economic recession, which have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bidi w:val="0"/>
        <w:spacing w:before="200" w:after="283"/>
        <w:jc w:val="both"/>
        <w:rPr>
          <w:rFonts w:ascii="Arial" w:hAnsi="Arial"/>
          <w:color w:val="000000"/>
          <w:sz w:val="18"/>
        </w:rPr>
      </w:pPr>
      <w:r>
        <w:rPr>
          <w:rFonts w:ascii="Arial" w:hAnsi="Arial"/>
          <w:color w:val="000000"/>
          <w:sz w:val="18"/>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pStyle w:val="TextBody"/>
        <w:bidi w:val="0"/>
        <w:spacing w:before="200" w:after="283"/>
        <w:jc w:val="both"/>
        <w:rPr>
          <w:rFonts w:ascii="Arial" w:hAnsi="Arial"/>
          <w:b/>
          <w:i/>
          <w:color w:val="000000"/>
          <w:sz w:val="18"/>
        </w:rPr>
      </w:pPr>
      <w:r>
        <w:rPr>
          <w:rFonts w:ascii="Arial" w:hAnsi="Arial"/>
          <w:b/>
          <w:i/>
          <w:color w:val="000000"/>
          <w:sz w:val="18"/>
        </w:rPr>
        <w:t>Our quarterly results may fluctuate significantly, which could adversely impact the value of our common stock.</w:t>
      </w:r>
    </w:p>
    <w:p>
      <w:pPr>
        <w:pStyle w:val="TextBody"/>
        <w:bidi w:val="0"/>
        <w:spacing w:before="200" w:after="283"/>
        <w:jc w:val="both"/>
        <w:rPr>
          <w:rFonts w:ascii="Arial" w:hAnsi="Arial"/>
          <w:color w:val="000000"/>
          <w:sz w:val="18"/>
        </w:rPr>
      </w:pPr>
      <w:r>
        <w:rPr>
          <w:rFonts w:ascii="Arial" w:hAnsi="Arial"/>
          <w:color w:val="000000"/>
          <w:sz w:val="18"/>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Natera and other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pStyle w:val="TextBody"/>
        <w:bidi w:val="0"/>
        <w:spacing w:before="200" w:after="283"/>
        <w:jc w:val="both"/>
        <w:rPr>
          <w:rFonts w:ascii="Arial" w:hAnsi="Arial"/>
          <w:b/>
          <w:i/>
          <w:color w:val="000000"/>
          <w:sz w:val="18"/>
        </w:rPr>
      </w:pPr>
      <w:r>
        <w:rPr>
          <w:rFonts w:ascii="Arial" w:hAnsi="Arial"/>
          <w:b/>
          <w:i/>
          <w:color w:val="000000"/>
          <w:sz w:val="18"/>
        </w:rPr>
        <w:t>Unstable market, economic and geo-political conditions may have serious adverse consequences on our business, financial condition and stock price.</w:t>
      </w:r>
    </w:p>
    <w:p>
      <w:pPr>
        <w:pStyle w:val="TextBody"/>
        <w:bidi w:val="0"/>
        <w:spacing w:before="200" w:after="283"/>
        <w:jc w:val="both"/>
        <w:rPr>
          <w:rFonts w:ascii="Arial" w:hAnsi="Arial"/>
          <w:color w:val="000000"/>
          <w:sz w:val="18"/>
        </w:rPr>
      </w:pPr>
      <w:r>
        <w:rPr>
          <w:rFonts w:ascii="Arial" w:hAnsi="Arial"/>
          <w:color w:val="000000"/>
          <w:sz w:val="18"/>
        </w:rPr>
        <w:t>The global credit and financial markets have experienced extreme volatility and disruptions in the past. These disruptions can result in severely diminished liquidity and credit availability, increases in inflation, declines in consumer confidence, declines in economic growth, increases in unemployment rates and uncertainty about economic stability. There can be no assurance that further deterioration in credit and financial markets and confidence in economic conditions will not occur, including actual or perceived changes in interest rates and inflation.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could also be adversely impacted. Failure to secure any necessary financing in a timely manner and on favorable terms could have a material adverse effect on our operations, growth strategy, financial performance and stock price and could require us to delay or abandon development or commercial initiatives. In addition, there is a risk that one or more of our current service providers, manufacturers and other partners may not survive an economic downturn or rising inflation, which could directly affect our ability to attain our operating goals on schedule and on budget.</w:t>
      </w:r>
    </w:p>
    <w:p>
      <w:pPr>
        <w:pStyle w:val="TextBody"/>
        <w:bidi w:val="0"/>
        <w:spacing w:before="200" w:after="283"/>
        <w:jc w:val="both"/>
        <w:rPr>
          <w:rFonts w:ascii="Times New Roman" w:hAnsi="Times New Roman"/>
          <w:sz w:val="20"/>
        </w:rPr>
      </w:pPr>
      <w:r>
        <w:rPr>
          <w:rFonts w:ascii="Arial" w:hAnsi="Arial"/>
          <w:color w:val="000000"/>
          <w:sz w:val="18"/>
        </w:rPr>
        <w:t>Other international and geo-political events could also have a serious adverse impact on our business. For instance, in February 2022, Russia initiated military action against Ukraine and the two countries are now at war. In addition, in October 2023, Hamas attacked Israel which provoked a state of war, and there is a risk of a larger conflict. In response, the United States and certain other countries imposed significant sanctions and trade actions against Russia and could impose further sanctions, trade restrictions, and other retaliatory actions. While we cannot predict the broader consequences, the conflict and retaliatory and counter-retaliatory actions could continue to affect, and potentially materially adversely affect, global trade, currency exchange rates, inflation, regional economies, and the global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64</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economy, which in turn may increase our costs, disrupt our supply chain, impair our ability to raise or access additional capital when needed on acceptable terms, if at all, or otherwise adversely affect our business,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Adverse developments affecting the financial services industry could adversely affect our current and projected business operations and our financial condition and results of operations.</w:t>
      </w:r>
    </w:p>
    <w:p>
      <w:pPr>
        <w:pStyle w:val="TextBody"/>
        <w:bidi w:val="0"/>
        <w:spacing w:before="200" w:after="283"/>
        <w:jc w:val="both"/>
        <w:rPr>
          <w:rFonts w:ascii="Arial" w:hAnsi="Arial"/>
          <w:color w:val="000000"/>
          <w:sz w:val="18"/>
        </w:rPr>
      </w:pPr>
      <w:r>
        <w:rPr>
          <w:rFonts w:ascii="Arial" w:hAnsi="Arial"/>
          <w:color w:val="000000"/>
          <w:sz w:val="18"/>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w:t>
      </w:r>
    </w:p>
    <w:p>
      <w:pPr>
        <w:pStyle w:val="TextBody"/>
        <w:bidi w:val="0"/>
        <w:spacing w:before="200" w:after="283"/>
        <w:jc w:val="both"/>
        <w:rPr>
          <w:rFonts w:ascii="Arial" w:hAnsi="Arial"/>
          <w:color w:val="000000"/>
          <w:sz w:val="18"/>
        </w:rPr>
      </w:pPr>
      <w:r>
        <w:rPr>
          <w:rFonts w:ascii="Arial" w:hAnsi="Arial"/>
          <w:color w:val="000000"/>
          <w:sz w:val="18"/>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200" w:after="283"/>
        <w:jc w:val="both"/>
        <w:rPr>
          <w:rFonts w:ascii="Arial" w:hAnsi="Arial"/>
          <w:color w:val="000000"/>
          <w:sz w:val="18"/>
        </w:rPr>
      </w:pPr>
      <w:r>
        <w:rPr>
          <w:rFonts w:ascii="Arial" w:hAnsi="Arial"/>
          <w:color w:val="000000"/>
          <w:sz w:val="18"/>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200" w:after="283"/>
        <w:jc w:val="both"/>
        <w:rPr>
          <w:rFonts w:ascii="Arial" w:hAnsi="Arial"/>
          <w:b/>
          <w:i/>
          <w:color w:val="000000"/>
          <w:sz w:val="18"/>
        </w:rPr>
      </w:pPr>
      <w:r>
        <w:rPr>
          <w:rFonts w:ascii="Arial" w:hAnsi="Arial"/>
          <w:b/>
          <w:i/>
          <w:color w:val="000000"/>
          <w:sz w:val="18"/>
        </w:rPr>
        <w:t>We maintain our cash at financial institutions, often in balances that exceed federally insured limits.</w:t>
      </w:r>
    </w:p>
    <w:p>
      <w:pPr>
        <w:pStyle w:val="TextBody"/>
        <w:bidi w:val="0"/>
        <w:spacing w:before="200" w:after="283"/>
        <w:jc w:val="both"/>
        <w:rPr>
          <w:rFonts w:ascii="Arial" w:hAnsi="Arial"/>
          <w:color w:val="000000"/>
          <w:sz w:val="18"/>
        </w:rPr>
      </w:pPr>
      <w:r>
        <w:rPr>
          <w:rFonts w:ascii="Arial" w:hAnsi="Arial"/>
          <w:color w:val="000000"/>
          <w:sz w:val="18"/>
        </w:rPr>
        <w:t>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As noted above, the FDIC took control of SVB, Signature Bank, Silvergate Capital Corp and First Republic Bank in the first half of 2023. While we did have an account at SVB, we were able to recover all of our deposits when the FDIC stepped in and allowed us to transfer funds held at SVB to another bank without incurring any losses.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pStyle w:val="TextBody"/>
        <w:bidi w:val="0"/>
        <w:spacing w:before="200" w:after="283"/>
        <w:jc w:val="both"/>
        <w:rPr>
          <w:rFonts w:ascii="Arial" w:hAnsi="Arial"/>
          <w:b/>
          <w:i/>
          <w:color w:val="000000"/>
          <w:sz w:val="18"/>
        </w:rPr>
      </w:pPr>
      <w:r>
        <w:rPr>
          <w:rFonts w:ascii="Arial" w:hAnsi="Arial"/>
          <w:b/>
          <w:i/>
          <w:color w:val="000000"/>
          <w:sz w:val="18"/>
        </w:rPr>
        <w:t>Insiders may exercise significant control over our company and will be able to influence corporate matters.</w:t>
      </w:r>
    </w:p>
    <w:p>
      <w:pPr>
        <w:pStyle w:val="TextBody"/>
        <w:bidi w:val="0"/>
        <w:spacing w:before="200" w:after="283"/>
        <w:jc w:val="both"/>
        <w:rPr>
          <w:rFonts w:ascii="Arial" w:hAnsi="Arial"/>
          <w:color w:val="000000"/>
          <w:sz w:val="18"/>
        </w:rPr>
      </w:pPr>
      <w:r>
        <w:rPr>
          <w:rFonts w:ascii="Arial" w:hAnsi="Arial"/>
          <w:color w:val="000000"/>
          <w:sz w:val="18"/>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pStyle w:val="TextBody"/>
        <w:bidi w:val="0"/>
        <w:spacing w:before="200" w:after="283"/>
        <w:jc w:val="both"/>
        <w:rPr>
          <w:rFonts w:ascii="Arial" w:hAnsi="Arial"/>
          <w:b/>
          <w:i/>
          <w:color w:val="000000"/>
          <w:sz w:val="18"/>
        </w:rPr>
      </w:pPr>
      <w:r>
        <w:rPr>
          <w:rFonts w:ascii="Arial" w:hAnsi="Arial"/>
          <w:b/>
          <w:i/>
          <w:color w:val="000000"/>
          <w:sz w:val="18"/>
        </w:rPr>
        <w:t>Future sales of shares by existing stockholders, or the perception that such sales could occur, could cause our stock price to decline.*</w:t>
      </w:r>
    </w:p>
    <w:p>
      <w:pPr>
        <w:pStyle w:val="TextBody"/>
        <w:bidi w:val="0"/>
        <w:spacing w:before="200" w:after="283"/>
        <w:jc w:val="both"/>
        <w:rPr>
          <w:rFonts w:ascii="Times New Roman" w:hAnsi="Times New Roman"/>
          <w:sz w:val="20"/>
        </w:rPr>
      </w:pPr>
      <w:r>
        <w:rPr>
          <w:rFonts w:ascii="Arial" w:hAnsi="Arial"/>
          <w:color w:val="000000"/>
          <w:sz w:val="18"/>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March 31, 2024, we had 51,394,199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March 31, 2024 will become eligible for sale in the public market in the future, subject to certain legal and contractual limitations. Moreover, certain holders of shares of our common stock have the right to require us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65</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pStyle w:val="TextBody"/>
        <w:bidi w:val="0"/>
        <w:spacing w:before="200" w:after="283"/>
        <w:jc w:val="both"/>
        <w:rPr>
          <w:rFonts w:ascii="Arial" w:hAnsi="Arial"/>
          <w:b/>
          <w:i/>
          <w:color w:val="000000"/>
          <w:sz w:val="18"/>
        </w:rPr>
      </w:pPr>
      <w:r>
        <w:rPr>
          <w:rFonts w:ascii="Arial" w:hAnsi="Arial"/>
          <w:b/>
          <w:i/>
          <w:color w:val="000000"/>
          <w:sz w:val="18"/>
        </w:rPr>
        <w:t>We do not currently intend to pay dividends on our common stock and, consequently, your ability to achieve a return on your investment will depend on appreciation of the value of our common stock.</w:t>
      </w:r>
    </w:p>
    <w:p>
      <w:pPr>
        <w:pStyle w:val="TextBody"/>
        <w:bidi w:val="0"/>
        <w:spacing w:before="200" w:after="283"/>
        <w:jc w:val="both"/>
        <w:rPr>
          <w:rFonts w:ascii="Arial" w:hAnsi="Arial"/>
          <w:color w:val="000000"/>
          <w:sz w:val="18"/>
        </w:rPr>
      </w:pPr>
      <w:r>
        <w:rPr>
          <w:rFonts w:ascii="Arial" w:hAnsi="Arial"/>
          <w:color w:val="000000"/>
          <w:sz w:val="18"/>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pStyle w:val="TextBody"/>
        <w:bidi w:val="0"/>
        <w:spacing w:before="200" w:after="283"/>
        <w:jc w:val="both"/>
        <w:rPr>
          <w:rFonts w:ascii="Arial" w:hAnsi="Arial"/>
          <w:b/>
          <w:i/>
          <w:color w:val="000000"/>
          <w:sz w:val="18"/>
        </w:rPr>
      </w:pPr>
      <w:r>
        <w:rPr>
          <w:rFonts w:ascii="Arial" w:hAnsi="Arial"/>
          <w:b/>
          <w:i/>
          <w:color w:val="000000"/>
          <w:sz w:val="18"/>
        </w:rPr>
        <w:t>Future sales and issuances of our common stock or rights to purchase common stock, including pursuant to our equity incentive plans and under our at-the-market facility, could result in additional dilution of the percentage ownership of our stockholders and could cause the stock price of our common stock to decline.</w:t>
      </w:r>
    </w:p>
    <w:p>
      <w:pPr>
        <w:pStyle w:val="TextBody"/>
        <w:bidi w:val="0"/>
        <w:spacing w:before="200" w:after="283"/>
        <w:jc w:val="both"/>
        <w:rPr>
          <w:rFonts w:ascii="Arial" w:hAnsi="Arial"/>
          <w:color w:val="000000"/>
          <w:sz w:val="18"/>
        </w:rPr>
      </w:pPr>
      <w:r>
        <w:rPr>
          <w:rFonts w:ascii="Arial" w:hAnsi="Arial"/>
          <w:color w:val="000000"/>
          <w:sz w:val="18"/>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pStyle w:val="TextBody"/>
        <w:bidi w:val="0"/>
        <w:spacing w:before="200" w:after="283"/>
        <w:jc w:val="both"/>
        <w:rPr>
          <w:rFonts w:ascii="Arial" w:hAnsi="Arial"/>
          <w:b/>
          <w:i/>
          <w:color w:val="000000"/>
          <w:sz w:val="18"/>
        </w:rPr>
      </w:pPr>
      <w:r>
        <w:rPr>
          <w:rFonts w:ascii="Arial" w:hAnsi="Arial"/>
          <w:b/>
          <w:i/>
          <w:color w:val="000000"/>
          <w:sz w:val="18"/>
        </w:rPr>
        <w:t>If securities or industry analysts do not publish research or reports about our business, or publish inaccurate or unfavorable research about our business, our stock price and trading volume could decline.</w:t>
      </w:r>
    </w:p>
    <w:p>
      <w:pPr>
        <w:pStyle w:val="TextBody"/>
        <w:bidi w:val="0"/>
        <w:spacing w:before="200" w:after="283"/>
        <w:jc w:val="both"/>
        <w:rPr>
          <w:rFonts w:ascii="Arial" w:hAnsi="Arial"/>
          <w:color w:val="000000"/>
          <w:sz w:val="18"/>
        </w:rPr>
      </w:pPr>
      <w:r>
        <w:rPr>
          <w:rFonts w:ascii="Arial" w:hAnsi="Arial"/>
          <w:color w:val="000000"/>
          <w:sz w:val="18"/>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pStyle w:val="TextBody"/>
        <w:bidi w:val="0"/>
        <w:spacing w:before="200" w:after="283"/>
        <w:jc w:val="both"/>
        <w:rPr>
          <w:rFonts w:ascii="Arial" w:hAnsi="Arial"/>
          <w:b/>
          <w:i/>
          <w:color w:val="000000"/>
          <w:sz w:val="18"/>
        </w:rPr>
      </w:pPr>
      <w:r>
        <w:rPr>
          <w:rFonts w:ascii="Arial" w:hAnsi="Arial"/>
          <w:b/>
          <w:i/>
          <w:color w:val="000000"/>
          <w:sz w:val="18"/>
        </w:rPr>
        <w:t>Holders of our common stock could be adversely affected if we issue preferred stock.</w:t>
      </w:r>
    </w:p>
    <w:p>
      <w:pPr>
        <w:pStyle w:val="TextBody"/>
        <w:bidi w:val="0"/>
        <w:spacing w:before="200" w:after="283"/>
        <w:jc w:val="both"/>
        <w:rPr>
          <w:rFonts w:ascii="Arial" w:hAnsi="Arial"/>
          <w:color w:val="000000"/>
          <w:sz w:val="18"/>
        </w:rPr>
      </w:pPr>
      <w:r>
        <w:rPr>
          <w:rFonts w:ascii="Arial" w:hAnsi="Arial"/>
          <w:color w:val="000000"/>
          <w:sz w:val="18"/>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pStyle w:val="TextBody"/>
        <w:bidi w:val="0"/>
        <w:spacing w:before="200" w:after="283"/>
        <w:jc w:val="both"/>
        <w:rPr>
          <w:rFonts w:ascii="Arial" w:hAnsi="Arial"/>
          <w:b/>
          <w:i/>
          <w:color w:val="000000"/>
          <w:sz w:val="18"/>
        </w:rPr>
      </w:pPr>
      <w:r>
        <w:rPr>
          <w:rFonts w:ascii="Arial" w:hAnsi="Arial"/>
          <w:b/>
          <w:i/>
          <w:color w:val="000000"/>
          <w:sz w:val="18"/>
        </w:rPr>
        <w:t>Our ability to use net operating losses to offset future taxable income may be subject to limitations.</w:t>
      </w:r>
    </w:p>
    <w:p>
      <w:pPr>
        <w:pStyle w:val="TextBody"/>
        <w:bidi w:val="0"/>
        <w:spacing w:before="200" w:after="283"/>
        <w:jc w:val="both"/>
        <w:rPr>
          <w:rFonts w:ascii="Arial" w:hAnsi="Arial"/>
          <w:color w:val="000000"/>
          <w:sz w:val="18"/>
        </w:rPr>
      </w:pPr>
      <w:r>
        <w:rPr>
          <w:rFonts w:ascii="Arial" w:hAnsi="Arial"/>
          <w:color w:val="000000"/>
          <w:sz w:val="18"/>
        </w:rPr>
        <w:t>As of December 31, 2023, we had federal and state net operating loss carryforwards of approximately $285.5 million and approximately $274.7 million, respectively. Certain of our federal and state net operating loss carryforwards will begin to expire, if not utilized, beginning in 2031. These net operating loss carryforwards could expire unused and be unavailable to offset future taxable income. Under the Tax Cuts and Jobs Act, as modified by the CARES Act, federal net operating losses incurred in tax years beginning in 2018 and thereafter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Sections 382 and 383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w:t>
      </w:r>
    </w:p>
    <w:p>
      <w:pPr>
        <w:pStyle w:val="TextBody"/>
        <w:bidi w:val="0"/>
        <w:spacing w:before="240" w:after="283"/>
        <w:jc w:val="center"/>
        <w:rPr>
          <w:rFonts w:ascii="Arial" w:hAnsi="Arial"/>
          <w:color w:val="000000"/>
          <w:sz w:val="18"/>
        </w:rPr>
      </w:pPr>
      <w:r>
        <w:rPr>
          <w:rFonts w:ascii="Arial" w:hAnsi="Arial"/>
          <w:color w:val="000000"/>
          <w:sz w:val="18"/>
        </w:rPr>
        <w:t>66</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i/>
          <w:color w:val="000000"/>
          <w:sz w:val="18"/>
        </w:rPr>
      </w:pPr>
      <w:r>
        <w:rPr>
          <w:rFonts w:ascii="Arial" w:hAnsi="Arial"/>
          <w:b/>
          <w:i/>
          <w:color w:val="000000"/>
          <w:sz w:val="18"/>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200" w:after="283"/>
        <w:jc w:val="both"/>
        <w:rPr>
          <w:rFonts w:ascii="Arial" w:hAnsi="Arial"/>
          <w:color w:val="000000"/>
          <w:sz w:val="18"/>
        </w:rPr>
      </w:pPr>
      <w:r>
        <w:rPr>
          <w:rFonts w:ascii="Arial" w:hAnsi="Arial"/>
          <w:color w:val="000000"/>
          <w:sz w:val="18"/>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establish a classified board of directors so that not all members of our board of directors are elected at one time;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authorize the issuance of “blank check” preferred stock that our board of directors could use to implement a stockholder rights plan;</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permit the board of directors to establish the number of directors and fill any vacancies and newly-created directorships;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provide that directors may only be removed for cause;</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require super-majority voting to amend some provisions in our certificate of incorporation and bylaws;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eliminate the ability of our stockholders to call special meetings of stockholders;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prohibit stockholder action by written consent, which requires all stockholder actions to be taken at a meeting of our stockholders;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provide that the board of directors is expressly authorized to make, alter, or repeal our bylaws;</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restrict the forum for certain litigation against us to Delaware;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establish advance notice requirements for nominations for election to our board of directors or for proposing matters that can be acted upon by stockholders at annual stockholder meetings.</w:t>
      </w:r>
    </w:p>
    <w:p>
      <w:pPr>
        <w:pStyle w:val="TextBody"/>
        <w:bidi w:val="0"/>
        <w:spacing w:before="200" w:after="283"/>
        <w:jc w:val="both"/>
        <w:rPr>
          <w:rFonts w:ascii="Arial" w:hAnsi="Arial"/>
          <w:color w:val="000000"/>
          <w:sz w:val="18"/>
        </w:rPr>
      </w:pPr>
      <w:r>
        <w:rPr>
          <w:rFonts w:ascii="Arial" w:hAnsi="Arial"/>
          <w:color w:val="000000"/>
          <w:sz w:val="18"/>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00" w:after="283"/>
        <w:jc w:val="both"/>
        <w:rPr>
          <w:rFonts w:ascii="Arial" w:hAnsi="Arial"/>
          <w:b/>
          <w:i/>
          <w:color w:val="000000"/>
          <w:sz w:val="18"/>
        </w:rPr>
      </w:pPr>
      <w:r>
        <w:rPr>
          <w:rFonts w:ascii="Arial" w:hAnsi="Arial"/>
          <w:b/>
          <w:i/>
          <w:color w:val="000000"/>
          <w:sz w:val="18"/>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200" w:after="283"/>
        <w:jc w:val="both"/>
        <w:rPr>
          <w:rFonts w:ascii="Arial" w:hAnsi="Arial"/>
          <w:color w:val="000000"/>
          <w:sz w:val="18"/>
        </w:rPr>
      </w:pPr>
      <w:r>
        <w:rPr>
          <w:rFonts w:ascii="Arial" w:hAnsi="Arial"/>
          <w:color w:val="000000"/>
          <w:sz w:val="18"/>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derivative action or proceeding brought on our behalf;</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action asserting a breach of fiduciary duty;</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action asserting a claim against us arising under the Delaware General Corporation Law, our amended and restated certificate of incorporation, or our amended and restated bylaws; and</w:t>
      </w:r>
    </w:p>
    <w:p>
      <w:pPr>
        <w:pStyle w:val="TextBody"/>
        <w:bidi w:val="0"/>
        <w:spacing w:before="200" w:after="283"/>
        <w:jc w:val="both"/>
        <w:rPr>
          <w:color w:val="000000"/>
        </w:rPr>
      </w:pPr>
      <w:r>
        <w:rPr>
          <w:color w:val="000000"/>
        </w:rPr>
        <w:t>•</w:t>
      </w:r>
    </w:p>
    <w:p>
      <w:pPr>
        <w:pStyle w:val="TextBody"/>
        <w:bidi w:val="0"/>
        <w:spacing w:before="200" w:after="283"/>
        <w:jc w:val="both"/>
        <w:rPr>
          <w:rFonts w:ascii="Arial" w:hAnsi="Arial"/>
          <w:color w:val="000000"/>
          <w:sz w:val="18"/>
        </w:rPr>
      </w:pPr>
      <w:r>
        <w:rPr>
          <w:rFonts w:ascii="Arial" w:hAnsi="Arial"/>
          <w:color w:val="000000"/>
          <w:sz w:val="18"/>
        </w:rPr>
        <w:t>any action asserting a claim against us that is governed by the internal-affairs doctrine.</w:t>
      </w:r>
    </w:p>
    <w:p>
      <w:pPr>
        <w:pStyle w:val="TextBody"/>
        <w:bidi w:val="0"/>
        <w:spacing w:before="200" w:after="283"/>
        <w:jc w:val="both"/>
        <w:rPr>
          <w:rFonts w:ascii="Arial" w:hAnsi="Arial"/>
          <w:color w:val="000000"/>
          <w:sz w:val="18"/>
        </w:rPr>
      </w:pPr>
      <w:r>
        <w:rPr>
          <w:rFonts w:ascii="Arial" w:hAnsi="Arial"/>
          <w:color w:val="000000"/>
          <w:sz w:val="18"/>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200" w:after="283"/>
        <w:jc w:val="both"/>
        <w:rPr>
          <w:rFonts w:ascii="Times New Roman" w:hAnsi="Times New Roman"/>
          <w:sz w:val="20"/>
        </w:rPr>
      </w:pPr>
      <w:r>
        <w:rPr>
          <w:rFonts w:ascii="Arial" w:hAnsi="Arial"/>
          <w:color w:val="000000"/>
          <w:sz w:val="18"/>
        </w:rPr>
        <w:t>These exclusive forum provisions may limit a stockholder’s ability to bring a claim in a judicial forum that it finds favorable for disputes with us or our directors, officers, or other employees, which may discourage lawsuits against us and our directors, officers,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18"/>
        </w:rPr>
      </w:pPr>
      <w:r>
        <w:rPr>
          <w:rFonts w:ascii="Arial" w:hAnsi="Arial"/>
          <w:color w:val="000000"/>
          <w:sz w:val="18"/>
        </w:rPr>
        <w:t>67</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pStyle w:val="TextBody"/>
        <w:bidi w:val="0"/>
        <w:spacing w:before="200" w:after="283"/>
        <w:jc w:val="both"/>
        <w:rPr>
          <w:rFonts w:ascii="Arial" w:hAnsi="Arial"/>
          <w:b/>
          <w:i/>
          <w:color w:val="000000"/>
          <w:sz w:val="18"/>
        </w:rPr>
      </w:pPr>
      <w:r>
        <w:rPr>
          <w:rFonts w:ascii="Arial" w:hAnsi="Arial"/>
          <w:b/>
          <w:i/>
          <w:color w:val="000000"/>
          <w:sz w:val="18"/>
        </w:rPr>
        <w:t>The requirements of being a public company consume substantial resources, may result in litigation and may divert management’s attention.</w:t>
      </w:r>
    </w:p>
    <w:p>
      <w:pPr>
        <w:pStyle w:val="TextBody"/>
        <w:bidi w:val="0"/>
        <w:spacing w:before="200" w:after="283"/>
        <w:jc w:val="both"/>
        <w:rPr>
          <w:rFonts w:ascii="Arial" w:hAnsi="Arial"/>
          <w:color w:val="000000"/>
          <w:sz w:val="18"/>
        </w:rPr>
      </w:pPr>
      <w:r>
        <w:rPr>
          <w:rFonts w:ascii="Arial" w:hAnsi="Arial"/>
          <w:color w:val="000000"/>
          <w:sz w:val="18"/>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in the event we no longer qualify as a “smaller reporting company” as defined in the Exchange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pStyle w:val="TextBody"/>
        <w:bidi w:val="0"/>
        <w:spacing w:before="200" w:after="283"/>
        <w:jc w:val="both"/>
        <w:rPr>
          <w:rFonts w:ascii="Arial" w:hAnsi="Arial"/>
          <w:color w:val="000000"/>
          <w:sz w:val="18"/>
        </w:rPr>
      </w:pPr>
      <w:r>
        <w:rPr>
          <w:rFonts w:ascii="Arial" w:hAnsi="Arial"/>
          <w:color w:val="000000"/>
          <w:sz w:val="18"/>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document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pStyle w:val="TextBody"/>
        <w:bidi w:val="0"/>
        <w:spacing w:before="200" w:after="283"/>
        <w:jc w:val="both"/>
        <w:rPr>
          <w:rFonts w:ascii="Arial" w:hAnsi="Arial"/>
          <w:color w:val="000000"/>
          <w:sz w:val="18"/>
        </w:rPr>
      </w:pPr>
      <w:r>
        <w:rPr>
          <w:rFonts w:ascii="Arial" w:hAnsi="Arial"/>
          <w:color w:val="000000"/>
          <w:sz w:val="18"/>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spacing w:before="200" w:after="283"/>
        <w:jc w:val="both"/>
        <w:rPr>
          <w:rFonts w:ascii="Arial" w:hAnsi="Arial"/>
          <w:color w:val="000000"/>
          <w:sz w:val="18"/>
        </w:rPr>
      </w:pPr>
      <w:r>
        <w:rPr>
          <w:rFonts w:ascii="Arial" w:hAnsi="Arial"/>
          <w:color w:val="000000"/>
          <w:sz w:val="18"/>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pStyle w:val="TextBody"/>
        <w:bidi w:val="0"/>
        <w:spacing w:before="200" w:after="283"/>
        <w:jc w:val="both"/>
        <w:rPr>
          <w:rFonts w:ascii="Arial" w:hAnsi="Arial"/>
          <w:b/>
          <w:i/>
          <w:color w:val="000000"/>
          <w:sz w:val="18"/>
        </w:rPr>
      </w:pPr>
      <w:r>
        <w:rPr>
          <w:rFonts w:ascii="Arial" w:hAnsi="Arial"/>
          <w:b/>
          <w:i/>
          <w:color w:val="000000"/>
          <w:sz w:val="18"/>
        </w:rPr>
        <w:t>We are a smaller reporting company, and any decision on our part to avail ourselves of certain reduced reporting and disclosure requirements applicable to smaller reporting companies could make our common stock less attractive to investors.</w:t>
      </w:r>
    </w:p>
    <w:p>
      <w:pPr>
        <w:pStyle w:val="TextBody"/>
        <w:bidi w:val="0"/>
        <w:spacing w:before="200" w:after="283"/>
        <w:jc w:val="both"/>
        <w:rPr>
          <w:rFonts w:ascii="Arial" w:hAnsi="Arial"/>
          <w:color w:val="000000"/>
          <w:sz w:val="18"/>
        </w:rPr>
      </w:pPr>
      <w:r>
        <w:rPr>
          <w:rFonts w:ascii="Arial" w:hAnsi="Arial"/>
          <w:color w:val="000000"/>
          <w:sz w:val="18"/>
        </w:rPr>
        <w:t>We are a “smaller reporting company” as defined in the Exchange Act. We intend to take advantage of exemptions from various reporting requirements applicable to other public companies that are not smaller reporting companies, including scaled disclosure on executive compensation.</w:t>
      </w:r>
    </w:p>
    <w:p>
      <w:pPr>
        <w:pStyle w:val="TextBody"/>
        <w:bidi w:val="0"/>
        <w:spacing w:before="200" w:after="283"/>
        <w:jc w:val="both"/>
        <w:rPr>
          <w:rFonts w:ascii="Arial" w:hAnsi="Arial"/>
          <w:color w:val="000000"/>
          <w:sz w:val="18"/>
        </w:rPr>
      </w:pPr>
      <w:r>
        <w:rPr>
          <w:rFonts w:ascii="Arial" w:hAnsi="Arial"/>
          <w:color w:val="000000"/>
          <w:sz w:val="18"/>
        </w:rPr>
        <w:t>We cannot predict if investors will find our common stock less attractive if we choose to rely on any of the exemptions afforded smaller reporting companies. If some investors find our common stock less attractive because we rely on any of these exemptions, there may be a less active trading market for our common stock and the market price of our common stock may be more volatile.</w:t>
      </w:r>
    </w:p>
    <w:p>
      <w:pPr>
        <w:pStyle w:val="TextBody"/>
        <w:bidi w:val="0"/>
        <w:spacing w:before="200" w:after="283"/>
        <w:jc w:val="both"/>
        <w:rPr>
          <w:rFonts w:ascii="Arial" w:hAnsi="Arial"/>
          <w:b/>
          <w:i/>
          <w:color w:val="000000"/>
          <w:sz w:val="18"/>
        </w:rPr>
      </w:pPr>
      <w:r>
        <w:rPr>
          <w:rFonts w:ascii="Arial" w:hAnsi="Arial"/>
          <w:b/>
          <w:i/>
          <w:color w:val="000000"/>
          <w:sz w:val="18"/>
        </w:rPr>
        <w:t>Our disclosure controls and procedures may not prevent or detect all errors or acts of fraud.</w:t>
      </w:r>
    </w:p>
    <w:p>
      <w:pPr>
        <w:pStyle w:val="TextBody"/>
        <w:bidi w:val="0"/>
        <w:spacing w:before="200" w:after="283"/>
        <w:jc w:val="both"/>
        <w:rPr>
          <w:rFonts w:ascii="Arial" w:hAnsi="Arial"/>
          <w:color w:val="000000"/>
          <w:sz w:val="18"/>
        </w:rPr>
      </w:pPr>
      <w:r>
        <w:rPr>
          <w:rFonts w:ascii="Arial" w:hAnsi="Arial"/>
          <w:color w:val="000000"/>
          <w:sz w:val="18"/>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pStyle w:val="TextBody"/>
        <w:bidi w:val="0"/>
        <w:spacing w:before="240" w:after="283"/>
        <w:jc w:val="center"/>
        <w:rPr>
          <w:rFonts w:ascii="Arial" w:hAnsi="Arial"/>
          <w:color w:val="000000"/>
          <w:sz w:val="18"/>
        </w:rPr>
      </w:pPr>
      <w:r>
        <w:rPr>
          <w:rFonts w:ascii="Arial" w:hAnsi="Arial"/>
          <w:color w:val="000000"/>
          <w:sz w:val="18"/>
        </w:rPr>
        <w:t>68</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color w:val="000000"/>
          <w:sz w:val="18"/>
        </w:rPr>
      </w:pPr>
      <w:r>
        <w:rPr>
          <w:rFonts w:ascii="Arial" w:hAnsi="Arial"/>
          <w:color w:val="000000"/>
          <w:sz w:val="18"/>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pStyle w:val="TextBody"/>
        <w:bidi w:val="0"/>
        <w:spacing w:before="200" w:after="283"/>
        <w:jc w:val="both"/>
        <w:rPr>
          <w:rFonts w:ascii="Arial" w:hAnsi="Arial"/>
          <w:b/>
          <w:i/>
          <w:color w:val="000000"/>
          <w:sz w:val="18"/>
        </w:rPr>
      </w:pPr>
      <w:r>
        <w:rPr>
          <w:rFonts w:ascii="Arial" w:hAnsi="Arial"/>
          <w:b/>
          <w:i/>
          <w:color w:val="000000"/>
          <w:sz w:val="18"/>
        </w:rPr>
        <w:t>If we fail to maintain effective internal control over financial reporting in the future, the accuracy and timing of our financial reporting may be adversely affected.</w:t>
      </w:r>
    </w:p>
    <w:p>
      <w:pPr>
        <w:pStyle w:val="TextBody"/>
        <w:bidi w:val="0"/>
        <w:spacing w:before="200" w:after="283"/>
        <w:jc w:val="both"/>
        <w:rPr>
          <w:rFonts w:ascii="Arial" w:hAnsi="Arial"/>
          <w:color w:val="000000"/>
          <w:sz w:val="18"/>
        </w:rPr>
      </w:pPr>
      <w:r>
        <w:rPr>
          <w:rFonts w:ascii="Arial" w:hAnsi="Arial"/>
          <w:color w:val="000000"/>
          <w:sz w:val="18"/>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the Sarbanes-Oxley Act, or any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 over financial reporting could also cause investors to lose confidence in our reported financial information, which could have a negative effect on the trading price of our common stock.</w:t>
      </w:r>
    </w:p>
    <w:p>
      <w:pPr>
        <w:pStyle w:val="TextBody"/>
        <w:bidi w:val="0"/>
        <w:spacing w:before="200" w:after="200"/>
        <w:jc w:val="both"/>
        <w:rPr>
          <w:rFonts w:ascii="Arial" w:hAnsi="Arial"/>
          <w:color w:val="000000"/>
          <w:sz w:val="18"/>
        </w:rPr>
      </w:pPr>
      <w:r>
        <w:rPr>
          <w:rFonts w:ascii="Arial" w:hAnsi="Arial"/>
          <w:color w:val="000000"/>
          <w:sz w:val="18"/>
        </w:rPr>
        <w:t>We are a non-accelerated filer. 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pStyle w:val="TextBody"/>
        <w:bidi w:val="0"/>
        <w:spacing w:before="240" w:after="283"/>
        <w:jc w:val="center"/>
        <w:rPr>
          <w:rFonts w:ascii="Arial" w:hAnsi="Arial"/>
          <w:color w:val="000000"/>
          <w:sz w:val="18"/>
        </w:rPr>
      </w:pPr>
      <w:r>
        <w:rPr>
          <w:rFonts w:ascii="Arial" w:hAnsi="Arial"/>
          <w:color w:val="000000"/>
          <w:sz w:val="18"/>
        </w:rPr>
        <w:t>69</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both"/>
        <w:rPr>
          <w:rFonts w:ascii="Times New Roman" w:hAnsi="Times New Roman"/>
          <w:sz w:val="20"/>
        </w:rPr>
      </w:pPr>
      <w:bookmarkStart w:id="31" w:name="item_2_unregistered_sales_equity_securit"/>
      <w:bookmarkEnd w:id="31"/>
      <w:r>
        <w:rPr>
          <w:rFonts w:ascii="Arial" w:hAnsi="Arial"/>
          <w:b/>
          <w:color w:val="000000"/>
          <w:sz w:val="18"/>
        </w:rPr>
        <w:t>Item 2. Unregistered Sales</w:t>
      </w:r>
      <w:r>
        <w:rPr>
          <w:rFonts w:ascii="Times New Roman" w:hAnsi="Times New Roman"/>
          <w:color w:val="000000"/>
          <w:sz w:val="20"/>
        </w:rPr>
        <w:t xml:space="preserve"> </w:t>
      </w:r>
      <w:r>
        <w:rPr>
          <w:rFonts w:ascii="Arial" w:hAnsi="Arial"/>
          <w:b/>
          <w:color w:val="000000"/>
          <w:sz w:val="18"/>
        </w:rPr>
        <w:t>of Equity Securities and Use of Proceeds.</w:t>
      </w:r>
    </w:p>
    <w:p>
      <w:pPr>
        <w:pStyle w:val="TextBody"/>
        <w:bidi w:val="0"/>
        <w:spacing w:before="200" w:after="283"/>
        <w:jc w:val="both"/>
        <w:rPr>
          <w:rFonts w:ascii="Arial" w:hAnsi="Arial"/>
          <w:color w:val="000000"/>
          <w:sz w:val="18"/>
        </w:rPr>
      </w:pPr>
      <w:r>
        <w:rPr>
          <w:rFonts w:ascii="Arial" w:hAnsi="Arial"/>
          <w:color w:val="000000"/>
          <w:sz w:val="18"/>
        </w:rPr>
        <w:t>None.</w:t>
      </w:r>
    </w:p>
    <w:p>
      <w:pPr>
        <w:pStyle w:val="TextBody"/>
        <w:bidi w:val="0"/>
        <w:spacing w:before="200" w:after="283"/>
        <w:jc w:val="both"/>
        <w:rPr>
          <w:rFonts w:ascii="Arial" w:hAnsi="Arial"/>
          <w:b/>
          <w:color w:val="000000"/>
          <w:sz w:val="18"/>
        </w:rPr>
      </w:pPr>
      <w:bookmarkStart w:id="32" w:name="item_3_defaults_upon_senior_securities"/>
      <w:bookmarkEnd w:id="32"/>
      <w:r>
        <w:rPr>
          <w:rFonts w:ascii="Arial" w:hAnsi="Arial"/>
          <w:b/>
          <w:color w:val="000000"/>
          <w:sz w:val="18"/>
        </w:rPr>
        <w:t>Item 3. Defaults Upon Senior Securities.</w:t>
      </w:r>
    </w:p>
    <w:p>
      <w:pPr>
        <w:pStyle w:val="TextBody"/>
        <w:bidi w:val="0"/>
        <w:spacing w:before="200" w:after="283"/>
        <w:jc w:val="both"/>
        <w:rPr>
          <w:rFonts w:ascii="Arial" w:hAnsi="Arial"/>
          <w:color w:val="000000"/>
          <w:sz w:val="18"/>
        </w:rPr>
      </w:pPr>
      <w:r>
        <w:rPr>
          <w:rFonts w:ascii="Arial" w:hAnsi="Arial"/>
          <w:color w:val="000000"/>
          <w:sz w:val="18"/>
        </w:rPr>
        <w:t>None.</w:t>
      </w:r>
    </w:p>
    <w:p>
      <w:pPr>
        <w:pStyle w:val="TextBody"/>
        <w:bidi w:val="0"/>
        <w:spacing w:before="200" w:after="283"/>
        <w:jc w:val="both"/>
        <w:rPr>
          <w:rFonts w:ascii="Arial" w:hAnsi="Arial"/>
          <w:b/>
          <w:color w:val="000000"/>
          <w:sz w:val="18"/>
        </w:rPr>
      </w:pPr>
      <w:bookmarkStart w:id="33" w:name="item_4_mine_safety_disclosures"/>
      <w:bookmarkEnd w:id="33"/>
      <w:r>
        <w:rPr>
          <w:rFonts w:ascii="Arial" w:hAnsi="Arial"/>
          <w:b/>
          <w:color w:val="000000"/>
          <w:sz w:val="18"/>
        </w:rPr>
        <w:t>Item 4. Mine Safety Disclosures.</w:t>
      </w:r>
    </w:p>
    <w:p>
      <w:pPr>
        <w:pStyle w:val="TextBody"/>
        <w:bidi w:val="0"/>
        <w:spacing w:before="200" w:after="283"/>
        <w:jc w:val="both"/>
        <w:rPr>
          <w:rFonts w:ascii="Arial" w:hAnsi="Arial"/>
          <w:color w:val="000000"/>
          <w:sz w:val="18"/>
        </w:rPr>
      </w:pPr>
      <w:r>
        <w:rPr>
          <w:rFonts w:ascii="Arial" w:hAnsi="Arial"/>
          <w:color w:val="000000"/>
          <w:sz w:val="18"/>
        </w:rPr>
        <w:t>Not applicable.</w:t>
      </w:r>
    </w:p>
    <w:p>
      <w:pPr>
        <w:pStyle w:val="TextBody"/>
        <w:bidi w:val="0"/>
        <w:spacing w:before="200" w:after="283"/>
        <w:jc w:val="both"/>
        <w:rPr>
          <w:rFonts w:ascii="Arial" w:hAnsi="Arial"/>
          <w:b/>
          <w:color w:val="000000"/>
          <w:sz w:val="18"/>
        </w:rPr>
      </w:pPr>
      <w:bookmarkStart w:id="34" w:name="item_5_other_information"/>
      <w:bookmarkEnd w:id="34"/>
      <w:r>
        <w:rPr>
          <w:rFonts w:ascii="Arial" w:hAnsi="Arial"/>
          <w:b/>
          <w:color w:val="000000"/>
          <w:sz w:val="18"/>
        </w:rPr>
        <w:t>Item 5. Other Information.</w:t>
      </w:r>
    </w:p>
    <w:p>
      <w:pPr>
        <w:pStyle w:val="TextBody"/>
        <w:bidi w:val="0"/>
        <w:spacing w:before="200" w:after="283"/>
        <w:jc w:val="both"/>
        <w:rPr>
          <w:rFonts w:ascii="Arial" w:hAnsi="Arial"/>
          <w:color w:val="000000"/>
          <w:sz w:val="18"/>
        </w:rPr>
      </w:pPr>
      <w:r>
        <w:rPr>
          <w:rFonts w:ascii="Arial" w:hAnsi="Arial"/>
          <w:color w:val="000000"/>
          <w:sz w:val="18"/>
        </w:rPr>
        <w:t>There are no disclosures required by this Item 5, including those relating to “Rule 10b5-1 trading arrangements” and “non-Rule 10b5-1 trading arrangements” as those terms are defined in Item 408 of Regulation S-K.</w:t>
      </w:r>
    </w:p>
    <w:p>
      <w:pPr>
        <w:pStyle w:val="TextBody"/>
        <w:bidi w:val="0"/>
        <w:spacing w:before="240" w:after="283"/>
        <w:jc w:val="center"/>
        <w:rPr>
          <w:rFonts w:ascii="Arial" w:hAnsi="Arial"/>
          <w:color w:val="000000"/>
          <w:sz w:val="18"/>
        </w:rPr>
      </w:pPr>
      <w:r>
        <w:rPr>
          <w:rFonts w:ascii="Arial" w:hAnsi="Arial"/>
          <w:color w:val="000000"/>
          <w:sz w:val="18"/>
        </w:rPr>
        <w:t>70</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spacing w:before="200" w:after="283"/>
        <w:jc w:val="both"/>
        <w:rPr>
          <w:rFonts w:ascii="Arial" w:hAnsi="Arial"/>
          <w:b/>
          <w:color w:val="000000"/>
          <w:sz w:val="18"/>
        </w:rPr>
      </w:pPr>
      <w:bookmarkStart w:id="35" w:name="item_6_exhibits"/>
      <w:bookmarkEnd w:id="35"/>
      <w:r>
        <w:rPr>
          <w:rFonts w:ascii="Arial" w:hAnsi="Arial"/>
          <w:b/>
          <w:color w:val="000000"/>
          <w:sz w:val="18"/>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5928"/>
        <w:gridCol w:w="146"/>
        <w:gridCol w:w="556"/>
        <w:gridCol w:w="146"/>
        <w:gridCol w:w="743"/>
        <w:gridCol w:w="146"/>
        <w:gridCol w:w="691"/>
        <w:gridCol w:w="146"/>
        <w:gridCol w:w="746"/>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7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Incorporated by Reference</w:t>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left"/>
              <w:rPr>
                <w:rFonts w:ascii="Arial" w:hAnsi="Arial"/>
                <w:b/>
                <w:color w:val="000000"/>
                <w:sz w:val="18"/>
              </w:rPr>
            </w:pPr>
            <w:r>
              <w:rPr>
                <w:rFonts w:ascii="Arial" w:hAnsi="Arial"/>
                <w:b/>
                <w:color w:val="000000"/>
                <w:sz w:val="18"/>
              </w:rPr>
              <w:t>Exhibit</w:t>
            </w:r>
          </w:p>
          <w:p>
            <w:pPr>
              <w:pStyle w:val="TableContents"/>
              <w:bidi w:val="0"/>
              <w:spacing w:before="0" w:after="283"/>
              <w:jc w:val="left"/>
              <w:rPr>
                <w:rFonts w:ascii="Arial" w:hAnsi="Arial"/>
                <w:b/>
                <w:color w:val="000000"/>
                <w:sz w:val="18"/>
              </w:rPr>
            </w:pPr>
            <w:r>
              <w:rPr>
                <w:rFonts w:ascii="Arial" w:hAnsi="Arial"/>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2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Filing</w:t>
            </w:r>
          </w:p>
          <w:p>
            <w:pPr>
              <w:pStyle w:val="TableContents"/>
              <w:bidi w:val="0"/>
              <w:spacing w:before="0" w:after="283"/>
              <w:jc w:val="center"/>
              <w:rPr>
                <w:rFonts w:ascii="Arial" w:hAnsi="Arial"/>
                <w:b/>
                <w:color w:val="000000"/>
                <w:sz w:val="18"/>
              </w:rPr>
            </w:pPr>
            <w:r>
              <w:rPr>
                <w:rFonts w:ascii="Arial" w:hAnsi="Arial"/>
                <w:b/>
                <w:color w:val="000000"/>
                <w:sz w:val="18"/>
              </w:rPr>
              <w:t>Date</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center"/>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18"/>
                  <w:u w:val="single"/>
                </w:rPr>
                <w:t>Amended and Restated Certificate of Incorporation of the Registrant.</w:t>
              </w:r>
            </w:hyperlink>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146" w:type="dxa"/>
            <w:tcBorders/>
            <w:shd w:fill="FFFFFF" w:val="clear"/>
            <w:vAlign w:val="center"/>
          </w:tcPr>
          <w:p>
            <w:pPr>
              <w:pStyle w:val="TableContents"/>
              <w:bidi w:val="0"/>
              <w:spacing w:before="0" w:after="283"/>
              <w:jc w:val="center"/>
              <w:rPr/>
            </w:pPr>
            <w:r>
              <w:rPr/>
              <w:t> </w:t>
            </w:r>
          </w:p>
        </w:tc>
        <w:tc>
          <w:tcPr>
            <w:tcW w:w="743"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001-38943</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146" w:type="dxa"/>
            <w:tcBorders/>
            <w:shd w:fill="FFFFFF" w:val="cle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6/24/2019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18"/>
                  <w:u w:val="single"/>
                </w:rPr>
                <w:t>Amended and Restated Bylaws of the Registrant.</w:t>
              </w:r>
            </w:hyperlink>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8-K</w:t>
            </w:r>
          </w:p>
        </w:tc>
        <w:tc>
          <w:tcPr>
            <w:tcW w:w="146" w:type="dxa"/>
            <w:tcBorders/>
            <w:shd w:fill="FFFFFF" w:val="clear"/>
            <w:vAlign w:val="center"/>
          </w:tcPr>
          <w:p>
            <w:pPr>
              <w:pStyle w:val="TableContents"/>
              <w:bidi w:val="0"/>
              <w:spacing w:before="0" w:after="283"/>
              <w:jc w:val="center"/>
              <w:rPr/>
            </w:pPr>
            <w:r>
              <w:rPr/>
              <w:t> </w:t>
            </w:r>
          </w:p>
        </w:tc>
        <w:tc>
          <w:tcPr>
            <w:tcW w:w="743"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001-38943</w:t>
            </w:r>
          </w:p>
        </w:tc>
        <w:tc>
          <w:tcPr>
            <w:tcW w:w="14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3.1</w:t>
            </w:r>
          </w:p>
        </w:tc>
        <w:tc>
          <w:tcPr>
            <w:tcW w:w="146" w:type="dxa"/>
            <w:tcBorders/>
            <w:shd w:fill="FFFFFF" w:val="clear"/>
            <w:vAlign w:val="center"/>
          </w:tcPr>
          <w:p>
            <w:pPr>
              <w:pStyle w:val="TableContents"/>
              <w:bidi w:val="0"/>
              <w:spacing w:before="0" w:after="283"/>
              <w:jc w:val="center"/>
              <w:rPr/>
            </w:pPr>
            <w:r>
              <w:rPr/>
              <w:t> </w:t>
            </w:r>
          </w:p>
        </w:tc>
        <w:tc>
          <w:tcPr>
            <w:tcW w:w="746" w:type="dxa"/>
            <w:tcBorders/>
            <w:shd w:fill="FFFFFF" w:val="clear"/>
            <w:vAlign w:val="center"/>
          </w:tcPr>
          <w:p>
            <w:pPr>
              <w:pStyle w:val="TableContents"/>
              <w:bidi w:val="0"/>
              <w:spacing w:before="0" w:after="283"/>
              <w:jc w:val="center"/>
              <w:rPr>
                <w:rFonts w:ascii="Arial" w:hAnsi="Arial"/>
                <w:color w:val="000000"/>
                <w:sz w:val="18"/>
              </w:rPr>
            </w:pPr>
            <w:r>
              <w:rPr>
                <w:rFonts w:ascii="Arial" w:hAnsi="Arial"/>
                <w:color w:val="000000"/>
                <w:sz w:val="18"/>
              </w:rPr>
              <w:t>10/31/2022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10_1.htm">
              <w:r>
                <w:rPr>
                  <w:rStyle w:val="InternetLink"/>
                  <w:rFonts w:ascii="Arial" w:hAnsi="Arial"/>
                  <w:color w:val="0000FF"/>
                  <w:sz w:val="18"/>
                  <w:u w:val="single"/>
                </w:rPr>
                <w:t>Amended and Restated Non-Employee Director Compensation Policy, dated February 27, 2024.</w:t>
              </w:r>
            </w:hyperlink>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1_1.htm">
              <w:r>
                <w:rPr>
                  <w:rStyle w:val="InternetLink"/>
                  <w:rFonts w:ascii="Arial" w:hAnsi="Arial"/>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1_2.htm">
              <w:r>
                <w:rPr>
                  <w:rStyle w:val="InternetLink"/>
                  <w:rFonts w:ascii="Arial" w:hAnsi="Arial"/>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2_1.htm">
              <w:r>
                <w:rPr>
                  <w:rStyle w:val="InternetLink"/>
                  <w:rFonts w:ascii="Arial" w:hAnsi="Arial"/>
                  <w:color w:val="0000FF"/>
                  <w:sz w:val="18"/>
                  <w:u w:val="single"/>
                </w:rPr>
                <w:t>Certification of Principal Executive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snl-ex32_2.htm">
              <w:r>
                <w:rPr>
                  <w:rStyle w:val="InternetLink"/>
                  <w:rFonts w:ascii="Arial" w:hAnsi="Arial"/>
                  <w:color w:val="0000FF"/>
                  <w:sz w:val="18"/>
                  <w:u w:val="single"/>
                </w:rPr>
                <w:t>Certification of Principal Financial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Document Set for the condensed consolidated financial statements and accompanying notes in Part I, Item 1, “Financial Statements” of this Quarterly Report on Form 10-Q.</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Inline XBRL for the cover page of this Quarterly Report on Form 10-Q, included in the Exhibit 101 Inline XBRL Document Set.</w:t>
            </w:r>
          </w:p>
        </w:tc>
        <w:tc>
          <w:tcPr>
            <w:tcW w:w="146"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both"/>
        <w:rPr>
          <w:rFonts w:ascii="Arial" w:hAnsi="Arial"/>
          <w:color w:val="000000"/>
          <w:sz w:val="16"/>
        </w:rPr>
      </w:pPr>
      <w:r>
        <w:rPr>
          <w:rFonts w:ascii="Arial" w:hAnsi="Arial"/>
          <w:color w:val="000000"/>
          <w:sz w:val="16"/>
        </w:rPr>
        <w:t># Indicates management contract or compensatory plan or arrangement.</w:t>
      </w:r>
    </w:p>
    <w:p>
      <w:pPr>
        <w:pStyle w:val="TextBody"/>
        <w:bidi w:val="0"/>
        <w:spacing w:before="40" w:after="283"/>
        <w:jc w:val="both"/>
        <w:rPr>
          <w:rFonts w:ascii="Arial" w:hAnsi="Arial"/>
          <w:color w:val="000000"/>
          <w:sz w:val="16"/>
        </w:rPr>
      </w:pPr>
      <w:r>
        <w:rPr>
          <w:rFonts w:ascii="Arial" w:hAnsi="Arial"/>
          <w:color w:val="000000"/>
          <w:sz w:val="16"/>
        </w:rPr>
        <w:t>* Filed herewith.</w:t>
      </w:r>
    </w:p>
    <w:p>
      <w:pPr>
        <w:pStyle w:val="TextBody"/>
        <w:bidi w:val="0"/>
        <w:spacing w:before="40" w:after="283"/>
        <w:jc w:val="both"/>
        <w:rPr>
          <w:rFonts w:ascii="Arial" w:hAnsi="Arial"/>
          <w:color w:val="000000"/>
          <w:sz w:val="16"/>
        </w:rPr>
      </w:pPr>
      <w:r>
        <w:rPr>
          <w:rFonts w:ascii="Arial" w:hAnsi="Arial"/>
          <w:color w:val="000000"/>
          <w:sz w:val="16"/>
        </w:rPr>
        <w:t> Furnished herewith.</w:t>
      </w:r>
    </w:p>
    <w:p>
      <w:pPr>
        <w:pStyle w:val="TextBody"/>
        <w:bidi w:val="0"/>
        <w:spacing w:before="240" w:after="283"/>
        <w:jc w:val="center"/>
        <w:rPr>
          <w:rFonts w:ascii="Arial" w:hAnsi="Arial"/>
          <w:color w:val="000000"/>
          <w:sz w:val="18"/>
        </w:rPr>
      </w:pPr>
      <w:r>
        <w:rPr>
          <w:rFonts w:ascii="Arial" w:hAnsi="Arial"/>
          <w:color w:val="000000"/>
          <w:sz w:val="18"/>
        </w:rPr>
        <w:t>71</w:t>
      </w:r>
    </w:p>
    <w:p>
      <w:pPr>
        <w:pStyle w:val="HorizontalLine"/>
        <w:pBdr>
          <w:bottom w:val="double" w:sz="2" w:space="0" w:color="808080"/>
        </w:pBdr>
        <w:bidi w:val="0"/>
        <w:spacing w:before="0" w:after="283"/>
        <w:jc w:val="left"/>
        <w:rPr/>
      </w:pPr>
      <w:r>
        <w:rPr/>
      </w:r>
    </w:p>
    <w:p>
      <w:pPr>
        <w:pStyle w:val="TextBody"/>
        <w:bidi w:val="0"/>
        <w:jc w:val="left"/>
        <w:rPr/>
      </w:pPr>
      <w:hyperlink w:anchor="table_of_contents">
        <w:r>
          <w:rPr>
            <w:rStyle w:val="InternetLink"/>
            <w:rFonts w:ascii="Arial" w:hAnsi="Arial"/>
            <w:color w:val="0000FF"/>
            <w:sz w:val="16"/>
            <w:u w:val="single"/>
          </w:rPr>
          <w:t>Table of Contents</w:t>
        </w:r>
      </w:hyperlink>
    </w:p>
    <w:p>
      <w:pPr>
        <w:pStyle w:val="TextBody"/>
        <w:bidi w:val="0"/>
        <w:jc w:val="left"/>
        <w:rPr/>
      </w:pPr>
      <w:r>
        <w:rPr/>
        <w:t> </w:t>
      </w:r>
    </w:p>
    <w:p>
      <w:pPr>
        <w:pStyle w:val="TextBody"/>
        <w:bidi w:val="0"/>
        <w:jc w:val="center"/>
        <w:rPr>
          <w:rFonts w:ascii="Arial" w:hAnsi="Arial"/>
          <w:b/>
          <w:color w:val="000000"/>
          <w:sz w:val="18"/>
        </w:rPr>
      </w:pPr>
      <w:bookmarkStart w:id="36" w:name="signatures"/>
      <w:bookmarkEnd w:id="36"/>
      <w:r>
        <w:rPr>
          <w:rFonts w:ascii="Arial" w:hAnsi="Arial"/>
          <w:b/>
          <w:color w:val="000000"/>
          <w:sz w:val="18"/>
        </w:rPr>
        <w:t>SIGNATURES</w:t>
      </w:r>
    </w:p>
    <w:p>
      <w:pPr>
        <w:pStyle w:val="TextBody"/>
        <w:bidi w:val="0"/>
        <w:spacing w:before="240" w:after="283"/>
        <w:jc w:val="both"/>
        <w:rPr>
          <w:rFonts w:ascii="Arial" w:hAnsi="Arial"/>
          <w:color w:val="000000"/>
          <w:sz w:val="18"/>
        </w:rPr>
      </w:pPr>
      <w:r>
        <w:rPr>
          <w:rFonts w:ascii="Arial" w:hAnsi="Arial"/>
          <w:color w:val="000000"/>
          <w:sz w:val="18"/>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329" w:type="dxa"/>
        <w:jc w:val="left"/>
        <w:tblInd w:w="0" w:type="dxa"/>
        <w:tblLayout w:type="fixed"/>
        <w:tblCellMar>
          <w:top w:w="28" w:type="dxa"/>
          <w:left w:w="28" w:type="dxa"/>
          <w:bottom w:w="28" w:type="dxa"/>
          <w:right w:w="28" w:type="dxa"/>
        </w:tblCellMar>
      </w:tblPr>
      <w:tblGrid>
        <w:gridCol w:w="1606"/>
        <w:gridCol w:w="146"/>
        <w:gridCol w:w="361"/>
        <w:gridCol w:w="421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May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Personalis, Inc.</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Aaron Tachibana</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Aaron Tachibana</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Financial Officer and Chief Operating Officer</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Financial and Accounting Officer)</w:t>
            </w:r>
          </w:p>
        </w:tc>
      </w:tr>
    </w:tbl>
    <w:p>
      <w:pPr>
        <w:pStyle w:val="TextBody"/>
        <w:bidi w:val="0"/>
        <w:jc w:val="left"/>
        <w:rPr/>
      </w:pPr>
      <w:r>
        <w:rPr/>
        <w:t> </w:t>
      </w:r>
    </w:p>
    <w:p>
      <w:pPr>
        <w:pStyle w:val="TextBody"/>
        <w:bidi w:val="0"/>
        <w:spacing w:before="240" w:after="283"/>
        <w:jc w:val="center"/>
        <w:rPr>
          <w:rFonts w:ascii="Arial" w:hAnsi="Arial"/>
          <w:color w:val="000000"/>
          <w:sz w:val="18"/>
        </w:rPr>
      </w:pPr>
      <w:r>
        <w:rPr>
          <w:rFonts w:ascii="Arial" w:hAnsi="Arial"/>
          <w:color w:val="000000"/>
          <w:sz w:val="18"/>
        </w:rPr>
        <w:t>72</w:t>
      </w:r>
    </w:p>
    <w:p>
      <w:pPr>
        <w:pStyle w:val="HorizontalLine"/>
        <w:pBdr>
          <w:bottom w:val="double" w:sz="2" w:space="0" w:color="808080"/>
        </w:pBdr>
        <w:bidi w:val="0"/>
        <w:spacing w:before="0" w:after="283"/>
        <w:jc w:val="left"/>
        <w:rPr/>
      </w:pPr>
      <w:r>
        <w:rPr/>
      </w:r>
    </w:p>
    <w:p>
      <w:pPr>
        <w:pStyle w:val="TextBody"/>
        <w:bidi w:val="0"/>
        <w:jc w:val="right"/>
        <w:rPr/>
      </w:pPr>
      <w:bookmarkStart w:id="37" w:name="psnl-ex10_1.htm"/>
      <w:bookmarkStart w:id="38" w:name="kspsnlex10_1"/>
      <w:bookmarkEnd w:id="37"/>
      <w:bookmarkEnd w:id="38"/>
      <w:r>
        <w:rPr/>
        <w:t> </w:t>
      </w:r>
      <w:r>
        <w:br w:type="page"/>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jc w:val="right"/>
        <w:rPr>
          <w:rFonts w:ascii="Arial" w:hAnsi="Arial"/>
          <w:b/>
          <w:color w:val="000000"/>
          <w:sz w:val="18"/>
        </w:rPr>
      </w:pPr>
      <w:r>
        <w:rPr>
          <w:rFonts w:ascii="Arial" w:hAnsi="Arial"/>
          <w:b/>
          <w:color w:val="000000"/>
          <w:sz w:val="18"/>
        </w:rPr>
        <w:t>Exhibit 10.1</w:t>
      </w:r>
    </w:p>
    <w:p>
      <w:pPr>
        <w:pStyle w:val="TextBody"/>
        <w:bidi w:val="0"/>
        <w:jc w:val="left"/>
        <w:rPr/>
      </w:pPr>
      <w:r>
        <w:rPr/>
        <w:t> </w:t>
      </w:r>
    </w:p>
    <w:p>
      <w:pPr>
        <w:pStyle w:val="TextBody"/>
        <w:bidi w:val="0"/>
        <w:spacing w:before="70" w:after="283"/>
        <w:ind w:left="881" w:right="879" w:hanging="0"/>
        <w:jc w:val="center"/>
        <w:rPr>
          <w:rFonts w:ascii="Times New Roman" w:hAnsi="Times New Roman"/>
          <w:b/>
          <w:smallCaps/>
          <w:color w:val="000000"/>
          <w:sz w:val="24"/>
        </w:rPr>
      </w:pPr>
      <w:r>
        <w:rPr>
          <w:rFonts w:ascii="Times New Roman" w:hAnsi="Times New Roman"/>
          <w:b/>
          <w:smallCaps/>
          <w:color w:val="000000"/>
          <w:sz w:val="24"/>
        </w:rPr>
        <w:t>Personalis, Inc.</w:t>
      </w:r>
    </w:p>
    <w:p>
      <w:pPr>
        <w:pStyle w:val="TextBody"/>
        <w:bidi w:val="0"/>
        <w:spacing w:before="1" w:after="283"/>
        <w:jc w:val="left"/>
        <w:rPr/>
      </w:pPr>
      <w:r>
        <w:rPr/>
        <w:t> </w:t>
      </w:r>
    </w:p>
    <w:p>
      <w:pPr>
        <w:pStyle w:val="TextBody"/>
        <w:bidi w:val="0"/>
        <w:ind w:left="887" w:right="879" w:hanging="0"/>
        <w:jc w:val="center"/>
        <w:rPr>
          <w:rFonts w:ascii="Times New Roman" w:hAnsi="Times New Roman"/>
          <w:b/>
          <w:smallCaps/>
          <w:color w:val="000000"/>
          <w:sz w:val="24"/>
        </w:rPr>
      </w:pPr>
      <w:r>
        <w:rPr>
          <w:rFonts w:ascii="Times New Roman" w:hAnsi="Times New Roman"/>
          <w:b/>
          <w:smallCaps/>
          <w:color w:val="000000"/>
          <w:sz w:val="24"/>
        </w:rPr>
        <w:t>Amended and Restated Non-Employee Director Compensation Policy</w:t>
      </w:r>
    </w:p>
    <w:p>
      <w:pPr>
        <w:pStyle w:val="TextBody"/>
        <w:bidi w:val="0"/>
        <w:jc w:val="left"/>
        <w:rPr/>
      </w:pPr>
      <w:r>
        <w:rPr/>
        <w:t> </w:t>
      </w:r>
    </w:p>
    <w:p>
      <w:pPr>
        <w:pStyle w:val="TextBody"/>
        <w:bidi w:val="0"/>
        <w:ind w:left="887" w:right="879" w:hanging="0"/>
        <w:jc w:val="center"/>
        <w:rPr>
          <w:rFonts w:ascii="Times New Roman" w:hAnsi="Times New Roman"/>
          <w:color w:val="000000"/>
          <w:sz w:val="24"/>
        </w:rPr>
      </w:pPr>
      <w:r>
        <w:rPr>
          <w:rFonts w:ascii="Times New Roman" w:hAnsi="Times New Roman"/>
          <w:color w:val="000000"/>
          <w:sz w:val="24"/>
        </w:rPr>
        <w:t>Adopted by the Board of Directors: May 23, 2019</w:t>
      </w:r>
    </w:p>
    <w:p>
      <w:pPr>
        <w:pStyle w:val="TextBody"/>
        <w:bidi w:val="0"/>
        <w:ind w:left="887" w:right="879" w:hanging="0"/>
        <w:jc w:val="center"/>
        <w:rPr>
          <w:rFonts w:ascii="Times New Roman" w:hAnsi="Times New Roman"/>
          <w:color w:val="000000"/>
          <w:sz w:val="24"/>
        </w:rPr>
      </w:pPr>
      <w:r>
        <w:rPr>
          <w:rFonts w:ascii="Times New Roman" w:hAnsi="Times New Roman"/>
          <w:color w:val="000000"/>
          <w:sz w:val="24"/>
        </w:rPr>
        <w:t>Last amended by the Board of Directors: February 27, 2024</w:t>
      </w:r>
    </w:p>
    <w:p>
      <w:pPr>
        <w:pStyle w:val="TextBody"/>
        <w:bidi w:val="0"/>
        <w:spacing w:before="1" w:after="283"/>
        <w:jc w:val="left"/>
        <w:rPr/>
      </w:pPr>
      <w:r>
        <w:rPr/>
        <w:t> </w:t>
      </w:r>
    </w:p>
    <w:p>
      <w:pPr>
        <w:pStyle w:val="TextBody"/>
        <w:bidi w:val="0"/>
        <w:spacing w:before="8" w:after="283"/>
        <w:jc w:val="left"/>
        <w:rPr/>
      </w:pPr>
      <w:r>
        <w:rPr/>
        <w:t> </w:t>
      </w:r>
    </w:p>
    <w:p>
      <w:pPr>
        <w:pStyle w:val="TextBody"/>
        <w:bidi w:val="0"/>
        <w:spacing w:before="90" w:after="283"/>
        <w:ind w:left="140" w:right="135" w:firstLine="720"/>
        <w:jc w:val="both"/>
        <w:rPr>
          <w:rFonts w:ascii="Times New Roman" w:hAnsi="Times New Roman"/>
          <w:sz w:val="20"/>
        </w:rPr>
      </w:pPr>
      <w:r>
        <w:rPr>
          <w:rFonts w:ascii="Times New Roman" w:hAnsi="Times New Roman"/>
          <w:color w:val="000000"/>
          <w:sz w:val="24"/>
        </w:rPr>
        <w:t>Each member of the Board of Directors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of Personalis,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who is a non-employee director of the Company (each such member, a “</w:t>
      </w:r>
      <w:r>
        <w:rPr>
          <w:rFonts w:ascii="Times New Roman" w:hAnsi="Times New Roman"/>
          <w:b/>
          <w:i/>
          <w:color w:val="000000"/>
          <w:sz w:val="24"/>
        </w:rPr>
        <w:t>Non-Employee Director</w:t>
      </w:r>
      <w:r>
        <w:rPr>
          <w:rFonts w:ascii="Times New Roman" w:hAnsi="Times New Roman"/>
          <w:color w:val="000000"/>
          <w:sz w:val="20"/>
        </w:rPr>
        <w:t>”</w:t>
      </w:r>
      <w:r>
        <w:rPr>
          <w:rFonts w:ascii="Times New Roman" w:hAnsi="Times New Roman"/>
          <w:color w:val="000000"/>
          <w:sz w:val="24"/>
        </w:rPr>
        <w:t>) will receive the compensation described in this Non-Employee Director Compensation Policy (the “</w:t>
      </w:r>
      <w:r>
        <w:rPr>
          <w:rFonts w:ascii="Times New Roman" w:hAnsi="Times New Roman"/>
          <w:b/>
          <w:i/>
          <w:color w:val="000000"/>
          <w:sz w:val="24"/>
        </w:rPr>
        <w:t>Director Compensation Policy</w:t>
      </w:r>
      <w:r>
        <w:rPr>
          <w:rFonts w:ascii="Times New Roman" w:hAnsi="Times New Roman"/>
          <w:color w:val="000000"/>
          <w:sz w:val="20"/>
        </w:rPr>
        <w:t>”</w:t>
      </w:r>
      <w:r>
        <w:rPr>
          <w:rFonts w:ascii="Times New Roman" w:hAnsi="Times New Roman"/>
          <w:color w:val="000000"/>
          <w:sz w:val="24"/>
        </w:rPr>
        <w:t>) for his or her Board service.</w:t>
      </w:r>
    </w:p>
    <w:p>
      <w:pPr>
        <w:pStyle w:val="TextBody"/>
        <w:bidi w:val="0"/>
        <w:spacing w:before="230" w:after="283"/>
        <w:ind w:left="140" w:right="144" w:firstLine="720"/>
        <w:jc w:val="both"/>
        <w:rPr>
          <w:rFonts w:ascii="Times New Roman" w:hAnsi="Times New Roman"/>
          <w:color w:val="000000"/>
          <w:sz w:val="24"/>
        </w:rPr>
      </w:pPr>
      <w:r>
        <w:rPr>
          <w:rFonts w:ascii="Times New Roman" w:hAnsi="Times New Roman"/>
          <w:color w:val="000000"/>
          <w:sz w:val="24"/>
        </w:rPr>
        <w:t>The Director Compensation Policy may be amended at any time in the sole discretion of the Board or the Compensation Committee of the Board.</w:t>
      </w:r>
    </w:p>
    <w:p>
      <w:pPr>
        <w:pStyle w:val="TextBody"/>
        <w:bidi w:val="0"/>
        <w:spacing w:before="8" w:after="283"/>
        <w:jc w:val="left"/>
        <w:rPr/>
      </w:pPr>
      <w:r>
        <w:rPr/>
        <w:t> </w:t>
      </w:r>
    </w:p>
    <w:p>
      <w:pPr>
        <w:pStyle w:val="TextBody"/>
        <w:bidi w:val="0"/>
        <w:ind w:left="140" w:right="133" w:firstLine="720"/>
        <w:jc w:val="both"/>
        <w:rPr>
          <w:rFonts w:ascii="Times New Roman" w:hAnsi="Times New Roman"/>
          <w:color w:val="000000"/>
          <w:sz w:val="24"/>
        </w:rPr>
      </w:pPr>
      <w:r>
        <w:rPr>
          <w:rFonts w:ascii="Times New Roman" w:hAnsi="Times New Roman"/>
          <w:color w:val="000000"/>
          <w:sz w:val="24"/>
        </w:rPr>
        <w:t>A Non-Employee Director may decline all or any portion of his or her compensation by giving notice to the Company prior to the date cash is to be paid or equity awards are to be granted, as the case may be.</w:t>
      </w:r>
    </w:p>
    <w:p>
      <w:pPr>
        <w:pStyle w:val="TextBody"/>
        <w:bidi w:val="0"/>
        <w:spacing w:before="5" w:after="283"/>
        <w:jc w:val="left"/>
        <w:rPr/>
      </w:pPr>
      <w:r>
        <w:rPr/>
        <w:t> </w:t>
      </w:r>
    </w:p>
    <w:p>
      <w:pPr>
        <w:pStyle w:val="TextBody"/>
        <w:bidi w:val="0"/>
        <w:ind w:left="140" w:right="0" w:hanging="0"/>
        <w:jc w:val="left"/>
        <w:rPr>
          <w:rFonts w:ascii="Times New Roman" w:hAnsi="Times New Roman"/>
          <w:b/>
          <w:color w:val="000000"/>
          <w:sz w:val="24"/>
        </w:rPr>
      </w:pPr>
      <w:r>
        <w:rPr>
          <w:rFonts w:ascii="Times New Roman" w:hAnsi="Times New Roman"/>
          <w:b/>
          <w:color w:val="000000"/>
          <w:sz w:val="24"/>
        </w:rPr>
        <w:t>Annual Cash Compensation</w:t>
      </w:r>
    </w:p>
    <w:p>
      <w:pPr>
        <w:pStyle w:val="TextBody"/>
        <w:bidi w:val="0"/>
        <w:spacing w:before="233" w:after="283"/>
        <w:ind w:left="140" w:right="130" w:firstLine="720"/>
        <w:jc w:val="both"/>
        <w:rPr>
          <w:rFonts w:ascii="Times New Roman" w:hAnsi="Times New Roman"/>
          <w:color w:val="000000"/>
          <w:sz w:val="24"/>
        </w:rPr>
      </w:pPr>
      <w:r>
        <w:rPr>
          <w:rFonts w:ascii="Times New Roman" w:hAnsi="Times New Roman"/>
          <w:color w:val="000000"/>
          <w:sz w:val="24"/>
        </w:rPr>
        <w:t>Commencing at the beginning of the first calendar quarter each year, each Non-Employee Director will receive the cash compensation set forth below for service on the Board. The annual cash compensation amounts will be payable in equal quarterly installments, in arrears no later than 30 days following the end of each quarter in which the service occurred, prorated for any partial quarter of service. All annual cash fees are vested upon payment.</w:t>
      </w:r>
    </w:p>
    <w:p>
      <w:pPr>
        <w:pStyle w:val="TextBody"/>
        <w:bidi w:val="0"/>
        <w:spacing w:before="1" w:after="283"/>
        <w:jc w:val="left"/>
        <w:rPr/>
      </w:pPr>
      <w:r>
        <w:rPr/>
        <w:t> </w:t>
      </w:r>
    </w:p>
    <w:p>
      <w:pPr>
        <w:pStyle w:val="TextBody"/>
        <w:bidi w:val="0"/>
        <w:spacing w:before="0" w:after="0"/>
        <w:ind w:left="144" w:right="0" w:hanging="0"/>
        <w:jc w:val="left"/>
        <w:rPr>
          <w:rFonts w:ascii="Times New Roman" w:hAnsi="Times New Roman"/>
          <w:color w:val="000000"/>
          <w:sz w:val="24"/>
        </w:rPr>
      </w:pPr>
      <w:r>
        <w:rPr>
          <w:rFonts w:ascii="Times New Roman" w:hAnsi="Times New Roman"/>
          <w:color w:val="000000"/>
          <w:sz w:val="24"/>
        </w:rPr>
        <w:t>1.</w:t>
      </w:r>
    </w:p>
    <w:p>
      <w:pPr>
        <w:pStyle w:val="TextBody"/>
        <w:bidi w:val="0"/>
        <w:spacing w:before="0" w:after="0"/>
        <w:jc w:val="left"/>
        <w:rPr/>
      </w:pPr>
      <w:r>
        <w:rPr>
          <w:rFonts w:ascii="Times New Roman" w:hAnsi="Times New Roman"/>
          <w:color w:val="000000"/>
          <w:sz w:val="24"/>
          <w:u w:val="single"/>
        </w:rPr>
        <w:t>Annual Board Service Retainer</w:t>
      </w:r>
      <w:r>
        <w:rPr>
          <w:rFonts w:ascii="Times New Roman" w:hAnsi="Times New Roman"/>
          <w:color w:val="000000"/>
          <w:sz w:val="24"/>
        </w:rPr>
        <w:t>:</w:t>
      </w:r>
    </w:p>
    <w:p>
      <w:pPr>
        <w:pStyle w:val="TextBody"/>
        <w:bidi w:val="0"/>
        <w:spacing w:before="2" w:after="283"/>
        <w:ind w:left="864" w:right="0" w:hanging="0"/>
        <w:jc w:val="left"/>
        <w:rPr>
          <w:rFonts w:ascii="Times New Roman" w:hAnsi="Times New Roman"/>
          <w:color w:val="000000"/>
          <w:sz w:val="24"/>
        </w:rPr>
      </w:pPr>
      <w:r>
        <w:rPr>
          <w:rFonts w:ascii="Times New Roman" w:hAnsi="Times New Roman"/>
          <w:color w:val="000000"/>
          <w:sz w:val="24"/>
        </w:rPr>
        <w:t>a.</w:t>
      </w:r>
    </w:p>
    <w:p>
      <w:pPr>
        <w:pStyle w:val="TextBody"/>
        <w:bidi w:val="0"/>
        <w:spacing w:before="2" w:after="283"/>
        <w:jc w:val="left"/>
        <w:rPr>
          <w:rFonts w:ascii="Times New Roman" w:hAnsi="Times New Roman"/>
          <w:color w:val="000000"/>
          <w:sz w:val="24"/>
        </w:rPr>
      </w:pPr>
      <w:r>
        <w:rPr>
          <w:rFonts w:ascii="Times New Roman" w:hAnsi="Times New Roman"/>
          <w:color w:val="000000"/>
          <w:sz w:val="24"/>
        </w:rPr>
        <w:t>All Eligible Directors: $40,000</w:t>
      </w:r>
    </w:p>
    <w:p>
      <w:pPr>
        <w:pStyle w:val="TextBody"/>
        <w:bidi w:val="0"/>
        <w:spacing w:before="0" w:after="0"/>
        <w:ind w:left="864" w:right="0" w:hanging="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Lead Independent Director (as applicable): $60,000 (in lieu of above)</w:t>
      </w:r>
    </w:p>
    <w:p>
      <w:pPr>
        <w:pStyle w:val="TextBody"/>
        <w:bidi w:val="0"/>
        <w:spacing w:before="3" w:after="283"/>
        <w:ind w:left="864" w:right="0" w:hanging="0"/>
        <w:jc w:val="left"/>
        <w:rPr>
          <w:rFonts w:ascii="Times New Roman" w:hAnsi="Times New Roman"/>
          <w:color w:val="000000"/>
          <w:sz w:val="24"/>
        </w:rPr>
      </w:pPr>
      <w:r>
        <w:rPr>
          <w:rFonts w:ascii="Times New Roman" w:hAnsi="Times New Roman"/>
          <w:color w:val="000000"/>
          <w:sz w:val="24"/>
        </w:rPr>
        <w:t>c.</w:t>
      </w:r>
    </w:p>
    <w:p>
      <w:pPr>
        <w:pStyle w:val="TextBody"/>
        <w:bidi w:val="0"/>
        <w:spacing w:before="3" w:after="283"/>
        <w:jc w:val="left"/>
        <w:rPr>
          <w:rFonts w:ascii="Times New Roman" w:hAnsi="Times New Roman"/>
          <w:color w:val="000000"/>
          <w:sz w:val="24"/>
        </w:rPr>
      </w:pPr>
      <w:r>
        <w:rPr>
          <w:rFonts w:ascii="Times New Roman" w:hAnsi="Times New Roman"/>
          <w:color w:val="000000"/>
          <w:sz w:val="24"/>
        </w:rPr>
        <w:t>Chair of the Board (as applicable): $100,000 (in lieu of above)</w:t>
      </w:r>
    </w:p>
    <w:p>
      <w:pPr>
        <w:pStyle w:val="TextBody"/>
        <w:bidi w:val="0"/>
        <w:jc w:val="left"/>
        <w:rPr/>
      </w:pPr>
      <w:r>
        <w:rPr/>
        <w:t> </w:t>
      </w:r>
    </w:p>
    <w:p>
      <w:pPr>
        <w:pStyle w:val="TextBody"/>
        <w:bidi w:val="0"/>
        <w:spacing w:before="0" w:after="0"/>
        <w:ind w:left="144" w:right="0" w:hanging="0"/>
        <w:jc w:val="left"/>
        <w:rPr>
          <w:rFonts w:ascii="Times New Roman" w:hAnsi="Times New Roman"/>
          <w:color w:val="000000"/>
          <w:sz w:val="24"/>
        </w:rPr>
      </w:pPr>
      <w:r>
        <w:rPr>
          <w:rFonts w:ascii="Times New Roman" w:hAnsi="Times New Roman"/>
          <w:color w:val="000000"/>
          <w:sz w:val="24"/>
        </w:rPr>
        <w:t>2.</w:t>
      </w:r>
    </w:p>
    <w:p>
      <w:pPr>
        <w:pStyle w:val="TextBody"/>
        <w:bidi w:val="0"/>
        <w:spacing w:before="0" w:after="0"/>
        <w:jc w:val="left"/>
        <w:rPr/>
      </w:pPr>
      <w:r>
        <w:rPr>
          <w:rFonts w:ascii="Times New Roman" w:hAnsi="Times New Roman"/>
          <w:color w:val="000000"/>
          <w:sz w:val="24"/>
          <w:u w:val="single"/>
        </w:rPr>
        <w:t>Annual Committee Member Service Retainer</w:t>
      </w:r>
      <w:r>
        <w:rPr>
          <w:rFonts w:ascii="Times New Roman" w:hAnsi="Times New Roman"/>
          <w:color w:val="000000"/>
          <w:sz w:val="24"/>
        </w:rPr>
        <w:t>:</w:t>
      </w:r>
    </w:p>
    <w:p>
      <w:pPr>
        <w:pStyle w:val="TextBody"/>
        <w:bidi w:val="0"/>
        <w:spacing w:before="0" w:after="0"/>
        <w:ind w:left="864" w:right="0" w:hanging="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Member of the Audit Committee: $10,000</w:t>
      </w:r>
    </w:p>
    <w:p>
      <w:pPr>
        <w:pStyle w:val="TextBody"/>
        <w:bidi w:val="0"/>
        <w:spacing w:before="0" w:after="0"/>
        <w:ind w:left="864" w:right="0" w:hanging="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Member of the Compensation Committee: $7,500</w:t>
      </w:r>
    </w:p>
    <w:p>
      <w:pPr>
        <w:pStyle w:val="TextBody"/>
        <w:bidi w:val="0"/>
        <w:spacing w:before="3" w:after="283"/>
        <w:ind w:left="864" w:right="0" w:hanging="0"/>
        <w:jc w:val="left"/>
        <w:rPr>
          <w:rFonts w:ascii="Times New Roman" w:hAnsi="Times New Roman"/>
          <w:color w:val="000000"/>
          <w:sz w:val="24"/>
        </w:rPr>
      </w:pPr>
      <w:r>
        <w:rPr>
          <w:rFonts w:ascii="Times New Roman" w:hAnsi="Times New Roman"/>
          <w:color w:val="000000"/>
          <w:sz w:val="24"/>
        </w:rPr>
        <w:t>c.</w:t>
      </w:r>
    </w:p>
    <w:p>
      <w:pPr>
        <w:pStyle w:val="TextBody"/>
        <w:bidi w:val="0"/>
        <w:spacing w:before="3" w:after="283"/>
        <w:jc w:val="left"/>
        <w:rPr>
          <w:rFonts w:ascii="Times New Roman" w:hAnsi="Times New Roman"/>
          <w:color w:val="000000"/>
          <w:sz w:val="24"/>
        </w:rPr>
      </w:pPr>
      <w:r>
        <w:rPr>
          <w:rFonts w:ascii="Times New Roman" w:hAnsi="Times New Roman"/>
          <w:color w:val="000000"/>
          <w:sz w:val="24"/>
        </w:rPr>
        <w:t>Member of the Nominating and Corporate Governance Committee: $5,000</w:t>
      </w:r>
    </w:p>
    <w:p>
      <w:pPr>
        <w:pStyle w:val="TextBody"/>
        <w:bidi w:val="0"/>
        <w:spacing w:before="2" w:after="283"/>
        <w:jc w:val="left"/>
        <w:rPr/>
      </w:pPr>
      <w:r>
        <w:rPr/>
        <w:t> </w:t>
      </w:r>
    </w:p>
    <w:p>
      <w:pPr>
        <w:pStyle w:val="TextBody"/>
        <w:bidi w:val="0"/>
        <w:spacing w:before="0" w:after="0"/>
        <w:ind w:left="144" w:right="130" w:hanging="0"/>
        <w:jc w:val="left"/>
        <w:rPr>
          <w:rFonts w:ascii="Times New Roman" w:hAnsi="Times New Roman"/>
          <w:color w:val="000000"/>
          <w:sz w:val="24"/>
        </w:rPr>
      </w:pPr>
      <w:r>
        <w:rPr>
          <w:rFonts w:ascii="Times New Roman" w:hAnsi="Times New Roman"/>
          <w:color w:val="000000"/>
          <w:sz w:val="24"/>
        </w:rPr>
        <w:t>3.</w:t>
      </w:r>
    </w:p>
    <w:p>
      <w:pPr>
        <w:pStyle w:val="TextBody"/>
        <w:bidi w:val="0"/>
        <w:spacing w:before="0" w:after="0"/>
        <w:jc w:val="left"/>
        <w:rPr/>
      </w:pPr>
      <w:r>
        <w:rPr>
          <w:rFonts w:ascii="Times New Roman" w:hAnsi="Times New Roman"/>
          <w:color w:val="000000"/>
          <w:sz w:val="24"/>
          <w:u w:val="single"/>
        </w:rPr>
        <w:t>Annual Committee Chair Service Retainer (in lieu of Committee Member Service</w:t>
      </w:r>
      <w:r>
        <w:rPr>
          <w:color w:val="000000"/>
        </w:rPr>
        <w:t xml:space="preserve"> </w:t>
      </w:r>
      <w:r>
        <w:rPr>
          <w:rFonts w:ascii="Times New Roman" w:hAnsi="Times New Roman"/>
          <w:color w:val="000000"/>
          <w:sz w:val="24"/>
          <w:u w:val="single"/>
        </w:rPr>
        <w:t>Retainer)</w:t>
      </w:r>
      <w:r>
        <w:rPr>
          <w:rFonts w:ascii="Times New Roman" w:hAnsi="Times New Roman"/>
          <w:color w:val="000000"/>
          <w:sz w:val="24"/>
        </w:rPr>
        <w:t>:</w:t>
      </w:r>
    </w:p>
    <w:p>
      <w:pPr>
        <w:pStyle w:val="TextBody"/>
        <w:bidi w:val="0"/>
        <w:spacing w:before="4" w:after="283"/>
        <w:ind w:left="864" w:right="0" w:hanging="0"/>
        <w:jc w:val="left"/>
        <w:rPr>
          <w:rFonts w:ascii="Times New Roman" w:hAnsi="Times New Roman"/>
          <w:color w:val="000000"/>
          <w:sz w:val="24"/>
        </w:rPr>
      </w:pPr>
      <w:r>
        <w:rPr>
          <w:rFonts w:ascii="Times New Roman" w:hAnsi="Times New Roman"/>
          <w:color w:val="000000"/>
          <w:sz w:val="24"/>
        </w:rPr>
        <w:t>a.</w:t>
      </w:r>
    </w:p>
    <w:p>
      <w:pPr>
        <w:pStyle w:val="TextBody"/>
        <w:bidi w:val="0"/>
        <w:spacing w:before="4" w:after="283"/>
        <w:jc w:val="left"/>
        <w:rPr>
          <w:rFonts w:ascii="Times New Roman" w:hAnsi="Times New Roman"/>
          <w:color w:val="000000"/>
          <w:sz w:val="24"/>
        </w:rPr>
      </w:pPr>
      <w:r>
        <w:rPr>
          <w:rFonts w:ascii="Times New Roman" w:hAnsi="Times New Roman"/>
          <w:color w:val="000000"/>
          <w:sz w:val="24"/>
        </w:rPr>
        <w:t>Chair of the Audit Committee: $20,000</w:t>
      </w:r>
    </w:p>
    <w:p>
      <w:pPr>
        <w:pStyle w:val="TextBody"/>
        <w:bidi w:val="0"/>
        <w:spacing w:before="0" w:after="0"/>
        <w:ind w:left="864" w:right="0" w:hanging="0"/>
        <w:jc w:val="left"/>
        <w:rPr>
          <w:rFonts w:ascii="Times New Roman" w:hAnsi="Times New Roman"/>
          <w:color w:val="000000"/>
          <w:sz w:val="24"/>
        </w:rPr>
      </w:pPr>
      <w:r>
        <w:rPr>
          <w:rFonts w:ascii="Times New Roman" w:hAnsi="Times New Roman"/>
          <w:color w:val="000000"/>
          <w:sz w:val="24"/>
        </w:rPr>
        <w:t>b.</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Chair of the Compensation Committee: $15,000</w:t>
      </w:r>
    </w:p>
    <w:p>
      <w:pPr>
        <w:pStyle w:val="TextBody"/>
        <w:bidi w:val="0"/>
        <w:spacing w:before="2" w:after="283"/>
        <w:ind w:left="864" w:right="0" w:hanging="0"/>
        <w:jc w:val="left"/>
        <w:rPr>
          <w:rFonts w:ascii="Times New Roman" w:hAnsi="Times New Roman"/>
          <w:color w:val="000000"/>
          <w:sz w:val="24"/>
        </w:rPr>
      </w:pPr>
      <w:r>
        <w:rPr>
          <w:rFonts w:ascii="Times New Roman" w:hAnsi="Times New Roman"/>
          <w:color w:val="000000"/>
          <w:sz w:val="24"/>
        </w:rPr>
        <w:t>c.</w:t>
      </w:r>
    </w:p>
    <w:p>
      <w:pPr>
        <w:pStyle w:val="TextBody"/>
        <w:bidi w:val="0"/>
        <w:spacing w:before="2" w:after="283"/>
        <w:jc w:val="left"/>
        <w:rPr>
          <w:rFonts w:ascii="Times New Roman" w:hAnsi="Times New Roman"/>
          <w:color w:val="000000"/>
          <w:sz w:val="24"/>
        </w:rPr>
      </w:pPr>
      <w:r>
        <w:rPr>
          <w:rFonts w:ascii="Times New Roman" w:hAnsi="Times New Roman"/>
          <w:color w:val="000000"/>
          <w:sz w:val="24"/>
        </w:rPr>
        <w:t>Chair of the Nominating and Corporate Governance Committee: $10,000</w:t>
      </w:r>
    </w:p>
    <w:p>
      <w:pPr>
        <w:pStyle w:val="TextBody"/>
        <w:bidi w:val="0"/>
        <w:spacing w:before="135" w:after="283"/>
        <w:ind w:left="140" w:right="0" w:hanging="0"/>
        <w:jc w:val="left"/>
        <w:rPr>
          <w:rFonts w:ascii="Times New Roman" w:hAnsi="Times New Roman"/>
          <w:b/>
          <w:color w:val="000000"/>
          <w:sz w:val="24"/>
        </w:rPr>
      </w:pPr>
      <w:r>
        <w:rPr>
          <w:rFonts w:ascii="Times New Roman" w:hAnsi="Times New Roman"/>
          <w:b/>
          <w:color w:val="000000"/>
          <w:sz w:val="24"/>
        </w:rPr>
        <w:t>Equity Compensation</w:t>
      </w:r>
    </w:p>
    <w:p>
      <w:pPr>
        <w:pStyle w:val="TextBody"/>
        <w:bidi w:val="0"/>
        <w:spacing w:before="8" w:after="283"/>
        <w:jc w:val="left"/>
        <w:rPr/>
      </w:pPr>
      <w:r>
        <w:rPr/>
        <w:t> </w:t>
      </w:r>
    </w:p>
    <w:p>
      <w:pPr>
        <w:pStyle w:val="TextBody"/>
        <w:bidi w:val="0"/>
        <w:ind w:left="140" w:right="127" w:firstLine="720"/>
        <w:jc w:val="both"/>
        <w:rPr>
          <w:rFonts w:ascii="Times New Roman" w:hAnsi="Times New Roman"/>
          <w:sz w:val="20"/>
        </w:rPr>
      </w:pPr>
      <w:r>
        <w:rPr>
          <w:rFonts w:ascii="Times New Roman" w:hAnsi="Times New Roman"/>
          <w:color w:val="000000"/>
          <w:sz w:val="24"/>
        </w:rPr>
        <w:t>Equity awards will be granted under the Company’s 2019 Equity Incentive Plan, as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pPr>
      <w:r>
        <w:rPr/>
        <w:t> </w:t>
      </w:r>
    </w:p>
    <w:p>
      <w:pPr>
        <w:pStyle w:val="TextBody"/>
        <w:bidi w:val="0"/>
        <w:ind w:left="140" w:right="127" w:hanging="0"/>
        <w:jc w:val="both"/>
        <w:rPr>
          <w:rFonts w:ascii="Times New Roman" w:hAnsi="Times New Roman"/>
          <w:sz w:val="20"/>
        </w:rPr>
      </w:pPr>
      <w:r>
        <w:rPr>
          <w:rFonts w:ascii="Times New Roman" w:hAnsi="Times New Roman"/>
          <w:color w:val="000000"/>
          <w:sz w:val="24"/>
        </w:rPr>
        <w:t>amended from time to time, or any successor equity incentive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All stock options granted under the Director Compensation Policy will be Nonstatutory Stock Options (as defined in the Plan), with a term of ten years from the date of grant (subject to earlier termination upon a termination of the Non-Employee Director’s Continuous Service (as defined in the Plan)) and an exercise price per share equal to 100% of the Fair Market Value (as defined in the Plan) of a share of the Company’s common stock on the date of grant.</w:t>
      </w:r>
    </w:p>
    <w:p>
      <w:pPr>
        <w:pStyle w:val="TextBody"/>
        <w:bidi w:val="0"/>
        <w:spacing w:before="2" w:after="283"/>
        <w:jc w:val="left"/>
        <w:rPr/>
      </w:pPr>
      <w:r>
        <w:rPr/>
        <w:t> </w:t>
      </w:r>
    </w:p>
    <w:p>
      <w:pPr>
        <w:pStyle w:val="TextBody"/>
        <w:bidi w:val="0"/>
        <w:spacing w:before="0" w:after="0"/>
        <w:ind w:left="864" w:right="0" w:hanging="0"/>
        <w:jc w:val="left"/>
        <w:rPr>
          <w:rFonts w:ascii="Times New Roman" w:hAnsi="Times New Roman"/>
          <w:b/>
          <w:color w:val="000000"/>
          <w:sz w:val="24"/>
        </w:rPr>
      </w:pPr>
      <w:r>
        <w:rPr>
          <w:rFonts w:ascii="Times New Roman" w:hAnsi="Times New Roman"/>
          <w:b/>
          <w:color w:val="000000"/>
          <w:sz w:val="24"/>
        </w:rPr>
        <w:t>(a)</w:t>
      </w:r>
    </w:p>
    <w:p>
      <w:pPr>
        <w:pStyle w:val="TextBody"/>
        <w:bidi w:val="0"/>
        <w:jc w:val="left"/>
        <w:rPr>
          <w:rFonts w:ascii="Times New Roman" w:hAnsi="Times New Roman"/>
          <w:b/>
          <w:color w:val="000000"/>
          <w:sz w:val="24"/>
        </w:rPr>
      </w:pPr>
      <w:r>
        <w:rPr>
          <w:rFonts w:ascii="Times New Roman" w:hAnsi="Times New Roman"/>
          <w:b/>
          <w:color w:val="000000"/>
          <w:sz w:val="24"/>
        </w:rPr>
        <w:t>Automatic Equity Grants.</w:t>
      </w:r>
    </w:p>
    <w:p>
      <w:pPr>
        <w:pStyle w:val="TextBody"/>
        <w:bidi w:val="0"/>
        <w:spacing w:before="7" w:after="283"/>
        <w:jc w:val="left"/>
        <w:rPr/>
      </w:pPr>
      <w:r>
        <w:rPr/>
        <w:t> </w:t>
      </w:r>
    </w:p>
    <w:p>
      <w:pPr>
        <w:pStyle w:val="TextBody"/>
        <w:bidi w:val="0"/>
        <w:spacing w:before="1" w:after="283"/>
        <w:ind w:left="144" w:right="130" w:firstLine="1440"/>
        <w:jc w:val="both"/>
        <w:rPr>
          <w:rFonts w:ascii="Times New Roman" w:hAnsi="Times New Roman"/>
          <w:b/>
          <w:color w:val="000000"/>
          <w:sz w:val="24"/>
        </w:rPr>
      </w:pPr>
      <w:r>
        <w:rPr>
          <w:rFonts w:ascii="Times New Roman" w:hAnsi="Times New Roman"/>
          <w:b/>
          <w:color w:val="000000"/>
          <w:sz w:val="24"/>
        </w:rPr>
        <w:t>(i)</w:t>
      </w:r>
    </w:p>
    <w:p>
      <w:pPr>
        <w:pStyle w:val="TextBody"/>
        <w:bidi w:val="0"/>
        <w:spacing w:before="1" w:after="283"/>
        <w:jc w:val="both"/>
        <w:rPr/>
      </w:pPr>
      <w:r>
        <w:rPr>
          <w:rFonts w:ascii="Times New Roman" w:hAnsi="Times New Roman"/>
          <w:b/>
          <w:color w:val="000000"/>
          <w:sz w:val="24"/>
        </w:rPr>
        <w:t xml:space="preserve">Initial Grant for New Directors. </w:t>
      </w:r>
      <w:r>
        <w:rPr>
          <w:rFonts w:ascii="Times New Roman" w:hAnsi="Times New Roman"/>
          <w:color w:val="000000"/>
          <w:sz w:val="24"/>
        </w:rPr>
        <w:t>Without any further action of the Board, each person who is elected or appointed for the first time to be a Non-Employee Director will automatically, upon the date of his or her initial election or appointment to be a Non-Employee Director, be granted a Nonstatutory Stock Option to purchase 80,000 shares of the Company’s common stock (the “</w:t>
      </w:r>
      <w:r>
        <w:rPr>
          <w:rFonts w:ascii="Times New Roman" w:hAnsi="Times New Roman"/>
          <w:b/>
          <w:i/>
          <w:color w:val="000000"/>
          <w:sz w:val="24"/>
        </w:rPr>
        <w:t>Initial Option Grant</w:t>
      </w:r>
      <w:r>
        <w:rPr>
          <w:color w:val="000000"/>
        </w:rPr>
        <w:t>”</w:t>
      </w:r>
      <w:r>
        <w:rPr>
          <w:rFonts w:ascii="Times New Roman" w:hAnsi="Times New Roman"/>
          <w:color w:val="000000"/>
          <w:sz w:val="24"/>
        </w:rPr>
        <w:t>). Each Initial Grant will vest in a series of three successive equal annual installments over the three-year period measured from the date of grant, subject to the Non-Employee Director’s Continuous Service through each applicable vesting date.</w:t>
      </w:r>
    </w:p>
    <w:p>
      <w:pPr>
        <w:pStyle w:val="TextBody"/>
        <w:bidi w:val="0"/>
        <w:spacing w:before="8" w:after="283"/>
        <w:jc w:val="left"/>
        <w:rPr/>
      </w:pPr>
      <w:r>
        <w:rPr/>
        <w:t> </w:t>
      </w:r>
    </w:p>
    <w:p>
      <w:pPr>
        <w:pStyle w:val="TextBody"/>
        <w:bidi w:val="0"/>
        <w:spacing w:before="0" w:after="0"/>
        <w:ind w:left="144" w:right="130" w:firstLine="1440"/>
        <w:jc w:val="both"/>
        <w:rPr>
          <w:rFonts w:ascii="Times New Roman" w:hAnsi="Times New Roman"/>
          <w:b/>
          <w:color w:val="000000"/>
          <w:sz w:val="24"/>
        </w:rPr>
      </w:pPr>
      <w:r>
        <w:rPr>
          <w:rFonts w:ascii="Times New Roman" w:hAnsi="Times New Roman"/>
          <w:b/>
          <w:color w:val="000000"/>
          <w:sz w:val="24"/>
        </w:rPr>
        <w:t>(ii)</w:t>
      </w:r>
    </w:p>
    <w:p>
      <w:pPr>
        <w:pStyle w:val="TextBody"/>
        <w:bidi w:val="0"/>
        <w:jc w:val="both"/>
        <w:rPr/>
      </w:pPr>
      <w:r>
        <w:rPr>
          <w:rFonts w:ascii="Times New Roman" w:hAnsi="Times New Roman"/>
          <w:b/>
          <w:color w:val="000000"/>
          <w:sz w:val="24"/>
        </w:rPr>
        <w:t xml:space="preserve">Annual Grant. </w:t>
      </w:r>
      <w:r>
        <w:rPr>
          <w:rFonts w:ascii="Times New Roman" w:hAnsi="Times New Roman"/>
          <w:color w:val="000000"/>
          <w:sz w:val="24"/>
        </w:rPr>
        <w:t>Without any further action of the Board, at the close of business on the date of each annual meeting of the Company’s stockholders (each, an “</w:t>
      </w:r>
      <w:r>
        <w:rPr>
          <w:rFonts w:ascii="Times New Roman" w:hAnsi="Times New Roman"/>
          <w:b/>
          <w:i/>
          <w:color w:val="000000"/>
          <w:sz w:val="24"/>
        </w:rPr>
        <w:t>Annual Meeting</w:t>
      </w:r>
      <w:r>
        <w:rPr>
          <w:color w:val="000000"/>
        </w:rPr>
        <w:t>”</w:t>
      </w:r>
      <w:r>
        <w:rPr>
          <w:rFonts w:ascii="Times New Roman" w:hAnsi="Times New Roman"/>
          <w:color w:val="000000"/>
          <w:sz w:val="24"/>
        </w:rPr>
        <w:t>), each person who is then a Non-Employee Director will automatically be granted a Nonstatutory Stock Option to purchase 50,000 shares of the Company’s common stock (the “</w:t>
      </w:r>
      <w:r>
        <w:rPr>
          <w:rFonts w:ascii="Times New Roman" w:hAnsi="Times New Roman"/>
          <w:b/>
          <w:i/>
          <w:color w:val="000000"/>
          <w:sz w:val="24"/>
        </w:rPr>
        <w:t>Annual Option Grant</w:t>
      </w:r>
      <w:r>
        <w:rPr>
          <w:color w:val="000000"/>
        </w:rPr>
        <w:t>”</w:t>
      </w:r>
      <w:r>
        <w:rPr>
          <w:rFonts w:ascii="Times New Roman" w:hAnsi="Times New Roman"/>
          <w:color w:val="000000"/>
          <w:sz w:val="24"/>
        </w:rPr>
        <w:t>). Each Annual Grant will vest upon the earlier of the one (1) year anniversary of the grant date or the day prior to the Company’s next Annual Meeting occurring after the grant date, subject to the Non-Employee Director’s Continuous Service through the vesting date.</w:t>
      </w:r>
    </w:p>
    <w:p>
      <w:pPr>
        <w:pStyle w:val="TextBody"/>
        <w:bidi w:val="0"/>
        <w:spacing w:before="11" w:after="283"/>
        <w:jc w:val="left"/>
        <w:rPr/>
      </w:pPr>
      <w:r>
        <w:rPr/>
        <w:t> </w:t>
      </w:r>
    </w:p>
    <w:p>
      <w:pPr>
        <w:pStyle w:val="TextBody"/>
        <w:bidi w:val="0"/>
        <w:spacing w:before="0" w:after="0"/>
        <w:ind w:left="144" w:right="130" w:firstLine="720"/>
        <w:jc w:val="both"/>
        <w:rPr>
          <w:rFonts w:ascii="Times New Roman" w:hAnsi="Times New Roman"/>
          <w:b/>
          <w:color w:val="000000"/>
          <w:sz w:val="24"/>
        </w:rPr>
      </w:pPr>
      <w:r>
        <w:rPr>
          <w:rFonts w:ascii="Times New Roman" w:hAnsi="Times New Roman"/>
          <w:b/>
          <w:color w:val="000000"/>
          <w:sz w:val="24"/>
        </w:rPr>
        <w:t>(b)</w:t>
      </w:r>
    </w:p>
    <w:p>
      <w:pPr>
        <w:pStyle w:val="TextBody"/>
        <w:bidi w:val="0"/>
        <w:jc w:val="both"/>
        <w:rPr/>
      </w:pPr>
      <w:r>
        <w:rPr>
          <w:rFonts w:ascii="Times New Roman" w:hAnsi="Times New Roman"/>
          <w:b/>
          <w:color w:val="000000"/>
          <w:sz w:val="24"/>
        </w:rPr>
        <w:t xml:space="preserve">Change in Control. </w:t>
      </w:r>
      <w:r>
        <w:rPr>
          <w:rFonts w:ascii="Times New Roman" w:hAnsi="Times New Roman"/>
          <w:color w:val="000000"/>
          <w:sz w:val="24"/>
        </w:rPr>
        <w:t>Notwithstanding the foregoing vesting schedules, for each Non-Employee Director who remains in Continuous Service with the Company until immediately prior to the closing of a Change in Control (as defined in the Plan), the shares subject to his or her then-outstanding equity awards that were granted pursuant to the Director Compensation Policy will become fully vested immediately prior to the closing of such Change in Control.</w:t>
      </w:r>
    </w:p>
    <w:p>
      <w:pPr>
        <w:pStyle w:val="TextBody"/>
        <w:bidi w:val="0"/>
        <w:spacing w:before="1" w:after="283"/>
        <w:jc w:val="left"/>
        <w:rPr/>
      </w:pPr>
      <w:r>
        <w:rPr/>
        <w:t> </w:t>
      </w:r>
    </w:p>
    <w:p>
      <w:pPr>
        <w:pStyle w:val="TextBody"/>
        <w:bidi w:val="0"/>
        <w:spacing w:before="1" w:after="283"/>
        <w:ind w:left="144" w:right="130" w:firstLine="72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1" w:after="283"/>
        <w:jc w:val="both"/>
        <w:rPr/>
      </w:pPr>
      <w:r>
        <w:rPr>
          <w:rFonts w:ascii="Times New Roman" w:hAnsi="Times New Roman"/>
          <w:b/>
          <w:color w:val="000000"/>
          <w:sz w:val="24"/>
        </w:rPr>
        <w:t xml:space="preserve">Remaining Terms. </w:t>
      </w:r>
      <w:r>
        <w:rPr>
          <w:rFonts w:ascii="Times New Roman" w:hAnsi="Times New Roman"/>
          <w:color w:val="000000"/>
          <w:sz w:val="24"/>
        </w:rPr>
        <w:t>The remaining terms and conditions of each stock option or RSU award, including transferability, will be as set forth in the Company’s standard Option or RSU award agreement, each in the form adopted from time to time by the Board, except that the post-termination exercise period for each stock option granted pursuant to the Director Compensation Policy shall equal the lesser of (i) 36 months from the date of termination of the Non-Employee Director’s Continuous Service for any reason other than removal with cause by a vote of the stockholders in accordance with the Company’s bylaws and (ii) the remaining period of the applicable stock option’s ten-year term.</w:t>
      </w:r>
    </w:p>
    <w:p>
      <w:pPr>
        <w:pStyle w:val="TextBody"/>
        <w:bidi w:val="0"/>
        <w:spacing w:before="1" w:after="283"/>
        <w:ind w:left="0" w:right="130" w:hanging="0"/>
        <w:jc w:val="both"/>
        <w:rPr/>
      </w:pPr>
      <w:r>
        <w:rPr/>
        <w:t> </w:t>
      </w:r>
    </w:p>
    <w:p>
      <w:pPr>
        <w:pStyle w:val="TextBody"/>
        <w:bidi w:val="0"/>
        <w:spacing w:before="1" w:after="283"/>
        <w:ind w:left="0" w:right="130" w:hanging="0"/>
        <w:jc w:val="both"/>
        <w:rPr/>
      </w:pPr>
      <w:r>
        <w:rPr/>
        <w:t> </w:t>
      </w:r>
    </w:p>
    <w:p>
      <w:pPr>
        <w:pStyle w:val="TextBody"/>
        <w:bidi w:val="0"/>
        <w:spacing w:before="1" w:after="283"/>
        <w:ind w:left="0" w:right="130" w:hanging="0"/>
        <w:jc w:val="both"/>
        <w:rPr/>
      </w:pPr>
      <w:r>
        <w:rPr/>
        <w:t> </w:t>
      </w:r>
    </w:p>
    <w:p>
      <w:pPr>
        <w:pStyle w:val="TextBody"/>
        <w:bidi w:val="0"/>
        <w:spacing w:before="10" w:after="283"/>
        <w:jc w:val="left"/>
        <w:rPr/>
      </w:pPr>
      <w:r>
        <w:rPr/>
        <w:t> </w:t>
      </w:r>
    </w:p>
    <w:p>
      <w:pPr>
        <w:pStyle w:val="TextBody"/>
        <w:bidi w:val="0"/>
        <w:ind w:left="140" w:right="0" w:hanging="0"/>
        <w:jc w:val="left"/>
        <w:rPr>
          <w:rFonts w:ascii="Times New Roman" w:hAnsi="Times New Roman"/>
          <w:b/>
          <w:color w:val="000000"/>
          <w:sz w:val="24"/>
        </w:rPr>
      </w:pPr>
      <w:r>
        <w:rPr>
          <w:rFonts w:ascii="Times New Roman" w:hAnsi="Times New Roman"/>
          <w:b/>
          <w:color w:val="000000"/>
          <w:sz w:val="24"/>
        </w:rPr>
        <w:t>Expenses</w:t>
      </w:r>
    </w:p>
    <w:p>
      <w:pPr>
        <w:pStyle w:val="TextBody"/>
        <w:bidi w:val="0"/>
        <w:spacing w:before="77" w:after="283"/>
        <w:ind w:left="140" w:right="133" w:firstLine="720"/>
        <w:jc w:val="both"/>
        <w:rPr>
          <w:rFonts w:ascii="Times New Roman" w:hAnsi="Times New Roman"/>
          <w:sz w:val="20"/>
        </w:rPr>
      </w:pPr>
      <w:r>
        <w:rPr>
          <w:rFonts w:ascii="Times New Roman" w:hAnsi="Times New Roman"/>
          <w:color w:val="000000"/>
          <w:sz w:val="24"/>
        </w:rPr>
        <w:t>The Company will reimburse Non-Employee Directors for ordinary, necessary and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right"/>
        <w:rPr/>
      </w:pPr>
      <w:r>
        <w:rPr/>
        <w:t> </w:t>
      </w:r>
    </w:p>
    <w:p>
      <w:pPr>
        <w:pStyle w:val="TextBody"/>
        <w:bidi w:val="0"/>
        <w:spacing w:before="77" w:after="283"/>
        <w:ind w:left="140" w:right="133" w:hanging="0"/>
        <w:jc w:val="both"/>
        <w:rPr>
          <w:rFonts w:ascii="Times New Roman" w:hAnsi="Times New Roman"/>
          <w:sz w:val="20"/>
        </w:rPr>
      </w:pPr>
      <w:r>
        <w:rPr>
          <w:rFonts w:ascii="Times New Roman" w:hAnsi="Times New Roman"/>
          <w:color w:val="000000"/>
          <w:sz w:val="24"/>
        </w:rPr>
        <w:t xml:space="preserve">reasonable out-of-pocket travel expenses to cover in-person attendance at and participation in Board and committee meetings; </w:t>
      </w:r>
      <w:r>
        <w:rPr>
          <w:rFonts w:ascii="Times New Roman" w:hAnsi="Times New Roman"/>
          <w:i/>
          <w:color w:val="000000"/>
          <w:sz w:val="24"/>
        </w:rPr>
        <w:t>provided</w:t>
      </w:r>
      <w:r>
        <w:rPr>
          <w:rFonts w:ascii="Times New Roman" w:hAnsi="Times New Roman"/>
          <w:color w:val="000000"/>
          <w:sz w:val="24"/>
        </w:rPr>
        <w:t>, that the Non-Employee Director timely submits to the Company appropriate documentation substantiating such expenses in accordance with the Company’s travel and expense policy, as in effect from time to time.</w:t>
      </w:r>
    </w:p>
    <w:p>
      <w:pPr>
        <w:pStyle w:val="TextBody"/>
        <w:bidi w:val="0"/>
        <w:jc w:val="left"/>
        <w:rPr/>
      </w:pPr>
      <w:r>
        <w:rPr/>
        <w:t> </w:t>
      </w:r>
    </w:p>
    <w:p>
      <w:pPr>
        <w:pStyle w:val="TextBody"/>
        <w:bidi w:val="0"/>
        <w:spacing w:before="1" w:after="283"/>
        <w:ind w:left="140" w:right="0" w:hanging="0"/>
        <w:jc w:val="left"/>
        <w:rPr>
          <w:rFonts w:ascii="Times New Roman" w:hAnsi="Times New Roman"/>
          <w:b/>
          <w:color w:val="000000"/>
          <w:sz w:val="24"/>
        </w:rPr>
      </w:pPr>
      <w:r>
        <w:rPr>
          <w:rFonts w:ascii="Times New Roman" w:hAnsi="Times New Roman"/>
          <w:b/>
          <w:color w:val="000000"/>
          <w:sz w:val="24"/>
        </w:rPr>
        <w:t>Non-Employee Director Compensation Limit</w:t>
      </w:r>
    </w:p>
    <w:p>
      <w:pPr>
        <w:pStyle w:val="TextBody"/>
        <w:bidi w:val="0"/>
        <w:spacing w:before="11" w:after="283"/>
        <w:jc w:val="left"/>
        <w:rPr/>
      </w:pPr>
      <w:r>
        <w:rPr/>
        <w:t> </w:t>
      </w:r>
    </w:p>
    <w:p>
      <w:pPr>
        <w:pStyle w:val="TextBody"/>
        <w:bidi w:val="0"/>
        <w:ind w:left="140" w:right="134" w:firstLine="720"/>
        <w:jc w:val="both"/>
        <w:rPr>
          <w:rFonts w:ascii="Times New Roman" w:hAnsi="Times New Roman"/>
          <w:color w:val="000000"/>
          <w:sz w:val="24"/>
        </w:rPr>
      </w:pPr>
      <w:r>
        <w:rPr>
          <w:rFonts w:ascii="Times New Roman" w:hAnsi="Times New Roman"/>
          <w:color w:val="000000"/>
          <w:sz w:val="24"/>
        </w:rPr>
        <w:t>Notwithstanding anything herein to the contrary, the cash compensation and equity compensation that each Non-Employee Director is entitled to receive under this Director Compensation Policy shall be subject to the limits set forth in Section 3(d) of the Plan.</w:t>
      </w:r>
    </w:p>
    <w:p>
      <w:pPr>
        <w:pStyle w:val="TextBody"/>
        <w:bidi w:val="0"/>
        <w:jc w:val="left"/>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psnl-ex31_1.htm"/>
      <w:bookmarkStart w:id="40" w:name="kspsnlex31_1"/>
      <w:bookmarkEnd w:id="39"/>
      <w:bookmarkEnd w:id="40"/>
      <w:r>
        <w:rPr/>
        <w:t> </w:t>
      </w:r>
      <w:r>
        <w:br w:type="page"/>
      </w:r>
    </w:p>
    <w:p>
      <w:pPr>
        <w:pStyle w:val="TextBody"/>
        <w:bidi w:val="0"/>
        <w:jc w:val="right"/>
        <w:rPr>
          <w:rFonts w:ascii="Arial" w:hAnsi="Arial"/>
          <w:b/>
          <w:color w:val="000000"/>
          <w:sz w:val="18"/>
        </w:rPr>
      </w:pPr>
      <w:r>
        <w:rPr>
          <w:rFonts w:ascii="Arial" w:hAnsi="Arial"/>
          <w:b/>
          <w:color w:val="000000"/>
          <w:sz w:val="18"/>
        </w:rPr>
        <w:t>Exhibit 31.1</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CERTIFICATION OF PRINCIPAL EXECUTIVE OFFICER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spacing w:before="240" w:after="283"/>
        <w:jc w:val="left"/>
        <w:rPr>
          <w:rFonts w:ascii="Arial" w:hAnsi="Arial"/>
          <w:color w:val="000000"/>
          <w:sz w:val="18"/>
        </w:rPr>
      </w:pPr>
      <w:r>
        <w:rPr>
          <w:rFonts w:ascii="Arial" w:hAnsi="Arial"/>
          <w:color w:val="000000"/>
          <w:sz w:val="18"/>
        </w:rPr>
        <w:t>I, Christopher Hall, certify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I have reviewed this Quarterly Report on Form 10-Q of Personalis, Inc.;</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18"/>
        </w:rPr>
      </w:pPr>
      <w:r>
        <w:rPr>
          <w:rFonts w:ascii="Arial" w:hAnsi="Arial"/>
          <w:color w:val="000000"/>
          <w:sz w:val="18"/>
        </w:rPr>
        <w:t>3.</w:t>
      </w:r>
    </w:p>
    <w:p>
      <w:pPr>
        <w:pStyle w:val="TextBody"/>
        <w:bidi w:val="0"/>
        <w:spacing w:before="240" w:after="283"/>
        <w:jc w:val="left"/>
        <w:rPr>
          <w:rFonts w:ascii="Arial" w:hAnsi="Arial"/>
          <w:color w:val="000000"/>
          <w:sz w:val="18"/>
        </w:rPr>
      </w:pPr>
      <w:r>
        <w:rPr>
          <w:rFonts w:ascii="Arial" w:hAnsi="Arial"/>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18"/>
        </w:rPr>
      </w:pPr>
      <w:r>
        <w:rPr>
          <w:rFonts w:ascii="Arial" w:hAnsi="Arial"/>
          <w:color w:val="000000"/>
          <w:sz w:val="18"/>
        </w:rPr>
        <w:t>4.</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18"/>
        </w:rPr>
      </w:pPr>
      <w:r>
        <w:rPr>
          <w:rFonts w:ascii="Arial" w:hAnsi="Arial"/>
          <w:color w:val="000000"/>
          <w:sz w:val="18"/>
        </w:rPr>
        <w:t>(c)</w:t>
      </w:r>
    </w:p>
    <w:p>
      <w:pPr>
        <w:pStyle w:val="TextBody"/>
        <w:bidi w:val="0"/>
        <w:spacing w:before="240" w:after="283"/>
        <w:jc w:val="left"/>
        <w:rPr>
          <w:rFonts w:ascii="Arial" w:hAnsi="Arial"/>
          <w:color w:val="000000"/>
          <w:sz w:val="18"/>
        </w:rPr>
      </w:pP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18"/>
        </w:rPr>
      </w:pPr>
      <w:r>
        <w:rPr>
          <w:rFonts w:ascii="Arial" w:hAnsi="Arial"/>
          <w:color w:val="000000"/>
          <w:sz w:val="18"/>
        </w:rPr>
        <w:t>(d)</w:t>
      </w:r>
    </w:p>
    <w:p>
      <w:pPr>
        <w:pStyle w:val="TextBody"/>
        <w:bidi w:val="0"/>
        <w:spacing w:before="240" w:after="283"/>
        <w:jc w:val="left"/>
        <w:rPr>
          <w:rFonts w:ascii="Arial" w:hAnsi="Arial"/>
          <w:color w:val="000000"/>
          <w:sz w:val="18"/>
        </w:rPr>
      </w:pP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18"/>
        </w:rPr>
      </w:pPr>
      <w:r>
        <w:rPr>
          <w:rFonts w:ascii="Arial" w:hAnsi="Arial"/>
          <w:color w:val="000000"/>
          <w:sz w:val="18"/>
        </w:rPr>
        <w:t>5.</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40" w:type="dxa"/>
        <w:jc w:val="left"/>
        <w:tblInd w:w="0" w:type="dxa"/>
        <w:tblLayout w:type="fixed"/>
        <w:tblCellMar>
          <w:top w:w="28" w:type="dxa"/>
          <w:left w:w="28" w:type="dxa"/>
          <w:bottom w:w="28" w:type="dxa"/>
          <w:right w:w="28" w:type="dxa"/>
        </w:tblCellMar>
      </w:tblPr>
      <w:tblGrid>
        <w:gridCol w:w="1606"/>
        <w:gridCol w:w="146"/>
        <w:gridCol w:w="361"/>
        <w:gridCol w:w="146"/>
        <w:gridCol w:w="318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Date: May 8, 2024</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81" w:type="dxa"/>
            <w:tcBorders/>
            <w:vAlign w:val="center"/>
          </w:tcPr>
          <w:p>
            <w:pPr>
              <w:pStyle w:val="TableContents"/>
              <w:bidi w:val="0"/>
              <w:spacing w:before="0" w:after="283"/>
              <w:jc w:val="left"/>
              <w:rPr/>
            </w:pPr>
            <w:r>
              <w:rPr/>
              <w:t> </w:t>
            </w:r>
          </w:p>
        </w:tc>
      </w:tr>
      <w:tr>
        <w:trPr/>
        <w:tc>
          <w:tcPr>
            <w:tcW w:w="1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146" w:type="dxa"/>
            <w:tcBorders/>
            <w:vAlign w:val="center"/>
          </w:tcPr>
          <w:p>
            <w:pPr>
              <w:pStyle w:val="TableContents"/>
              <w:bidi w:val="0"/>
              <w:spacing w:before="0" w:after="283"/>
              <w:jc w:val="left"/>
              <w:rPr/>
            </w:pPr>
            <w:r>
              <w:rPr/>
              <w:t> </w:t>
            </w:r>
          </w:p>
        </w:tc>
        <w:tc>
          <w:tcPr>
            <w:tcW w:w="318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Christopher Hall</w:t>
            </w:r>
          </w:p>
        </w:tc>
      </w:tr>
      <w:tr>
        <w:trPr/>
        <w:tc>
          <w:tcPr>
            <w:tcW w:w="1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8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Christopher Hall</w:t>
            </w:r>
          </w:p>
        </w:tc>
      </w:tr>
      <w:tr>
        <w:trPr/>
        <w:tc>
          <w:tcPr>
            <w:tcW w:w="1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8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President and Chief Executive Officer</w:t>
            </w:r>
          </w:p>
        </w:tc>
      </w:tr>
      <w:tr>
        <w:trPr/>
        <w:tc>
          <w:tcPr>
            <w:tcW w:w="1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81" w:type="dxa"/>
            <w:tcBorders/>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psnl-ex31_2.htm"/>
      <w:bookmarkStart w:id="42" w:name="kspsnlex31_2"/>
      <w:bookmarkEnd w:id="41"/>
      <w:bookmarkEnd w:id="42"/>
      <w:r>
        <w:rPr/>
        <w:t> </w:t>
      </w:r>
      <w:r>
        <w:br w:type="page"/>
      </w:r>
    </w:p>
    <w:p>
      <w:pPr>
        <w:pStyle w:val="TextBody"/>
        <w:bidi w:val="0"/>
        <w:jc w:val="right"/>
        <w:rPr>
          <w:rFonts w:ascii="Arial" w:hAnsi="Arial"/>
          <w:b/>
          <w:color w:val="000000"/>
          <w:sz w:val="18"/>
        </w:rPr>
      </w:pPr>
      <w:r>
        <w:rPr>
          <w:rFonts w:ascii="Arial" w:hAnsi="Arial"/>
          <w:b/>
          <w:color w:val="000000"/>
          <w:sz w:val="18"/>
        </w:rPr>
        <w:t>Exhibit 31.2</w:t>
      </w:r>
    </w:p>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CERTIFICATION OF PRINCIPAL FINANCIAL OFFICER PURSUANT TO</w:t>
      </w:r>
    </w:p>
    <w:p>
      <w:pPr>
        <w:pStyle w:val="TextBody"/>
        <w:bidi w:val="0"/>
        <w:jc w:val="center"/>
        <w:rPr>
          <w:rFonts w:ascii="Arial" w:hAnsi="Arial"/>
          <w:b/>
          <w:color w:val="000000"/>
          <w:sz w:val="18"/>
        </w:rPr>
      </w:pPr>
      <w:r>
        <w:rPr>
          <w:rFonts w:ascii="Arial" w:hAnsi="Arial"/>
          <w:b/>
          <w:color w:val="000000"/>
          <w:sz w:val="18"/>
        </w:rPr>
        <w:t>RULES 13a-14(a) AND 15d-14(a) UNDER THE SECURITIES EXCHANGE ACT OF 1934,</w:t>
      </w:r>
    </w:p>
    <w:p>
      <w:pPr>
        <w:pStyle w:val="TextBody"/>
        <w:bidi w:val="0"/>
        <w:jc w:val="center"/>
        <w:rPr>
          <w:rFonts w:ascii="Arial" w:hAnsi="Arial"/>
          <w:b/>
          <w:color w:val="000000"/>
          <w:sz w:val="18"/>
        </w:rPr>
      </w:pPr>
      <w:r>
        <w:rPr>
          <w:rFonts w:ascii="Arial" w:hAnsi="Arial"/>
          <w:b/>
          <w:color w:val="000000"/>
          <w:sz w:val="18"/>
        </w:rPr>
        <w:t>AS ADOPTED PURSUANT TO SECTION 302 OF THE SARBANES-OXLEY ACT OF 2002</w:t>
      </w:r>
    </w:p>
    <w:p>
      <w:pPr>
        <w:pStyle w:val="TextBody"/>
        <w:bidi w:val="0"/>
        <w:spacing w:before="240" w:after="283"/>
        <w:jc w:val="left"/>
        <w:rPr>
          <w:rFonts w:ascii="Arial" w:hAnsi="Arial"/>
          <w:color w:val="000000"/>
          <w:sz w:val="18"/>
        </w:rPr>
      </w:pPr>
      <w:r>
        <w:rPr>
          <w:rFonts w:ascii="Arial" w:hAnsi="Arial"/>
          <w:color w:val="000000"/>
          <w:sz w:val="18"/>
        </w:rPr>
        <w:t>I, Aaron Tachibana, certify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I have reviewed this Quarterly Report on Form 10-Q of Personalis, Inc.;</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Arial" w:hAnsi="Arial"/>
          <w:color w:val="000000"/>
          <w:sz w:val="18"/>
        </w:rPr>
      </w:pPr>
      <w:r>
        <w:rPr>
          <w:rFonts w:ascii="Arial" w:hAnsi="Arial"/>
          <w:color w:val="000000"/>
          <w:sz w:val="18"/>
        </w:rPr>
        <w:t>3.</w:t>
      </w:r>
    </w:p>
    <w:p>
      <w:pPr>
        <w:pStyle w:val="TextBody"/>
        <w:bidi w:val="0"/>
        <w:spacing w:before="240" w:after="283"/>
        <w:jc w:val="left"/>
        <w:rPr>
          <w:rFonts w:ascii="Arial" w:hAnsi="Arial"/>
          <w:color w:val="000000"/>
          <w:sz w:val="18"/>
        </w:rPr>
      </w:pPr>
      <w:r>
        <w:rPr>
          <w:rFonts w:ascii="Arial" w:hAnsi="Arial"/>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Arial" w:hAnsi="Arial"/>
          <w:color w:val="000000"/>
          <w:sz w:val="18"/>
        </w:rPr>
      </w:pPr>
      <w:r>
        <w:rPr>
          <w:rFonts w:ascii="Arial" w:hAnsi="Arial"/>
          <w:color w:val="000000"/>
          <w:sz w:val="18"/>
        </w:rPr>
        <w:t>4.</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Arial" w:hAnsi="Arial"/>
          <w:color w:val="000000"/>
          <w:sz w:val="18"/>
        </w:rPr>
      </w:pPr>
      <w:r>
        <w:rPr>
          <w:rFonts w:ascii="Arial" w:hAnsi="Arial"/>
          <w:color w:val="000000"/>
          <w:sz w:val="18"/>
        </w:rPr>
        <w:t>(c)</w:t>
      </w:r>
    </w:p>
    <w:p>
      <w:pPr>
        <w:pStyle w:val="TextBody"/>
        <w:bidi w:val="0"/>
        <w:spacing w:before="240" w:after="283"/>
        <w:jc w:val="left"/>
        <w:rPr>
          <w:rFonts w:ascii="Arial" w:hAnsi="Arial"/>
          <w:color w:val="000000"/>
          <w:sz w:val="18"/>
        </w:rPr>
      </w:pPr>
      <w:r>
        <w:rPr>
          <w:rFonts w:ascii="Arial" w:hAnsi="Arial"/>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Arial" w:hAnsi="Arial"/>
          <w:color w:val="000000"/>
          <w:sz w:val="18"/>
        </w:rPr>
      </w:pPr>
      <w:r>
        <w:rPr>
          <w:rFonts w:ascii="Arial" w:hAnsi="Arial"/>
          <w:color w:val="000000"/>
          <w:sz w:val="18"/>
        </w:rPr>
        <w:t>(d)</w:t>
      </w:r>
    </w:p>
    <w:p>
      <w:pPr>
        <w:pStyle w:val="TextBody"/>
        <w:bidi w:val="0"/>
        <w:spacing w:before="240" w:after="283"/>
        <w:jc w:val="left"/>
        <w:rPr>
          <w:rFonts w:ascii="Arial" w:hAnsi="Arial"/>
          <w:color w:val="000000"/>
          <w:sz w:val="18"/>
        </w:rPr>
      </w:pPr>
      <w:r>
        <w:rPr>
          <w:rFonts w:ascii="Arial" w:hAnsi="Arial"/>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Arial" w:hAnsi="Arial"/>
          <w:color w:val="000000"/>
          <w:sz w:val="18"/>
        </w:rPr>
      </w:pPr>
      <w:r>
        <w:rPr>
          <w:rFonts w:ascii="Arial" w:hAnsi="Arial"/>
          <w:color w:val="000000"/>
          <w:sz w:val="18"/>
        </w:rPr>
        <w:t>5.</w:t>
      </w:r>
    </w:p>
    <w:p>
      <w:pPr>
        <w:pStyle w:val="TextBody"/>
        <w:bidi w:val="0"/>
        <w:spacing w:before="240" w:after="283"/>
        <w:jc w:val="left"/>
        <w:rPr>
          <w:rFonts w:ascii="Arial" w:hAnsi="Arial"/>
          <w:color w:val="000000"/>
          <w:sz w:val="18"/>
        </w:rPr>
      </w:pPr>
      <w:r>
        <w:rPr>
          <w:rFonts w:ascii="Arial" w:hAnsi="Arial"/>
          <w:color w:val="000000"/>
          <w:sz w:val="18"/>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Arial" w:hAnsi="Arial"/>
          <w:color w:val="000000"/>
          <w:sz w:val="18"/>
        </w:rPr>
      </w:pPr>
      <w:r>
        <w:rPr>
          <w:rFonts w:ascii="Arial" w:hAnsi="Arial"/>
          <w:color w:val="000000"/>
          <w:sz w:val="18"/>
        </w:rPr>
        <w:t>(a)</w:t>
      </w:r>
    </w:p>
    <w:p>
      <w:pPr>
        <w:pStyle w:val="TextBody"/>
        <w:bidi w:val="0"/>
        <w:spacing w:before="240" w:after="283"/>
        <w:jc w:val="left"/>
        <w:rPr>
          <w:rFonts w:ascii="Arial" w:hAnsi="Arial"/>
          <w:color w:val="000000"/>
          <w:sz w:val="18"/>
        </w:rPr>
      </w:pPr>
      <w:r>
        <w:rPr>
          <w:rFonts w:ascii="Arial" w:hAnsi="Arial"/>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Arial" w:hAnsi="Arial"/>
          <w:color w:val="000000"/>
          <w:sz w:val="18"/>
        </w:rPr>
      </w:pPr>
      <w:r>
        <w:rPr>
          <w:rFonts w:ascii="Arial" w:hAnsi="Arial"/>
          <w:color w:val="000000"/>
          <w:sz w:val="18"/>
        </w:rPr>
        <w:t>(b)</w:t>
      </w:r>
    </w:p>
    <w:p>
      <w:pPr>
        <w:pStyle w:val="TextBody"/>
        <w:bidi w:val="0"/>
        <w:spacing w:before="240" w:after="283"/>
        <w:jc w:val="left"/>
        <w:rPr>
          <w:rFonts w:ascii="Arial" w:hAnsi="Arial"/>
          <w:color w:val="000000"/>
          <w:sz w:val="18"/>
        </w:rPr>
      </w:pPr>
      <w:r>
        <w:rPr>
          <w:rFonts w:ascii="Arial" w:hAnsi="Arial"/>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475" w:type="dxa"/>
        <w:jc w:val="left"/>
        <w:tblInd w:w="0" w:type="dxa"/>
        <w:tblLayout w:type="fixed"/>
        <w:tblCellMar>
          <w:top w:w="28" w:type="dxa"/>
          <w:left w:w="28" w:type="dxa"/>
          <w:bottom w:w="28" w:type="dxa"/>
          <w:right w:w="28" w:type="dxa"/>
        </w:tblCellMar>
      </w:tblPr>
      <w:tblGrid>
        <w:gridCol w:w="1606"/>
        <w:gridCol w:w="146"/>
        <w:gridCol w:w="361"/>
        <w:gridCol w:w="146"/>
        <w:gridCol w:w="421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606"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Date: May 8, 2024</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pPr>
            <w:r>
              <w:rPr/>
              <w:t> </w:t>
            </w:r>
          </w:p>
        </w:tc>
      </w:tr>
      <w:tr>
        <w:trPr/>
        <w:tc>
          <w:tcPr>
            <w:tcW w:w="1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146" w:type="dxa"/>
            <w:tcBorders/>
            <w:vAlign w:val="center"/>
          </w:tcPr>
          <w:p>
            <w:pPr>
              <w:pStyle w:val="TableContents"/>
              <w:bidi w:val="0"/>
              <w:spacing w:before="0" w:after="283"/>
              <w:jc w:val="left"/>
              <w:rPr/>
            </w:pPr>
            <w:r>
              <w:rPr/>
              <w:t> </w:t>
            </w:r>
          </w:p>
        </w:tc>
        <w:tc>
          <w:tcPr>
            <w:tcW w:w="42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Aaron Tachibana</w:t>
            </w:r>
          </w:p>
        </w:tc>
      </w:tr>
      <w:tr>
        <w:trPr/>
        <w:tc>
          <w:tcPr>
            <w:tcW w:w="1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Aaron Tachibana</w:t>
            </w:r>
          </w:p>
        </w:tc>
      </w:tr>
      <w:tr>
        <w:trPr/>
        <w:tc>
          <w:tcPr>
            <w:tcW w:w="1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Chief Financial Officer and Chief Operating Officer</w:t>
            </w:r>
          </w:p>
        </w:tc>
      </w:tr>
      <w:tr>
        <w:trPr/>
        <w:tc>
          <w:tcPr>
            <w:tcW w:w="16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216" w:type="dxa"/>
            <w:tcBorders/>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psnl-ex32_1.htm"/>
      <w:bookmarkStart w:id="44" w:name="kspsnlex32_1"/>
      <w:bookmarkEnd w:id="43"/>
      <w:bookmarkEnd w:id="44"/>
      <w:r>
        <w:rPr/>
        <w:t> </w:t>
      </w:r>
      <w:r>
        <w:br w:type="page"/>
      </w:r>
    </w:p>
    <w:tbl>
      <w:tblPr>
        <w:tblW w:w="1448" w:type="dxa"/>
        <w:jc w:val="left"/>
        <w:tblInd w:w="0" w:type="dxa"/>
        <w:tblLayout w:type="fixed"/>
        <w:tblCellMar>
          <w:top w:w="28" w:type="dxa"/>
          <w:left w:w="28" w:type="dxa"/>
          <w:bottom w:w="28" w:type="dxa"/>
          <w:right w:w="28" w:type="dxa"/>
        </w:tblCellMar>
      </w:tblPr>
      <w:tblGrid>
        <w:gridCol w:w="161"/>
        <w:gridCol w:w="146"/>
        <w:gridCol w:w="11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center"/>
              <w:rPr/>
            </w:pPr>
            <w:r>
              <w:rPr/>
              <w:t> </w:t>
            </w:r>
          </w:p>
        </w:tc>
        <w:tc>
          <w:tcPr>
            <w:tcW w:w="1141" w:type="dxa"/>
            <w:tcBorders/>
            <w:vAlign w:val="center"/>
          </w:tcPr>
          <w:p>
            <w:pPr>
              <w:pStyle w:val="TableContents"/>
              <w:bidi w:val="0"/>
              <w:spacing w:before="0" w:after="283"/>
              <w:jc w:val="right"/>
              <w:rPr>
                <w:rFonts w:ascii="Arial" w:hAnsi="Arial"/>
                <w:b/>
                <w:color w:val="000000"/>
                <w:sz w:val="18"/>
              </w:rPr>
            </w:pPr>
            <w:r>
              <w:rPr>
                <w:rFonts w:ascii="Arial" w:hAnsi="Arial"/>
                <w:b/>
                <w:color w:val="000000"/>
                <w:sz w:val="18"/>
              </w:rPr>
              <w:t>Exhibit 32.1</w:t>
            </w:r>
          </w:p>
        </w:tc>
      </w:tr>
    </w:tbl>
    <w:p>
      <w:pPr>
        <w:pStyle w:val="TextBody"/>
        <w:bidi w:val="0"/>
        <w:jc w:val="center"/>
        <w:rPr/>
      </w:pPr>
      <w:r>
        <w:rPr/>
        <w:t> </w:t>
      </w:r>
    </w:p>
    <w:p>
      <w:pPr>
        <w:pStyle w:val="TextBody"/>
        <w:bidi w:val="0"/>
        <w:spacing w:before="120" w:after="283"/>
        <w:jc w:val="center"/>
        <w:rPr>
          <w:rFonts w:ascii="Arial" w:hAnsi="Arial"/>
          <w:b/>
          <w:color w:val="000000"/>
          <w:sz w:val="18"/>
        </w:rPr>
      </w:pPr>
      <w:r>
        <w:rPr>
          <w:rFonts w:ascii="Arial" w:hAnsi="Arial"/>
          <w:b/>
          <w:color w:val="000000"/>
          <w:sz w:val="18"/>
        </w:rPr>
        <w:t>CERTIFICATION OF CHIEF EXECUTIVE OFFICER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of Personalis, Inc. (the “Company”) on Form 10-Q for the period ended March 31,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and</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5294" w:type="dxa"/>
        <w:jc w:val="left"/>
        <w:tblInd w:w="0" w:type="dxa"/>
        <w:tblLayout w:type="fixed"/>
        <w:tblCellMar>
          <w:top w:w="28" w:type="dxa"/>
          <w:left w:w="28" w:type="dxa"/>
          <w:bottom w:w="28" w:type="dxa"/>
          <w:right w:w="28" w:type="dxa"/>
        </w:tblCellMar>
      </w:tblPr>
      <w:tblGrid>
        <w:gridCol w:w="1606"/>
        <w:gridCol w:w="146"/>
        <w:gridCol w:w="361"/>
        <w:gridCol w:w="318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8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May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31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Christopher Hall</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Christopher Hall</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President and Chief Executive Officer</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psnl-ex32_2.htm"/>
      <w:bookmarkStart w:id="46" w:name="kspsnlex32_2"/>
      <w:bookmarkEnd w:id="45"/>
      <w:bookmarkEnd w:id="46"/>
      <w:r>
        <w:rPr/>
        <w:t> </w:t>
      </w:r>
      <w:r>
        <w:br w:type="page"/>
      </w:r>
    </w:p>
    <w:tbl>
      <w:tblPr>
        <w:tblW w:w="1448" w:type="dxa"/>
        <w:jc w:val="left"/>
        <w:tblInd w:w="0" w:type="dxa"/>
        <w:tblLayout w:type="fixed"/>
        <w:tblCellMar>
          <w:top w:w="28" w:type="dxa"/>
          <w:left w:w="28" w:type="dxa"/>
          <w:bottom w:w="28" w:type="dxa"/>
          <w:right w:w="28" w:type="dxa"/>
        </w:tblCellMar>
      </w:tblPr>
      <w:tblGrid>
        <w:gridCol w:w="161"/>
        <w:gridCol w:w="146"/>
        <w:gridCol w:w="114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141" w:type="dxa"/>
            <w:tcBorders/>
            <w:vAlign w:val="center"/>
          </w:tcPr>
          <w:p>
            <w:pPr>
              <w:pStyle w:val="TableContents"/>
              <w:bidi w:val="0"/>
              <w:spacing w:before="0" w:after="283"/>
              <w:jc w:val="right"/>
              <w:rPr>
                <w:rFonts w:ascii="Arial" w:hAnsi="Arial"/>
                <w:b/>
                <w:color w:val="000000"/>
                <w:sz w:val="18"/>
              </w:rPr>
            </w:pPr>
            <w:r>
              <w:rPr>
                <w:rFonts w:ascii="Arial" w:hAnsi="Arial"/>
                <w:b/>
                <w:color w:val="000000"/>
                <w:sz w:val="18"/>
              </w:rPr>
              <w:t>Exhibit 32.2</w:t>
            </w:r>
          </w:p>
        </w:tc>
      </w:tr>
    </w:tbl>
    <w:p>
      <w:pPr>
        <w:pStyle w:val="TextBody"/>
        <w:bidi w:val="0"/>
        <w:jc w:val="center"/>
        <w:rPr/>
      </w:pPr>
      <w:r>
        <w:rPr/>
        <w:t> </w:t>
      </w:r>
    </w:p>
    <w:p>
      <w:pPr>
        <w:pStyle w:val="TextBody"/>
        <w:bidi w:val="0"/>
        <w:spacing w:before="120" w:after="283"/>
        <w:jc w:val="center"/>
        <w:rPr>
          <w:rFonts w:ascii="Arial" w:hAnsi="Arial"/>
          <w:b/>
          <w:color w:val="000000"/>
          <w:sz w:val="18"/>
        </w:rPr>
      </w:pPr>
      <w:r>
        <w:rPr>
          <w:rFonts w:ascii="Arial" w:hAnsi="Arial"/>
          <w:b/>
          <w:color w:val="000000"/>
          <w:sz w:val="18"/>
        </w:rPr>
        <w:t>CERTIFICATION OF CHIEF FINANCIAL OFFICER PURSUANT TO</w:t>
      </w:r>
    </w:p>
    <w:p>
      <w:pPr>
        <w:pStyle w:val="TextBody"/>
        <w:bidi w:val="0"/>
        <w:jc w:val="center"/>
        <w:rPr>
          <w:rFonts w:ascii="Arial" w:hAnsi="Arial"/>
          <w:b/>
          <w:color w:val="000000"/>
          <w:sz w:val="18"/>
        </w:rPr>
      </w:pPr>
      <w:r>
        <w:rPr>
          <w:rFonts w:ascii="Arial" w:hAnsi="Arial"/>
          <w:b/>
          <w:color w:val="000000"/>
          <w:sz w:val="18"/>
        </w:rPr>
        <w:t>18 U.S.C. SECTION 1350, AS ADOPTED PURSUANT TO</w:t>
      </w:r>
    </w:p>
    <w:p>
      <w:pPr>
        <w:pStyle w:val="TextBody"/>
        <w:bidi w:val="0"/>
        <w:jc w:val="center"/>
        <w:rPr>
          <w:rFonts w:ascii="Arial" w:hAnsi="Arial"/>
          <w:b/>
          <w:color w:val="000000"/>
          <w:sz w:val="18"/>
        </w:rPr>
      </w:pPr>
      <w:r>
        <w:rPr>
          <w:rFonts w:ascii="Arial" w:hAnsi="Arial"/>
          <w:b/>
          <w:color w:val="000000"/>
          <w:sz w:val="18"/>
        </w:rPr>
        <w:t>SECTION 906 OF THE SARBANES-OXLEY ACT OF 2002</w:t>
      </w:r>
    </w:p>
    <w:p>
      <w:pPr>
        <w:pStyle w:val="TextBody"/>
        <w:bidi w:val="0"/>
        <w:spacing w:before="240" w:after="283"/>
        <w:jc w:val="left"/>
        <w:rPr>
          <w:rFonts w:ascii="Arial" w:hAnsi="Arial"/>
          <w:color w:val="000000"/>
          <w:sz w:val="18"/>
        </w:rPr>
      </w:pPr>
      <w:r>
        <w:rPr>
          <w:rFonts w:ascii="Arial" w:hAnsi="Arial"/>
          <w:color w:val="000000"/>
          <w:sz w:val="18"/>
        </w:rPr>
        <w:t>In connection with the Quarterly Report of Personalis, Inc. (the “Company”) on Form 10-Q for the period ended March 31, 2024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Arial" w:hAnsi="Arial"/>
          <w:color w:val="000000"/>
          <w:sz w:val="18"/>
        </w:rPr>
      </w:pPr>
      <w:r>
        <w:rPr>
          <w:rFonts w:ascii="Arial" w:hAnsi="Arial"/>
          <w:color w:val="000000"/>
          <w:sz w:val="18"/>
        </w:rPr>
        <w:t>(1)</w:t>
      </w:r>
    </w:p>
    <w:p>
      <w:pPr>
        <w:pStyle w:val="TextBody"/>
        <w:bidi w:val="0"/>
        <w:spacing w:before="240" w:after="283"/>
        <w:jc w:val="left"/>
        <w:rPr>
          <w:rFonts w:ascii="Arial" w:hAnsi="Arial"/>
          <w:color w:val="000000"/>
          <w:sz w:val="18"/>
        </w:rPr>
      </w:pPr>
      <w:r>
        <w:rPr>
          <w:rFonts w:ascii="Arial" w:hAnsi="Arial"/>
          <w:color w:val="000000"/>
          <w:sz w:val="18"/>
        </w:rPr>
        <w:t>The Report fully complies with the requirements of Section 13(a) or 15(d) of the Securities Exchange Act of 1934; and</w:t>
      </w:r>
    </w:p>
    <w:p>
      <w:pPr>
        <w:pStyle w:val="TextBody"/>
        <w:bidi w:val="0"/>
        <w:spacing w:before="240" w:after="283"/>
        <w:jc w:val="left"/>
        <w:rPr>
          <w:rFonts w:ascii="Arial" w:hAnsi="Arial"/>
          <w:color w:val="000000"/>
          <w:sz w:val="18"/>
        </w:rPr>
      </w:pPr>
      <w:r>
        <w:rPr>
          <w:rFonts w:ascii="Arial" w:hAnsi="Arial"/>
          <w:color w:val="000000"/>
          <w:sz w:val="18"/>
        </w:rPr>
        <w:t>(2)</w:t>
      </w:r>
    </w:p>
    <w:p>
      <w:pPr>
        <w:pStyle w:val="TextBody"/>
        <w:bidi w:val="0"/>
        <w:spacing w:before="240" w:after="283"/>
        <w:jc w:val="left"/>
        <w:rPr>
          <w:rFonts w:ascii="Arial" w:hAnsi="Arial"/>
          <w:color w:val="000000"/>
          <w:sz w:val="18"/>
        </w:rPr>
      </w:pPr>
      <w:r>
        <w:rPr>
          <w:rFonts w:ascii="Arial" w:hAnsi="Arial"/>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6329" w:type="dxa"/>
        <w:jc w:val="left"/>
        <w:tblInd w:w="0" w:type="dxa"/>
        <w:tblLayout w:type="fixed"/>
        <w:tblCellMar>
          <w:top w:w="28" w:type="dxa"/>
          <w:left w:w="28" w:type="dxa"/>
          <w:bottom w:w="28" w:type="dxa"/>
          <w:right w:w="28" w:type="dxa"/>
        </w:tblCellMar>
      </w:tblPr>
      <w:tblGrid>
        <w:gridCol w:w="1606"/>
        <w:gridCol w:w="146"/>
        <w:gridCol w:w="361"/>
        <w:gridCol w:w="4216"/>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Date: May 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By:</w:t>
            </w:r>
          </w:p>
        </w:tc>
        <w:tc>
          <w:tcPr>
            <w:tcW w:w="42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 Aaron Tachibana</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Aaron Tachibana</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Chief Financial Officer and Chief Operating Officer</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27753/000119312519180246/d750323dex31.htm" TargetMode="External"/><Relationship Id="rId4" Type="http://schemas.openxmlformats.org/officeDocument/2006/relationships/hyperlink" Target="https://www.sec.gov/Archives/edgar/data/1527753/000095017022020631/psnl-ex3_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58153</Words>
  <Characters>321969</Characters>
  <CharactersWithSpaces>380098</CharactersWithSpaces>
  <Paragraphs>5096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