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00" w:hanging="492"/>
        <w:spacing w:after="0" w:line="180" w:lineRule="auto"/>
        <w:tabs>
          <w:tab w:leader="none" w:pos="500" w:val="left"/>
        </w:tabs>
        <w:numPr>
          <w:ilvl w:val="0"/>
          <w:numId w:val="1"/>
        </w:numPr>
        <w:rPr>
          <w:rFonts w:ascii="MS PGothic" w:cs="MS PGothic" w:eastAsia="MS PGothic" w:hAnsi="MS PGothic"/>
          <w:sz w:val="30"/>
          <w:szCs w:val="30"/>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-113030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Personalis,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27-5411038</w:t>
            </w:r>
          </w:p>
        </w:tc>
      </w:tr>
      <w:tr>
        <w:trPr>
          <w:trHeight w:val="135"/>
        </w:trPr>
        <w:tc>
          <w:tcPr>
            <w:tcW w:w="4260" w:type="dxa"/>
            <w:vAlign w:val="bottom"/>
          </w:tcPr>
          <w:p>
            <w:pPr>
              <w:jc w:val="center"/>
              <w:ind w:right="192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89"/>
              </w:rPr>
              <w:t>Identification No.)</w:t>
            </w:r>
          </w:p>
        </w:tc>
      </w:tr>
      <w:tr>
        <w:trPr>
          <w:trHeight w:val="308"/>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4"/>
              </w:rPr>
              <w:t>1330 O’Brien Drive</w:t>
            </w:r>
          </w:p>
        </w:tc>
        <w:tc>
          <w:tcPr>
            <w:tcW w:w="2980" w:type="dxa"/>
            <w:vAlign w:val="bottom"/>
          </w:tcPr>
          <w:p>
            <w:pPr>
              <w:spacing w:after="0"/>
              <w:rPr>
                <w:sz w:val="24"/>
                <w:szCs w:val="24"/>
                <w:color w:val="auto"/>
              </w:rPr>
            </w:pPr>
          </w:p>
        </w:tc>
      </w:tr>
      <w:tr>
        <w:trPr>
          <w:trHeight w:val="216"/>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3"/>
              </w:rPr>
              <w:t>Menlo Park, California 94025</w:t>
            </w:r>
          </w:p>
        </w:tc>
        <w:tc>
          <w:tcPr>
            <w:tcW w:w="2980" w:type="dxa"/>
            <w:vAlign w:val="bottom"/>
          </w:tcPr>
          <w:p>
            <w:pPr>
              <w:jc w:val="right"/>
              <w:ind w:right="186"/>
              <w:spacing w:after="0"/>
              <w:rPr>
                <w:sz w:val="20"/>
                <w:szCs w:val="20"/>
                <w:color w:val="auto"/>
              </w:rPr>
            </w:pPr>
            <w:r>
              <w:rPr>
                <w:rFonts w:ascii="Arial" w:cs="Arial" w:eastAsia="Arial" w:hAnsi="Arial"/>
                <w:sz w:val="18"/>
                <w:szCs w:val="18"/>
                <w:b w:val="1"/>
                <w:bCs w:val="1"/>
                <w:color w:val="auto"/>
              </w:rPr>
              <w:t>94025</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6"/>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Trading</w:t>
            </w:r>
          </w:p>
        </w:tc>
        <w:tc>
          <w:tcPr>
            <w:tcW w:w="4380" w:type="dxa"/>
            <w:vAlign w:val="bottom"/>
          </w:tcPr>
          <w:p>
            <w:pPr>
              <w:spacing w:after="0"/>
              <w:rPr>
                <w:sz w:val="24"/>
                <w:szCs w:val="24"/>
                <w:color w:val="auto"/>
              </w:rPr>
            </w:pPr>
          </w:p>
        </w:tc>
      </w:tr>
      <w:tr>
        <w:trPr>
          <w:trHeight w:val="213"/>
        </w:trPr>
        <w:tc>
          <w:tcPr>
            <w:tcW w:w="4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Symbol(s)</w:t>
            </w:r>
          </w:p>
        </w:tc>
        <w:tc>
          <w:tcPr>
            <w:tcW w:w="4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PSNL</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08"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6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2020, the registrant had 31,884,556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18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404"/>
        </w:trPr>
        <w:tc>
          <w:tcPr>
            <w:tcW w:w="8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30"/>
        </w:trPr>
        <w:tc>
          <w:tcPr>
            <w:tcW w:w="840" w:type="dxa"/>
            <w:vAlign w:val="bottom"/>
          </w:tcPr>
          <w:p>
            <w:pPr>
              <w:spacing w:after="0"/>
              <w:rPr>
                <w:sz w:val="20"/>
                <w:szCs w:val="20"/>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Condensed Consolidated Statements of Redeemable Convertible Preferred Stock and Stockholders’ Equity (Deficit)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40" w:type="dxa"/>
            <w:vAlign w:val="bottom"/>
          </w:tcPr>
          <w:p>
            <w:pPr>
              <w:spacing w:after="0"/>
              <w:rPr>
                <w:sz w:val="19"/>
                <w:szCs w:val="19"/>
                <w:color w:val="auto"/>
              </w:rPr>
            </w:pPr>
          </w:p>
        </w:tc>
        <w:tc>
          <w:tcPr>
            <w:tcW w:w="9180" w:type="dxa"/>
            <w:vAlign w:val="bottom"/>
          </w:tcPr>
          <w:p>
            <w:pPr>
              <w:ind w:left="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45"/>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8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Unregistered Sales of Equity Securities and Use of Proceeds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Defaults Upon Senior Securities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Mine Safety Disclosures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tcPr>
          <w:p>
            <w:pPr>
              <w:ind w:left="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72">
              <w:r>
                <w:rPr>
                  <w:rFonts w:ascii="Arial" w:cs="Arial" w:eastAsia="Arial" w:hAnsi="Arial"/>
                  <w:sz w:val="18"/>
                  <w:szCs w:val="18"/>
                  <w:u w:val="single" w:color="auto"/>
                  <w:color w:val="0000EE"/>
                  <w:w w:val="95"/>
                </w:rPr>
                <w:t>Signatures</w:t>
              </w:r>
            </w:hyperlink>
          </w:p>
        </w:tc>
        <w:tc>
          <w:tcPr>
            <w:tcW w:w="9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648"/>
        </w:trPr>
        <w:tc>
          <w:tcPr>
            <w:tcW w:w="840" w:type="dxa"/>
            <w:vAlign w:val="bottom"/>
          </w:tcPr>
          <w:p>
            <w:pPr>
              <w:spacing w:after="0"/>
              <w:rPr>
                <w:sz w:val="24"/>
                <w:szCs w:val="24"/>
                <w:color w:val="auto"/>
              </w:rPr>
            </w:pPr>
          </w:p>
        </w:tc>
        <w:tc>
          <w:tcPr>
            <w:tcW w:w="9180" w:type="dxa"/>
            <w:vAlign w:val="bottom"/>
          </w:tcPr>
          <w:p>
            <w:pPr>
              <w:ind w:left="474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9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73"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cancer therapies and market adoption of our services;</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115"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126"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relationship with the U.S. Department of Veterans Affairs’ Million Veteran Program;</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approval of personalized cancer therapies by the Food and Drug Administration may drive benefits to our business; and</w:t>
      </w:r>
    </w:p>
    <w:p>
      <w:pPr>
        <w:spacing w:after="0" w:line="115"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w:t>
      </w:r>
    </w:p>
    <w:p>
      <w:pPr>
        <w:spacing w:after="0" w:line="13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25,042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55,046</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80,191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73,243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5,375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Inventory and other deferred costs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6,524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2,989</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120,121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139,578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12,650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10,991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1,760</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145,522</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157,291</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7,491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6,594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28,952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35,977</w:t>
            </w: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43,037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49,962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9,233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52,399</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50,601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Preferred stock, $0.0001 par value — 10,000,000 shares authorized; none issued</w:t>
            </w:r>
          </w:p>
        </w:tc>
        <w:tc>
          <w:tcPr>
            <w:tcW w:w="3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2"/>
              </w:rPr>
              <w:t>Common stock, $0.0001 par value — 200,000,000 shares authorized; 31,872,122 and 31,243,029</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shares issued and outstanding at June 30, 2020 and December 31, 2019, respectively</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251,997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247,282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(158,983)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(140,589)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93,123</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106,690</w:t>
            </w: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145,522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157,291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19,495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15,825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38,656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29,900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14,823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9,923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29,945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6,465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12,855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7,705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14,979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28,993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19,886</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57,779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39,392</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(11,550)</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9"/>
              </w:rPr>
              <w:t>31,731,628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6,597,007</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9"/>
              </w:rPr>
              <w:t>31,538,329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4,853,325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Change in unrealized gain on available-for-sale debt securities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19"/>
                <w:szCs w:val="19"/>
                <w:color w:val="auto"/>
              </w:rPr>
            </w:pPr>
          </w:p>
        </w:tc>
        <w:tc>
          <w:tcPr>
            <w:tcW w:w="13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89"/>
              </w:rPr>
              <w:t>Redeemable</w:t>
            </w:r>
          </w:p>
        </w:tc>
        <w:tc>
          <w:tcPr>
            <w:tcW w:w="5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040" w:type="dxa"/>
            <w:vAlign w:val="bottom"/>
          </w:tcPr>
          <w:p>
            <w:pPr>
              <w:spacing w:after="0"/>
              <w:rPr>
                <w:sz w:val="14"/>
                <w:szCs w:val="14"/>
                <w:color w:val="auto"/>
              </w:rPr>
            </w:pPr>
          </w:p>
        </w:tc>
        <w:tc>
          <w:tcPr>
            <w:tcW w:w="13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6"/>
              </w:rPr>
              <w:t>Convertible</w:t>
            </w: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r>
      <w:tr>
        <w:trPr>
          <w:trHeight w:val="171"/>
        </w:trPr>
        <w:tc>
          <w:tcPr>
            <w:tcW w:w="3040" w:type="dxa"/>
            <w:vAlign w:val="bottom"/>
          </w:tcPr>
          <w:p>
            <w:pPr>
              <w:spacing w:after="0"/>
              <w:rPr>
                <w:sz w:val="14"/>
                <w:szCs w:val="14"/>
                <w:color w:val="auto"/>
              </w:rPr>
            </w:pPr>
          </w:p>
        </w:tc>
        <w:tc>
          <w:tcPr>
            <w:tcW w:w="210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46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304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040" w:type="dxa"/>
            <w:vAlign w:val="bottom"/>
            <w:gridSpan w:val="2"/>
          </w:tcPr>
          <w:p>
            <w:pPr>
              <w:jc w:val="right"/>
              <w:ind w:right="341"/>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9"/>
              </w:rPr>
              <w:t>(Deficit)</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Balance—March 31, 2019</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18,474,742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89,404</w:t>
            </w:r>
          </w:p>
        </w:tc>
        <w:tc>
          <w:tcPr>
            <w:tcW w:w="22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3,166,316</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(121,190)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(110,523)</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Elimination of fractional shares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ind w:left="500"/>
              <w:spacing w:after="0"/>
              <w:rPr>
                <w:sz w:val="20"/>
                <w:szCs w:val="20"/>
                <w:color w:val="auto"/>
              </w:rPr>
            </w:pPr>
            <w:r>
              <w:rPr>
                <w:rFonts w:ascii="Arial" w:cs="Arial" w:eastAsia="Arial" w:hAnsi="Arial"/>
                <w:sz w:val="18"/>
                <w:szCs w:val="18"/>
                <w:color w:val="auto"/>
              </w:rPr>
              <w:t>upon reverse stock split (see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Note 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 of common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warrants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207,712</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0"/>
                <w:szCs w:val="20"/>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w w:val="97"/>
              </w:rPr>
              <w:t>Conversion of Series A, B and C</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ind w:left="500"/>
              <w:spacing w:after="0"/>
              <w:rPr>
                <w:sz w:val="20"/>
                <w:szCs w:val="20"/>
                <w:color w:val="auto"/>
              </w:rPr>
            </w:pPr>
            <w:r>
              <w:rPr>
                <w:rFonts w:ascii="Arial" w:cs="Arial" w:eastAsia="Arial" w:hAnsi="Arial"/>
                <w:sz w:val="18"/>
                <w:szCs w:val="18"/>
                <w:color w:val="auto"/>
                <w:w w:val="95"/>
              </w:rPr>
              <w:t>redeemable convertible preferred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stock to common stock</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(18,474,703)</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2"/>
              </w:rPr>
              <w:t>(89,404)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18,474,703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89,402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89,404</w:t>
            </w:r>
          </w:p>
        </w:tc>
        <w:tc>
          <w:tcPr>
            <w:tcW w:w="80" w:type="dxa"/>
            <w:vAlign w:val="bottom"/>
          </w:tcPr>
          <w:p>
            <w:pPr>
              <w:spacing w:after="0"/>
              <w:rPr>
                <w:sz w:val="20"/>
                <w:szCs w:val="20"/>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Conversion of redeemable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convertible preferred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warrants to common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warrants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FF0FC"/>
          </w:tcPr>
          <w:p>
            <w:pPr>
              <w:spacing w:after="0"/>
              <w:rPr>
                <w:sz w:val="20"/>
                <w:szCs w:val="20"/>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Proceeds from initial public</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offering, net of expenses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9,109,725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140,023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140,024</w:t>
            </w:r>
          </w:p>
        </w:tc>
        <w:tc>
          <w:tcPr>
            <w:tcW w:w="80" w:type="dxa"/>
            <w:vAlign w:val="bottom"/>
          </w:tcPr>
          <w:p>
            <w:pPr>
              <w:spacing w:after="0"/>
              <w:rPr>
                <w:sz w:val="20"/>
                <w:szCs w:val="20"/>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8"/>
              </w:rPr>
              <w:t>Proceeds from exercise of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163,183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20"/>
                <w:szCs w:val="20"/>
                <w:color w:val="auto"/>
              </w:rPr>
            </w:pPr>
          </w:p>
        </w:tc>
      </w:tr>
      <w:tr>
        <w:trPr>
          <w:trHeight w:val="229"/>
        </w:trPr>
        <w:tc>
          <w:tcPr>
            <w:tcW w:w="30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19"/>
                <w:szCs w:val="19"/>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304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(5,869)</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(5,869)</w:t>
            </w:r>
          </w:p>
        </w:tc>
      </w:tr>
      <w:tr>
        <w:trPr>
          <w:trHeight w:val="223"/>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31,121,605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244,089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(127,059</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3040" w:type="dxa"/>
            <w:vAlign w:val="bottom"/>
          </w:tcPr>
          <w:p>
            <w:pPr>
              <w:spacing w:after="0"/>
              <w:rPr>
                <w:sz w:val="20"/>
                <w:szCs w:val="20"/>
                <w:color w:val="auto"/>
              </w:rPr>
            </w:pPr>
            <w:r>
              <w:rPr>
                <w:rFonts w:ascii="Arial" w:cs="Arial" w:eastAsia="Arial" w:hAnsi="Arial"/>
                <w:sz w:val="18"/>
                <w:szCs w:val="18"/>
                <w:color w:val="auto"/>
              </w:rPr>
              <w:t>Balance—March 31, 2020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31,530,443</w:t>
            </w:r>
          </w:p>
        </w:tc>
        <w:tc>
          <w:tcPr>
            <w:tcW w:w="200" w:type="dxa"/>
            <w:vAlign w:val="bottom"/>
          </w:tcPr>
          <w:p>
            <w:pPr>
              <w:spacing w:after="0"/>
              <w:rPr>
                <w:sz w:val="24"/>
                <w:szCs w:val="24"/>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248,854</w:t>
            </w:r>
          </w:p>
        </w:tc>
        <w:tc>
          <w:tcPr>
            <w:tcW w:w="1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 (149,728)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99,202</w:t>
            </w:r>
          </w:p>
        </w:tc>
        <w:tc>
          <w:tcPr>
            <w:tcW w:w="80" w:type="dxa"/>
            <w:vAlign w:val="bottom"/>
          </w:tcPr>
          <w:p>
            <w:pPr>
              <w:spacing w:after="0"/>
              <w:rPr>
                <w:sz w:val="24"/>
                <w:szCs w:val="24"/>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8"/>
              </w:rPr>
              <w:t>Proceeds from exercise of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236,578</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FF0FC"/>
          </w:tcPr>
          <w:p>
            <w:pPr>
              <w:spacing w:after="0"/>
              <w:rPr>
                <w:sz w:val="20"/>
                <w:szCs w:val="20"/>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w w:val="99"/>
              </w:rPr>
              <w:t>Proceeds from Employee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Purchase Plan purchases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71,480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20"/>
                <w:szCs w:val="20"/>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stock units released</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Pr>
          <w:p>
            <w:pPr>
              <w:spacing w:after="0"/>
              <w:rPr>
                <w:sz w:val="19"/>
                <w:szCs w:val="19"/>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w w:val="97"/>
              </w:rPr>
              <w:t>Unrealized gain on available-for-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sale debt securities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(9,255)</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(9,255)</w:t>
            </w: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Balance—June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31,872,122</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251,997</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(158,983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93,123</w:t>
            </w:r>
          </w:p>
        </w:tc>
        <w:tc>
          <w:tcPr>
            <w:tcW w:w="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19"/>
                <w:szCs w:val="19"/>
                <w:color w:val="auto"/>
              </w:rPr>
            </w:pPr>
          </w:p>
        </w:tc>
        <w:tc>
          <w:tcPr>
            <w:tcW w:w="13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89"/>
              </w:rPr>
              <w:t>Redeemable</w:t>
            </w:r>
          </w:p>
        </w:tc>
        <w:tc>
          <w:tcPr>
            <w:tcW w:w="5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040" w:type="dxa"/>
            <w:vAlign w:val="bottom"/>
          </w:tcPr>
          <w:p>
            <w:pPr>
              <w:spacing w:after="0"/>
              <w:rPr>
                <w:sz w:val="14"/>
                <w:szCs w:val="14"/>
                <w:color w:val="auto"/>
              </w:rPr>
            </w:pPr>
          </w:p>
        </w:tc>
        <w:tc>
          <w:tcPr>
            <w:tcW w:w="13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6"/>
              </w:rPr>
              <w:t>Convertible</w:t>
            </w: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r>
      <w:tr>
        <w:trPr>
          <w:trHeight w:val="171"/>
        </w:trPr>
        <w:tc>
          <w:tcPr>
            <w:tcW w:w="3040" w:type="dxa"/>
            <w:vAlign w:val="bottom"/>
          </w:tcPr>
          <w:p>
            <w:pPr>
              <w:spacing w:after="0"/>
              <w:rPr>
                <w:sz w:val="14"/>
                <w:szCs w:val="14"/>
                <w:color w:val="auto"/>
              </w:rPr>
            </w:pPr>
          </w:p>
        </w:tc>
        <w:tc>
          <w:tcPr>
            <w:tcW w:w="210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46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304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040" w:type="dxa"/>
            <w:vAlign w:val="bottom"/>
            <w:gridSpan w:val="2"/>
          </w:tcPr>
          <w:p>
            <w:pPr>
              <w:jc w:val="right"/>
              <w:ind w:right="341"/>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9"/>
              </w:rPr>
              <w:t>(Deficit)</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18,474,742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89,404</w:t>
            </w:r>
          </w:p>
        </w:tc>
        <w:tc>
          <w:tcPr>
            <w:tcW w:w="22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3,085,307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(115,505)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(106,388)</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Issuance of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0"/>
                <w:szCs w:val="20"/>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Elimination of fractional shares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upon reverse stock split (see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Note 8)</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Exercise of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207,712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Conversion of Series A, B and C</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5"/>
              </w:rPr>
              <w:t>redeemable convertible preferred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to common stock</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(18,474,703)</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(89,404)</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18,474,703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89,404</w:t>
            </w:r>
          </w:p>
        </w:tc>
        <w:tc>
          <w:tcPr>
            <w:tcW w:w="80" w:type="dxa"/>
            <w:vAlign w:val="bottom"/>
            <w:shd w:val="clear" w:color="auto" w:fill="CFF0FC"/>
          </w:tcPr>
          <w:p>
            <w:pPr>
              <w:spacing w:after="0"/>
              <w:rPr>
                <w:sz w:val="20"/>
                <w:szCs w:val="20"/>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Conversion of redeemable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ind w:left="500"/>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ind w:left="500"/>
              <w:spacing w:after="0"/>
              <w:rPr>
                <w:sz w:val="20"/>
                <w:szCs w:val="20"/>
                <w:color w:val="auto"/>
              </w:rPr>
            </w:pPr>
            <w:r>
              <w:rPr>
                <w:rFonts w:ascii="Arial" w:cs="Arial" w:eastAsia="Arial" w:hAnsi="Arial"/>
                <w:sz w:val="18"/>
                <w:szCs w:val="18"/>
                <w:color w:val="auto"/>
              </w:rPr>
              <w:t>warrants to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warrants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20"/>
                <w:szCs w:val="20"/>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initial public</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offering, net of expenses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9,109,725</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140,023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140,024</w:t>
            </w:r>
          </w:p>
        </w:tc>
        <w:tc>
          <w:tcPr>
            <w:tcW w:w="80" w:type="dxa"/>
            <w:vAlign w:val="bottom"/>
            <w:shd w:val="clear" w:color="auto" w:fill="CFF0FC"/>
          </w:tcPr>
          <w:p>
            <w:pPr>
              <w:spacing w:after="0"/>
              <w:rPr>
                <w:sz w:val="20"/>
                <w:szCs w:val="20"/>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w w:val="98"/>
              </w:rPr>
              <w:t>Proceeds from exercise of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244,192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20"/>
                <w:szCs w:val="20"/>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FF0FC"/>
          </w:tcPr>
          <w:p>
            <w:pPr>
              <w:spacing w:after="0"/>
              <w:rPr>
                <w:sz w:val="19"/>
                <w:szCs w:val="19"/>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(11,554)</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(11,554)</w:t>
            </w: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Balance—June 30, 2019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31,121,605</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244,089</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(127,059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117,018</w:t>
            </w:r>
          </w:p>
        </w:tc>
        <w:tc>
          <w:tcPr>
            <w:tcW w:w="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31,243,029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247,282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w w:val="95"/>
              </w:rPr>
              <w:t>$ (140,589)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106,690</w:t>
            </w:r>
          </w:p>
        </w:tc>
        <w:tc>
          <w:tcPr>
            <w:tcW w:w="80" w:type="dxa"/>
            <w:vAlign w:val="bottom"/>
            <w:shd w:val="clear" w:color="auto" w:fill="CFF0FC"/>
          </w:tcPr>
          <w:p>
            <w:pPr>
              <w:spacing w:after="0"/>
              <w:rPr>
                <w:sz w:val="19"/>
                <w:szCs w:val="19"/>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w w:val="98"/>
              </w:rPr>
              <w:t>Proceeds from exercise of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513,993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0"/>
                <w:szCs w:val="20"/>
                <w:color w:val="auto"/>
              </w:rPr>
            </w:pP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Proceeds from Employee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 Plan purchases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71,480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20"/>
                <w:szCs w:val="20"/>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Restricted stock units released</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43,620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80" w:type="dxa"/>
            <w:vAlign w:val="bottom"/>
            <w:shd w:val="clear" w:color="auto" w:fill="CFF0FC"/>
          </w:tcPr>
          <w:p>
            <w:pPr>
              <w:spacing w:after="0"/>
              <w:rPr>
                <w:sz w:val="19"/>
                <w:szCs w:val="19"/>
                <w:color w:val="auto"/>
              </w:rPr>
            </w:pPr>
          </w:p>
        </w:tc>
      </w:tr>
      <w:tr>
        <w:trPr>
          <w:trHeight w:val="215"/>
        </w:trPr>
        <w:tc>
          <w:tcPr>
            <w:tcW w:w="304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5"/>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Unrealized gain on available-for-</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sale debt securities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20"/>
                <w:szCs w:val="20"/>
                <w:color w:val="auto"/>
              </w:rPr>
            </w:pPr>
          </w:p>
        </w:tc>
      </w:tr>
      <w:tr>
        <w:trPr>
          <w:trHeight w:val="230"/>
        </w:trPr>
        <w:tc>
          <w:tcPr>
            <w:tcW w:w="304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(18,394)</w:t>
            </w:r>
          </w:p>
        </w:tc>
      </w:tr>
      <w:tr>
        <w:trPr>
          <w:trHeight w:val="223"/>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31,872,122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251,997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(158,983</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8"/>
              </w:rPr>
              <w:t>Six Months Ended</w:t>
            </w:r>
          </w:p>
        </w:tc>
        <w:tc>
          <w:tcPr>
            <w:tcW w:w="120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(18,394)</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(11,554)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2,815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2,192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operating lease cost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2,255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1,403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Accretion of noncash interest and debt reduction</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Inventory and other deferred costs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and other current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Contract liabilities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(23,997)</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(10,836)</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available-for-sale debt securities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(67,108)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maturities of available-for-sale debt securities</w:t>
            </w:r>
          </w:p>
        </w:tc>
        <w:tc>
          <w:tcPr>
            <w:tcW w:w="96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60,313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r>
      <w:tr>
        <w:trPr>
          <w:trHeight w:val="223"/>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144,025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of costs related to initial public offering</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20,000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of borrowing costs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Repayments under borrowing arrangements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warrants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exercise or settlement of equity awards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1,644</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611</w:t>
            </w:r>
          </w:p>
        </w:tc>
      </w:tr>
      <w:tr>
        <w:trPr>
          <w:trHeight w:val="223"/>
        </w:trPr>
        <w:tc>
          <w:tcPr>
            <w:tcW w:w="77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157,163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Effect of exchange rates on cash flows and cash equivalents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(30,004)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143,525</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55,046</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19,744</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25,042</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163,269</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Company and Nature of Business</w:t>
      </w:r>
    </w:p>
    <w:p>
      <w:pPr>
        <w:spacing w:after="0" w:line="18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Personalis, Inc. (the “Company”) was incorporated in Delaware on February 21, 2011 and began operations in September 2011. The Company formed a wholly owned subsidiary, Personalis (UK) Ltd., in August 2013. The Company is a growing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revenues.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the United States and Europe. In June 2020, the Company announced a partnership with a clinical genomics and life sciences company headquartered in China as a means to expand business operations into China. The Company operates and manages its business as one reportable operating segment, which is the sale of sequencing and data analysis services.</w:t>
      </w:r>
    </w:p>
    <w:p>
      <w:pPr>
        <w:spacing w:after="0" w:line="15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equity securities and cash from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2019.</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subsidiary, Personalis (UK)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170"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2020.</w:t>
      </w:r>
    </w:p>
    <w:p>
      <w:pPr>
        <w:spacing w:after="0" w:line="9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began presenting “Long-term operating lease liabilities” and “Operating lease liabilities” separately in the condensed consolidated balance sheets and condensed consolidated statements of cash flows, respectively, in this Quarterly Report on Form 10-Q. Amounts reported in previous periods were reclassified to conform to the current presentation.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estimates include, but are not limited to, useful lives assigned to long-lived assets, the valuation of common and convertible redeemable preferred stock and related warrants and options,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On June 20, 2019, the Company completed an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 all of which were paid by December 31, 2019.</w:t>
      </w:r>
    </w:p>
    <w:p>
      <w:pPr>
        <w:spacing w:after="0" w:line="13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 warrant to purchase 188,643 shares of the Company’s common stock was exercised prior to completion of the Company’s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 of which 62,096 are still outstanding as of June 30, 2020 (see Note 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 The Company has not experienced any losses on its deposits of cash and cash equivalents.</w:t>
      </w:r>
    </w:p>
    <w:p>
      <w:pPr>
        <w:spacing w:after="0" w:line="146" w:lineRule="exact"/>
        <w:rPr>
          <w:sz w:val="20"/>
          <w:szCs w:val="20"/>
          <w:color w:val="auto"/>
        </w:rPr>
      </w:pPr>
    </w:p>
    <w:p>
      <w:pPr>
        <w:jc w:val="both"/>
        <w:ind w:firstLine="749"/>
        <w:spacing w:after="0" w:line="219" w:lineRule="exact"/>
        <w:rPr>
          <w:sz w:val="20"/>
          <w:szCs w:val="20"/>
          <w:color w:val="auto"/>
        </w:rPr>
      </w:pPr>
      <w:r>
        <w:rPr>
          <w:rFonts w:ascii="Arial" w:cs="Arial" w:eastAsia="Arial" w:hAnsi="Arial"/>
          <w:sz w:val="18"/>
          <w:szCs w:val="18"/>
          <w:color w:val="auto"/>
        </w:rPr>
        <w:t>The Company also invests in investment</w:t>
      </w:r>
      <w:r>
        <w:rPr>
          <w:rFonts w:ascii="MS PGothic" w:cs="MS PGothic" w:eastAsia="MS PGothic" w:hAnsi="MS PGothic"/>
          <w:sz w:val="18"/>
          <w:szCs w:val="18"/>
          <w:color w:val="auto"/>
        </w:rPr>
        <w:t>‑</w:t>
      </w:r>
      <w:r>
        <w:rPr>
          <w:rFonts w:ascii="Arial" w:cs="Arial" w:eastAsia="Arial" w:hAnsi="Arial"/>
          <w:sz w:val="18"/>
          <w:szCs w:val="18"/>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8"/>
          <w:szCs w:val="18"/>
          <w:color w:val="auto"/>
        </w:rPr>
        <w:t>‑</w:t>
      </w:r>
      <w:r>
        <w:rPr>
          <w:rFonts w:ascii="Arial" w:cs="Arial" w:eastAsia="Arial" w:hAnsi="Arial"/>
          <w:sz w:val="18"/>
          <w:szCs w:val="18"/>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62"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1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June 30, 2020 and December 31, 2019. During the three months ended June 30, 2020 and 2019, the Company had no bad debt expense.</w:t>
      </w:r>
    </w:p>
    <w:p>
      <w:pPr>
        <w:spacing w:after="0" w:line="14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Significant customers are those that represent more than 10% of the Company’s total revenues or accounts receivable balance at each respective balance sheet date. For each significant customer, revenue as a percentage of total revenues and accounts receivable as a percentage of total accounts receivable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4"/>
                <w:szCs w:val="14"/>
                <w:color w:val="auto"/>
              </w:rPr>
            </w:pPr>
          </w:p>
        </w:tc>
        <w:tc>
          <w:tcPr>
            <w:tcW w:w="1460" w:type="dxa"/>
            <w:vAlign w:val="bottom"/>
            <w:gridSpan w:val="3"/>
          </w:tcPr>
          <w:p>
            <w:pPr>
              <w:jc w:val="center"/>
              <w:ind w:right="690"/>
              <w:spacing w:after="0"/>
              <w:rPr>
                <w:sz w:val="20"/>
                <w:szCs w:val="20"/>
                <w:color w:val="auto"/>
              </w:rPr>
            </w:pPr>
            <w:r>
              <w:rPr>
                <w:rFonts w:ascii="Arial" w:cs="Arial" w:eastAsia="Arial" w:hAnsi="Arial"/>
                <w:sz w:val="14"/>
                <w:szCs w:val="14"/>
                <w:b w:val="1"/>
                <w:bCs w:val="1"/>
                <w:color w:val="auto"/>
                <w:w w:val="90"/>
              </w:rPr>
              <w:t>Revenues</w:t>
            </w:r>
          </w:p>
        </w:tc>
        <w:tc>
          <w:tcPr>
            <w:tcW w:w="80" w:type="dxa"/>
            <w:vAlign w:val="bottom"/>
          </w:tcPr>
          <w:p>
            <w:pPr>
              <w:spacing w:after="0"/>
              <w:rPr>
                <w:sz w:val="14"/>
                <w:szCs w:val="14"/>
                <w:color w:val="auto"/>
              </w:rPr>
            </w:pPr>
          </w:p>
        </w:tc>
        <w:tc>
          <w:tcPr>
            <w:tcW w:w="2140" w:type="dxa"/>
            <w:vAlign w:val="bottom"/>
            <w:gridSpan w:val="3"/>
          </w:tcPr>
          <w:p>
            <w:pPr>
              <w:ind w:left="380"/>
              <w:spacing w:after="0"/>
              <w:rPr>
                <w:sz w:val="20"/>
                <w:szCs w:val="20"/>
                <w:color w:val="auto"/>
              </w:rPr>
            </w:pPr>
            <w:r>
              <w:rPr>
                <w:rFonts w:ascii="Arial" w:cs="Arial" w:eastAsia="Arial" w:hAnsi="Arial"/>
                <w:sz w:val="14"/>
                <w:szCs w:val="14"/>
                <w:b w:val="1"/>
                <w:bCs w:val="1"/>
                <w:color w:val="auto"/>
              </w:rPr>
              <w:t>Accounts Receivable</w:t>
            </w:r>
          </w:p>
        </w:tc>
      </w:tr>
      <w:tr>
        <w:trPr>
          <w:trHeight w:val="133"/>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Borders>
              <w:top w:val="single" w:sz="8" w:color="auto"/>
            </w:tcBorders>
            <w:gridSpan w:val="4"/>
          </w:tcPr>
          <w:p>
            <w:pPr>
              <w:jc w:val="center"/>
              <w:ind w:right="3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1"/>
                <w:szCs w:val="11"/>
                <w:color w:val="auto"/>
              </w:rPr>
            </w:pPr>
          </w:p>
        </w:tc>
        <w:tc>
          <w:tcPr>
            <w:tcW w:w="2120" w:type="dxa"/>
            <w:vAlign w:val="bottom"/>
            <w:tcBorders>
              <w:top w:val="single" w:sz="8" w:color="auto"/>
            </w:tcBorders>
            <w:gridSpan w:val="4"/>
          </w:tcPr>
          <w:p>
            <w:pPr>
              <w:jc w:val="center"/>
              <w:ind w:right="30"/>
              <w:spacing w:after="0" w:line="133" w:lineRule="exact"/>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1"/>
                <w:szCs w:val="11"/>
                <w:color w:val="auto"/>
              </w:rPr>
            </w:pPr>
          </w:p>
        </w:tc>
        <w:tc>
          <w:tcPr>
            <w:tcW w:w="1120" w:type="dxa"/>
            <w:vAlign w:val="bottom"/>
            <w:tcBorders>
              <w:top w:val="single" w:sz="8" w:color="auto"/>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June 30,</w:t>
            </w:r>
          </w:p>
        </w:tc>
        <w:tc>
          <w:tcPr>
            <w:tcW w:w="102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Pr>
          <w:p>
            <w:pPr>
              <w:spacing w:after="0"/>
              <w:rPr>
                <w:sz w:val="14"/>
                <w:szCs w:val="14"/>
                <w:color w:val="auto"/>
              </w:rPr>
            </w:pPr>
          </w:p>
        </w:tc>
        <w:tc>
          <w:tcPr>
            <w:tcW w:w="1460" w:type="dxa"/>
            <w:vAlign w:val="bottom"/>
            <w:gridSpan w:val="3"/>
          </w:tcPr>
          <w:p>
            <w:pPr>
              <w:jc w:val="center"/>
              <w:ind w:right="690"/>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r>
      <w:tr>
        <w:trPr>
          <w:trHeight w:val="155"/>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jc w:val="center"/>
              <w:ind w:left="162"/>
              <w:spacing w:after="0" w:line="155" w:lineRule="exact"/>
              <w:rPr>
                <w:sz w:val="20"/>
                <w:szCs w:val="20"/>
                <w:color w:val="auto"/>
              </w:rPr>
            </w:pPr>
            <w:r>
              <w:rPr>
                <w:rFonts w:ascii="Arial" w:cs="Arial" w:eastAsia="Arial" w:hAnsi="Arial"/>
                <w:sz w:val="14"/>
                <w:szCs w:val="14"/>
                <w:b w:val="1"/>
                <w:bCs w:val="1"/>
                <w:color w:val="auto"/>
                <w:w w:val="89"/>
              </w:rPr>
              <w:t>2020</w:t>
            </w:r>
          </w:p>
        </w:tc>
        <w:tc>
          <w:tcPr>
            <w:tcW w:w="1460" w:type="dxa"/>
            <w:vAlign w:val="bottom"/>
            <w:tcBorders>
              <w:top w:val="single" w:sz="8" w:color="auto"/>
            </w:tcBorders>
            <w:gridSpan w:val="3"/>
          </w:tcPr>
          <w:p>
            <w:pPr>
              <w:jc w:val="center"/>
              <w:ind w:left="238"/>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660" w:type="dxa"/>
            <w:vAlign w:val="bottom"/>
            <w:tcBorders>
              <w:top w:val="single" w:sz="8" w:color="auto"/>
            </w:tcBorders>
          </w:tcPr>
          <w:p>
            <w:pPr>
              <w:jc w:val="center"/>
              <w:ind w:left="135"/>
              <w:spacing w:after="0" w:line="155" w:lineRule="exact"/>
              <w:rPr>
                <w:sz w:val="20"/>
                <w:szCs w:val="20"/>
                <w:color w:val="auto"/>
              </w:rPr>
            </w:pPr>
            <w:r>
              <w:rPr>
                <w:rFonts w:ascii="Arial" w:cs="Arial" w:eastAsia="Arial" w:hAnsi="Arial"/>
                <w:sz w:val="14"/>
                <w:szCs w:val="14"/>
                <w:b w:val="1"/>
                <w:bCs w:val="1"/>
                <w:color w:val="auto"/>
                <w:w w:val="89"/>
              </w:rPr>
              <w:t>2020</w:t>
            </w:r>
          </w:p>
        </w:tc>
        <w:tc>
          <w:tcPr>
            <w:tcW w:w="1460" w:type="dxa"/>
            <w:vAlign w:val="bottom"/>
            <w:tcBorders>
              <w:top w:val="single" w:sz="8" w:color="auto"/>
            </w:tcBorders>
            <w:gridSpan w:val="3"/>
          </w:tcPr>
          <w:p>
            <w:pPr>
              <w:jc w:val="center"/>
              <w:ind w:left="218"/>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 MVP</w:t>
            </w: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left="162"/>
              <w:spacing w:after="0"/>
              <w:rPr>
                <w:sz w:val="20"/>
                <w:szCs w:val="20"/>
                <w:color w:val="auto"/>
              </w:rPr>
            </w:pPr>
            <w:r>
              <w:rPr>
                <w:rFonts w:ascii="Arial" w:cs="Arial" w:eastAsia="Arial" w:hAnsi="Arial"/>
                <w:sz w:val="18"/>
                <w:szCs w:val="18"/>
                <w:color w:val="auto"/>
                <w:w w:val="88"/>
              </w:rPr>
              <w:t>76%</w:t>
            </w:r>
          </w:p>
        </w:tc>
        <w:tc>
          <w:tcPr>
            <w:tcW w:w="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50"/>
              <w:spacing w:after="0"/>
              <w:rPr>
                <w:sz w:val="20"/>
                <w:szCs w:val="20"/>
                <w:color w:val="auto"/>
              </w:rPr>
            </w:pPr>
            <w:r>
              <w:rPr>
                <w:rFonts w:ascii="Arial" w:cs="Arial" w:eastAsia="Arial" w:hAnsi="Arial"/>
                <w:sz w:val="18"/>
                <w:szCs w:val="18"/>
                <w:color w:val="auto"/>
                <w:w w:val="94"/>
              </w:rPr>
              <w:t>54%</w:t>
            </w:r>
          </w:p>
        </w:tc>
        <w:tc>
          <w:tcPr>
            <w:tcW w:w="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center"/>
              <w:ind w:left="155"/>
              <w:spacing w:after="0"/>
              <w:rPr>
                <w:sz w:val="20"/>
                <w:szCs w:val="20"/>
                <w:color w:val="auto"/>
              </w:rPr>
            </w:pPr>
            <w:r>
              <w:rPr>
                <w:rFonts w:ascii="Arial" w:cs="Arial" w:eastAsia="Arial" w:hAnsi="Arial"/>
                <w:sz w:val="18"/>
                <w:szCs w:val="18"/>
                <w:color w:val="auto"/>
                <w:w w:val="94"/>
              </w:rPr>
              <w:t>76%</w:t>
            </w: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4"/>
              </w:rPr>
              <w:t>56%</w:t>
            </w:r>
          </w:p>
        </w:tc>
        <w:tc>
          <w:tcPr>
            <w:tcW w:w="110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4"/>
              </w:rPr>
              <w:t>17%</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center"/>
              <w:ind w:right="35"/>
              <w:spacing w:after="0"/>
              <w:rPr>
                <w:sz w:val="20"/>
                <w:szCs w:val="20"/>
                <w:color w:val="auto"/>
              </w:rPr>
            </w:pPr>
            <w:r>
              <w:rPr>
                <w:rFonts w:ascii="Arial" w:cs="Arial" w:eastAsia="Arial" w:hAnsi="Arial"/>
                <w:sz w:val="18"/>
                <w:szCs w:val="18"/>
                <w:color w:val="auto"/>
                <w:w w:val="94"/>
              </w:rPr>
              <w:t>19%</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Pfizer Inc.</w:t>
            </w:r>
          </w:p>
        </w:tc>
        <w:tc>
          <w:tcPr>
            <w:tcW w:w="7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10%</w:t>
            </w:r>
          </w:p>
        </w:tc>
        <w:tc>
          <w:tcPr>
            <w:tcW w:w="1460" w:type="dxa"/>
            <w:vAlign w:val="bottom"/>
            <w:gridSpan w:val="3"/>
          </w:tcPr>
          <w:p>
            <w:pPr>
              <w:jc w:val="center"/>
              <w:ind w:left="238"/>
              <w:spacing w:after="0"/>
              <w:rPr>
                <w:sz w:val="20"/>
                <w:szCs w:val="20"/>
                <w:color w:val="auto"/>
              </w:rPr>
            </w:pPr>
            <w:r>
              <w:rPr>
                <w:rFonts w:ascii="Arial" w:cs="Arial" w:eastAsia="Arial" w:hAnsi="Arial"/>
                <w:sz w:val="18"/>
                <w:szCs w:val="18"/>
                <w:color w:val="auto"/>
                <w:w w:val="94"/>
              </w:rPr>
              <w:t>23%</w:t>
            </w:r>
          </w:p>
        </w:tc>
        <w:tc>
          <w:tcPr>
            <w:tcW w:w="80" w:type="dxa"/>
            <w:vAlign w:val="bottom"/>
          </w:tcPr>
          <w:p>
            <w:pPr>
              <w:spacing w:after="0"/>
              <w:rPr>
                <w:sz w:val="19"/>
                <w:szCs w:val="19"/>
                <w:color w:val="auto"/>
              </w:rPr>
            </w:pPr>
          </w:p>
        </w:tc>
        <w:tc>
          <w:tcPr>
            <w:tcW w:w="660" w:type="dxa"/>
            <w:vAlign w:val="bottom"/>
          </w:tcPr>
          <w:p>
            <w:pPr>
              <w:jc w:val="center"/>
              <w:ind w:left="155"/>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238"/>
              <w:spacing w:after="0"/>
              <w:rPr>
                <w:sz w:val="20"/>
                <w:szCs w:val="20"/>
                <w:color w:val="auto"/>
              </w:rPr>
            </w:pPr>
            <w:r>
              <w:rPr>
                <w:rFonts w:ascii="Arial" w:cs="Arial" w:eastAsia="Arial" w:hAnsi="Arial"/>
                <w:sz w:val="18"/>
                <w:szCs w:val="18"/>
                <w:color w:val="auto"/>
                <w:w w:val="94"/>
              </w:rPr>
              <w:t>20%</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19"/>
                <w:szCs w:val="19"/>
                <w:color w:val="auto"/>
              </w:rPr>
            </w:pPr>
          </w:p>
        </w:tc>
        <w:tc>
          <w:tcPr>
            <w:tcW w:w="1020" w:type="dxa"/>
            <w:vAlign w:val="bottom"/>
          </w:tcPr>
          <w:p>
            <w:pPr>
              <w:jc w:val="center"/>
              <w:ind w:right="35"/>
              <w:spacing w:after="0"/>
              <w:rPr>
                <w:sz w:val="20"/>
                <w:szCs w:val="20"/>
                <w:color w:val="auto"/>
              </w:rPr>
            </w:pPr>
            <w:r>
              <w:rPr>
                <w:rFonts w:ascii="Arial" w:cs="Arial" w:eastAsia="Arial" w:hAnsi="Arial"/>
                <w:sz w:val="18"/>
                <w:szCs w:val="18"/>
                <w:color w:val="auto"/>
                <w:w w:val="94"/>
              </w:rPr>
              <w:t>23%</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Customer D</w:t>
            </w:r>
          </w:p>
        </w:tc>
        <w:tc>
          <w:tcPr>
            <w:tcW w:w="740" w:type="dxa"/>
            <w:vAlign w:val="bottom"/>
            <w:gridSpan w:val="2"/>
            <w:shd w:val="clear" w:color="auto" w:fill="CFF0FC"/>
          </w:tcPr>
          <w:p>
            <w:pPr>
              <w:jc w:val="center"/>
              <w:ind w:left="25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center"/>
              <w:ind w:left="238"/>
              <w:spacing w:after="0"/>
              <w:rPr>
                <w:sz w:val="20"/>
                <w:szCs w:val="20"/>
                <w:color w:val="auto"/>
              </w:rPr>
            </w:pPr>
            <w:r>
              <w:rPr>
                <w:rFonts w:ascii="Arial" w:cs="Arial" w:eastAsia="Arial" w:hAnsi="Arial"/>
                <w:sz w:val="18"/>
                <w:szCs w:val="18"/>
                <w:color w:val="auto"/>
                <w:w w:val="94"/>
              </w:rPr>
              <w:t>12%</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left="155"/>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center"/>
              <w:ind w:left="23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Indivumed GmbH</w:t>
            </w:r>
          </w:p>
        </w:tc>
        <w:tc>
          <w:tcPr>
            <w:tcW w:w="74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23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jc w:val="center"/>
              <w:ind w:left="155"/>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23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center"/>
              <w:ind w:right="35"/>
              <w:spacing w:after="0"/>
              <w:rPr>
                <w:sz w:val="20"/>
                <w:szCs w:val="20"/>
                <w:color w:val="auto"/>
              </w:rPr>
            </w:pPr>
            <w:r>
              <w:rPr>
                <w:rFonts w:ascii="Arial" w:cs="Arial" w:eastAsia="Arial" w:hAnsi="Arial"/>
                <w:sz w:val="18"/>
                <w:szCs w:val="18"/>
                <w:color w:val="auto"/>
                <w:w w:val="94"/>
              </w:rPr>
              <w:t>30%</w:t>
            </w:r>
          </w:p>
        </w:tc>
      </w:tr>
      <w:tr>
        <w:trPr>
          <w:trHeight w:val="230"/>
        </w:trPr>
        <w:tc>
          <w:tcPr>
            <w:tcW w:w="4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Customer H</w:t>
            </w:r>
          </w:p>
        </w:tc>
        <w:tc>
          <w:tcPr>
            <w:tcW w:w="740" w:type="dxa"/>
            <w:vAlign w:val="bottom"/>
            <w:gridSpan w:val="2"/>
            <w:shd w:val="clear" w:color="auto" w:fill="CFF0FC"/>
          </w:tcPr>
          <w:p>
            <w:pPr>
              <w:jc w:val="center"/>
              <w:ind w:left="25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center"/>
              <w:ind w:left="23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left="155"/>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center"/>
              <w:ind w:left="23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revenues or accounts receivable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applies the revenue recognition guidance in accordance with Financial Accounting Standards Board (“FASB”) Accounting Standards Codification (“ASC”) Topic 606, Revenue from Contracts with Customers (“Topic 606”).</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5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Company derives revenues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4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4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Costs of revenues primarily consist of production materials, personnel costs (e.g., salaries, bonuses, benefit, and stock-based compensation), costs of consumables and laboratory supplies, information technology (“IT”) and facility costs, and depreciation and service maintenance contracts on capitalized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For options granted to employees, non-employees, and directors, stock-based compensation is measured at grant date based on the fair value of the award. The Company determines the grant-date fair value of the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is deemed to be a compensatory plan and therefore is included in stock-based compensation expense.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color w:val="auto"/>
        </w:rPr>
        <w:t>Inputs used in Black-Scholes option-pricing models to measure fair value of options are summarized as follows:</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is calculated using the simplified method, which is available if there is insufficient historical data about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4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used an average historical stock price volatility of a peer group of publicly traded companies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implied yield currently available on U.S.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terms equivalent to the expected term of a stock award.</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Company has not paid and does not anticipate paying any dividends in the near future. Accordingly,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estimated the dividend yield to be zero.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equity awards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which are marketable debt securities recorded at fair value and accounted for in the same manner as other marketable debt securities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8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jc w:val="both"/>
        <w:ind w:firstLine="749"/>
        <w:spacing w:after="0" w:line="254"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three-level hierarchy for the inputs to valuation techniques used to measure fair value is briefly summarized as follows: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1 — Unadjusted quoted prices in active markets that are accessible to the reporting entity at the measurement date for identical assets and liabilities.</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43"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and liabilities in active markets.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are corroborated by observable market data by correlation or other means.</w:t>
      </w:r>
    </w:p>
    <w:p>
      <w:pPr>
        <w:spacing w:after="0" w:line="185"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Other Deferred Costs</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Inventory, consisting of supplies used in the Company’s genomic analysis contracts, are valued at the lower of cost or net realizable value. Cost is determined using actual costs, on a first-in, first-out basis.</w:t>
      </w:r>
    </w:p>
    <w:p>
      <w:pPr>
        <w:spacing w:after="0" w:line="130"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June 30, 2020, the Company had no finance leases.</w:t>
      </w:r>
    </w:p>
    <w:p>
      <w:pPr>
        <w:spacing w:after="0" w:line="143"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749"/>
        <w:spacing w:after="0" w:line="254" w:lineRule="auto"/>
        <w:rPr>
          <w:sz w:val="20"/>
          <w:szCs w:val="20"/>
          <w:color w:val="auto"/>
        </w:rPr>
      </w:pPr>
      <w:r>
        <w:rPr>
          <w:rFonts w:ascii="Arial" w:cs="Arial" w:eastAsia="Arial" w:hAnsi="Arial"/>
          <w:sz w:val="18"/>
          <w:szCs w:val="18"/>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6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9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Company’s revenues disaggregated by customer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14,750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8,536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29,506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16,879</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4,745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7,289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9,150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13,021</w:t>
            </w: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19,495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15,825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38,656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29,900</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Revenues from countries outside of the United States, based on the billing addresses of customers, represented approximately 1% of the Company’s revenues for the three months ended June 30, 2020 and 2019, and approximately 5% and 2% for the six months ended June 30,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Contract assets as of June 30, 2020 were immaterial. The Company had no contract assets as of December 31, 2019.</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contract liabilities consist of customer deposits in excess of revenues recognized and are presented as current liabilities in the condensed consolidated balance sheets.</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balance of contract liabilities was $29.0 million and $36.0 million as of June 30, 2020 and December 31, 2019, respectively. Revenues recognized for the three months ended June 30, 2020 and 2019 that were included in the contract liability balance at the beginning of each reporting period were $10.8 million and $8.4 million, respectively. Revenues recognized for the six months ended June 30, 2020 and 2019 that were included in the contract liability balance at the beginning of each period were $21.5 million and $16.1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jc w:val="both"/>
        <w:ind w:right="20" w:firstLine="749"/>
        <w:spacing w:after="0" w:line="301" w:lineRule="auto"/>
        <w:rPr>
          <w:sz w:val="20"/>
          <w:szCs w:val="20"/>
          <w:color w:val="auto"/>
        </w:rPr>
      </w:pPr>
      <w:r>
        <w:rPr>
          <w:rFonts w:ascii="Arial" w:cs="Arial" w:eastAsia="Arial" w:hAnsi="Arial"/>
          <w:sz w:val="16"/>
          <w:szCs w:val="16"/>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$39.3 million as of June 30, 2020, which the Company expects to recognize as revenues within the next nine months. The Company has elected the optional exemption that allows for the exclusion of contracts with an original expected duration of one year or 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and other deferred costs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3,252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1,424</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deferred costs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3,272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3,182</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inventory and other deferred costs</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6,524</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4,606</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Depreciation and amortization expense for the three months ended June 30, 2020 and 2019 was $1.4 million and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for the six months ended June 30, 2020 and 2019 was $2.8 million and $2.2 million, respectively. Accumulated depreciation and amortization was $11.6 million and $9.1 million as of June 30, 2020 and December 31, 2019, respectively.</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3,870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4,147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2,107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1,361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taxes</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liabilities</w:t>
            </w: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689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241</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accrued and other current liabilities</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6,594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6,648</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tables show the Company’s financial assets and liabilities measured at fair value on a recurring basis and the level of inputs used in such measurements as of June 30, 2020 and December 31, 2019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As of June 30, 2020</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Cost</w:t>
            </w:r>
          </w:p>
        </w:tc>
        <w:tc>
          <w:tcPr>
            <w:tcW w:w="140" w:type="dxa"/>
            <w:vAlign w:val="bottom"/>
          </w:tcPr>
          <w:p>
            <w:pPr>
              <w:spacing w:after="0"/>
              <w:rPr>
                <w:sz w:val="11"/>
                <w:szCs w:val="11"/>
                <w:color w:val="auto"/>
              </w:rPr>
            </w:pPr>
          </w:p>
        </w:tc>
        <w:tc>
          <w:tcPr>
            <w:tcW w:w="88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Fair Value Level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20,285</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61,396</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short-term investments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80,191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105,233</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As of December 31, 2019</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Cost</w:t>
            </w:r>
          </w:p>
        </w:tc>
        <w:tc>
          <w:tcPr>
            <w:tcW w:w="140" w:type="dxa"/>
            <w:vAlign w:val="bottom"/>
          </w:tcPr>
          <w:p>
            <w:pPr>
              <w:spacing w:after="0"/>
              <w:rPr>
                <w:sz w:val="11"/>
                <w:szCs w:val="11"/>
                <w:color w:val="auto"/>
              </w:rPr>
            </w:pPr>
          </w:p>
        </w:tc>
        <w:tc>
          <w:tcPr>
            <w:tcW w:w="88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Fair Value Level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12,495</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500"/>
              <w:spacing w:after="0"/>
              <w:rPr>
                <w:sz w:val="20"/>
                <w:szCs w:val="20"/>
                <w:color w:val="auto"/>
              </w:rPr>
            </w:pPr>
            <w:r>
              <w:rPr>
                <w:rFonts w:ascii="Arial" w:cs="Arial" w:eastAsia="Arial" w:hAnsi="Arial"/>
                <w:sz w:val="18"/>
                <w:szCs w:val="18"/>
                <w:color w:val="auto"/>
              </w:rPr>
              <w:t>Total cash and cash equivalents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55,046</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17,892</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32,794</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73,243</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74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128,289</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There have been no realized gains or losses on sales of marketable securities for the periods presented. The Company began investing in marketable debt securities during the third quarter of 2019 and, therefore, no security has been in an unrealized loss position for 12 months or greater. The Company determined that it did have the ability and intent to hold all marketable securities that have been in a continuous loss position until maturity or recovery. As of June 30, 2020, the Company does not consider any of its marketable debt securities to be other-than-temporarily impaired.</w:t>
      </w:r>
    </w:p>
    <w:p>
      <w:pPr>
        <w:spacing w:after="0" w:line="117"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Company’s marketable debt securities at June 30, 2020 have maturities due in one year or less, except for debt securities with an aggregate cost basis and fair value of $6.1 million that have maturities ranging from 13 to 14 months.</w:t>
      </w:r>
    </w:p>
    <w:p>
      <w:pPr>
        <w:spacing w:after="0" w:line="143" w:lineRule="exact"/>
        <w:rPr>
          <w:sz w:val="20"/>
          <w:szCs w:val="20"/>
          <w:color w:val="auto"/>
        </w:rPr>
      </w:pPr>
    </w:p>
    <w:p>
      <w:pPr>
        <w:jc w:val="both"/>
        <w:ind w:right="20" w:firstLine="749"/>
        <w:spacing w:after="0" w:line="275" w:lineRule="auto"/>
        <w:rPr>
          <w:sz w:val="20"/>
          <w:szCs w:val="20"/>
          <w:color w:val="auto"/>
        </w:rPr>
      </w:pPr>
      <w:r>
        <w:rPr>
          <w:rFonts w:ascii="Arial" w:cs="Arial" w:eastAsia="Arial" w:hAnsi="Arial"/>
          <w:sz w:val="17"/>
          <w:szCs w:val="17"/>
          <w:color w:val="auto"/>
        </w:rPr>
        <w:t>The Black-Scholes option-pricing model was used to estimate the fair value of the redeemable convertible preferred stock warrants at the date of issuance and at each subsequent consolidated balance sheet date. The fair value of the redeemable convertible preferred stock warrants was also estimated at the time of conversion to common stock warrants (see Note 10). Under this option-pricing model, redeemable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3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6"/>
          <w:szCs w:val="16"/>
          <w:color w:val="auto"/>
        </w:rPr>
        <w:t>The fair value of each redeemable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Period Ended</w:t>
            </w:r>
          </w:p>
        </w:tc>
        <w:tc>
          <w:tcPr>
            <w:tcW w:w="20" w:type="dxa"/>
            <w:vAlign w:val="bottom"/>
          </w:tcPr>
          <w:p>
            <w:pPr>
              <w:spacing w:after="0"/>
              <w:rPr>
                <w:sz w:val="14"/>
                <w:szCs w:val="14"/>
                <w:color w:val="auto"/>
              </w:rPr>
            </w:pPr>
          </w:p>
        </w:tc>
      </w:tr>
      <w:tr>
        <w:trPr>
          <w:trHeight w:val="149"/>
        </w:trPr>
        <w:tc>
          <w:tcPr>
            <w:tcW w:w="3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24,</w:t>
            </w:r>
          </w:p>
        </w:tc>
        <w:tc>
          <w:tcPr>
            <w:tcW w:w="20" w:type="dxa"/>
            <w:vAlign w:val="bottom"/>
          </w:tcPr>
          <w:p>
            <w:pPr>
              <w:spacing w:after="0"/>
              <w:rPr>
                <w:sz w:val="12"/>
                <w:szCs w:val="12"/>
                <w:color w:val="auto"/>
              </w:rPr>
            </w:pPr>
          </w:p>
        </w:tc>
      </w:tr>
      <w:tr>
        <w:trPr>
          <w:trHeight w:val="171"/>
        </w:trPr>
        <w:tc>
          <w:tcPr>
            <w:tcW w:w="3660" w:type="dxa"/>
            <w:vAlign w:val="bottom"/>
          </w:tcPr>
          <w:p>
            <w:pPr>
              <w:spacing w:after="0"/>
              <w:rPr>
                <w:sz w:val="14"/>
                <w:szCs w:val="14"/>
                <w:color w:val="auto"/>
              </w:rPr>
            </w:pPr>
          </w:p>
        </w:tc>
        <w:tc>
          <w:tcPr>
            <w:tcW w:w="7580" w:type="dxa"/>
            <w:vAlign w:val="bottom"/>
            <w:gridSpan w:val="3"/>
          </w:tcPr>
          <w:p>
            <w:pPr>
              <w:jc w:val="center"/>
              <w:ind w:left="529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- 5.26</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Volatility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57.20%</w:t>
            </w:r>
          </w:p>
        </w:tc>
        <w:tc>
          <w:tcPr>
            <w:tcW w:w="1160" w:type="dxa"/>
            <w:vAlign w:val="bottom"/>
          </w:tcPr>
          <w:p>
            <w:pPr>
              <w:ind w:left="20"/>
              <w:spacing w:after="0"/>
              <w:rPr>
                <w:sz w:val="20"/>
                <w:szCs w:val="20"/>
                <w:color w:val="auto"/>
              </w:rPr>
            </w:pPr>
            <w:r>
              <w:rPr>
                <w:rFonts w:ascii="Arial" w:cs="Arial" w:eastAsia="Arial" w:hAnsi="Arial"/>
                <w:sz w:val="18"/>
                <w:szCs w:val="18"/>
                <w:color w:val="auto"/>
              </w:rPr>
              <w:t>- 57.24%</w:t>
            </w:r>
          </w:p>
        </w:tc>
        <w:tc>
          <w:tcPr>
            <w:tcW w:w="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580" w:type="dxa"/>
            <w:vAlign w:val="bottom"/>
            <w:gridSpan w:val="3"/>
            <w:shd w:val="clear" w:color="auto" w:fill="CFF0FC"/>
          </w:tcPr>
          <w:p>
            <w:pPr>
              <w:jc w:val="center"/>
              <w:ind w:left="5295"/>
              <w:spacing w:after="0"/>
              <w:rPr>
                <w:sz w:val="20"/>
                <w:szCs w:val="20"/>
                <w:color w:val="auto"/>
              </w:rPr>
            </w:pPr>
            <w:r>
              <w:rPr>
                <w:rFonts w:ascii="Arial" w:cs="Arial" w:eastAsia="Arial" w:hAnsi="Arial"/>
                <w:sz w:val="18"/>
                <w:szCs w:val="18"/>
                <w:color w:val="auto"/>
                <w:w w:val="93"/>
              </w:rPr>
              <w:t>1.75%</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Dividend yield</w:t>
            </w:r>
          </w:p>
        </w:tc>
        <w:tc>
          <w:tcPr>
            <w:tcW w:w="5400" w:type="dxa"/>
            <w:vAlign w:val="bottom"/>
          </w:tcPr>
          <w:p>
            <w:pPr>
              <w:spacing w:after="0"/>
              <w:rPr>
                <w:sz w:val="20"/>
                <w:szCs w:val="20"/>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c>
          <w:tcPr>
            <w:tcW w:w="20" w:type="dxa"/>
            <w:vAlign w:val="bottom"/>
          </w:tcPr>
          <w:p>
            <w:pPr>
              <w:spacing w:after="0"/>
              <w:rPr>
                <w:sz w:val="20"/>
                <w:szCs w:val="20"/>
                <w:color w:val="auto"/>
              </w:rPr>
            </w:pPr>
          </w:p>
        </w:tc>
      </w:tr>
      <w:tr>
        <w:trPr>
          <w:trHeight w:val="647"/>
        </w:trPr>
        <w:tc>
          <w:tcPr>
            <w:tcW w:w="3660" w:type="dxa"/>
            <w:vAlign w:val="bottom"/>
          </w:tcPr>
          <w:p>
            <w:pPr>
              <w:spacing w:after="0"/>
              <w:rPr>
                <w:sz w:val="24"/>
                <w:szCs w:val="24"/>
                <w:color w:val="auto"/>
              </w:rPr>
            </w:pPr>
          </w:p>
        </w:tc>
        <w:tc>
          <w:tcPr>
            <w:tcW w:w="5400" w:type="dxa"/>
            <w:vAlign w:val="bottom"/>
          </w:tcPr>
          <w:p>
            <w:pPr>
              <w:jc w:val="right"/>
              <w:ind w:right="3255"/>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17" w:name="page18"/>
    <w:bookmarkEnd w:id="17"/>
    <w:p>
      <w:pPr>
        <w:ind w:left="760"/>
        <w:spacing w:after="0"/>
        <w:rPr>
          <w:sz w:val="20"/>
          <w:szCs w:val="20"/>
          <w:color w:val="auto"/>
        </w:rPr>
      </w:pPr>
      <w:r>
        <w:rPr>
          <w:rFonts w:ascii="Arial" w:cs="Arial" w:eastAsia="Arial" w:hAnsi="Arial"/>
          <w:sz w:val="16"/>
          <w:szCs w:val="16"/>
          <w:color w:val="auto"/>
        </w:rPr>
        <w:t>The following table sets forth a summary of the changes in the fair value of the Company’s Level 3 financial instruments (in thousands):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Balance —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warrant liability to additional paid-in capital on conversion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Balance — June 30,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There were no amounts outstanding under financing arrangements as of June 30, 2020 or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Loan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Liability</w:t>
            </w:r>
          </w:p>
        </w:tc>
      </w:tr>
      <w:tr>
        <w:trPr>
          <w:trHeight w:val="222"/>
        </w:trPr>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(2,086)</w:t>
            </w:r>
          </w:p>
        </w:tc>
      </w:tr>
      <w:tr>
        <w:trPr>
          <w:trHeight w:val="223"/>
        </w:trPr>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90" w:lineRule="exact"/>
        <w:rPr>
          <w:sz w:val="20"/>
          <w:szCs w:val="20"/>
          <w:color w:val="auto"/>
        </w:rPr>
      </w:pPr>
    </w:p>
    <w:p>
      <w:pPr>
        <w:sectPr>
          <w:pgSz w:w="11900" w:h="16838" w:orient="portrait"/>
          <w:cols w:equalWidth="0" w:num="2">
            <w:col w:w="8660" w:space="600"/>
            <w:col w:w="1980"/>
          </w:cols>
          <w:pgMar w:left="320" w:top="341" w:right="339" w:bottom="1440" w:gutter="0" w:footer="0" w:header="0"/>
          <w:type w:val="continuous"/>
        </w:sectPr>
      </w:pPr>
    </w:p>
    <w:p>
      <w:pPr>
        <w:jc w:val="both"/>
        <w:ind w:firstLine="749"/>
        <w:spacing w:after="0" w:line="273" w:lineRule="auto"/>
        <w:rPr>
          <w:sz w:val="20"/>
          <w:szCs w:val="20"/>
          <w:color w:val="auto"/>
        </w:rPr>
      </w:pPr>
      <w:r>
        <w:rPr>
          <w:rFonts w:ascii="Arial" w:cs="Arial" w:eastAsia="Arial" w:hAnsi="Arial"/>
          <w:sz w:val="17"/>
          <w:szCs w:val="17"/>
          <w:color w:val="auto"/>
        </w:rPr>
        <w:t>In June 2017, the Company entered into a $10.0 million revolving loan and security agreement (the “Revolving Loan”) with TriplePoint Capital LLC (“TriplePoint”). The Company borrowed $5.0 million under the Revolving Loan.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current credit facility was not greater than 10%, the Company accounted for the transaction as a debt modification.</w:t>
      </w:r>
    </w:p>
    <w:p>
      <w:pPr>
        <w:spacing w:after="0" w:line="13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In connection with the Revolving Loan, the Company issued to TriplePoint a warrant to purchase up to 62,096 shares of the Company’s Series C redeemable convertible preferred stock at an exercise price of $8.052 per share exercisable for seven years from June 28, 2017 (see Note 10).</w:t>
      </w:r>
    </w:p>
    <w:p>
      <w:pPr>
        <w:spacing w:after="0" w:line="9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0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Revolving Loan had an effective interest rate of 19.22% per year. The Revolving Loan interest expense for the three and six months ended June 30, 2019 was $0 and $0.2 million, respectively. On March 22, 2019, this Revolving Loan was repaid in full.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Capital Loan</w:t>
      </w:r>
    </w:p>
    <w:p>
      <w:pPr>
        <w:spacing w:after="0" w:line="19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March 22, 2019, the Company entered into a growth capital loan (the “Growth Capital Loan”) with TriplePoint to provide for a $20.0 million growth capital loan facility and had drawn down the full $20.0 million available under the facility. The Company used $5.1 million of the Growth Capital Loan to repay, in its entirety, all amounts outstanding under the Revolving Loan. Borrowings under the Growth Capital Loan bore interest at a floating rate of prime rate plus 5.00% for borrowings up to $15.0 million and the prime rate plus 6.50% for borrowing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voluntarily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the Growth Capital Loan facility.</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connection with the Growth Capital Loan, the Company issued a warrant to purchase 65,502 shares of common stock to TriplePoint at an exercise price of $9.16 per share exercisable for seven years from March 22, 2019. The Company recorded the issuance-date fair value of the warrant of $0.6 million and fees paid to TriplePoint of $0.3 million as a debt discount, which was amortized over the term of the Growth Capital Loan using the effective interest rate method.</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Upon issuance, the Growth Capital Loan had an effective interest rate of 15.23% per year. Interest expense for the three and six months ended June 30, 2019 was $0.7 million. On August 14, 2019, the Company paid off the Growth Capital Loan in its entirety.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lease term. The lease expires on November 30, 2027 and includes an option to extend the term for a period of three years with rent payments equal to then current fair market rental for the space. The Company determined the extension option is not reasonably certain to be exercised. The lease contains a leasehold improvement incentive and escalating rent payments.</w:t>
      </w:r>
    </w:p>
    <w:p>
      <w:pPr>
        <w:spacing w:after="0" w:line="117"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31"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Operating lease cost for the three months ended June 30, 2020 and 2019 was $0.7 million and $0.3 million, respectively, and for the six months ended June 30, 2020 and 2019 was $1.0 million and $0.5 million, respectively.</w:t>
      </w:r>
    </w:p>
    <w:p>
      <w:pPr>
        <w:spacing w:after="0" w:line="14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As of June 30, 2020, the Company’s operating leases had a weighted-average remaining lease term of 6.8 years and a weighted-average discount rate of 10.7%. The Company’s discount rates are based on estimates of its incremental borrowing rate, as the discount rates implicit in the Company’s leases cannot be readily determined. Future lease payments under operating leases as of June 30, 2020 were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 six months)</w:t>
            </w:r>
          </w:p>
        </w:tc>
        <w:tc>
          <w:tcPr>
            <w:tcW w:w="2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2021</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2023</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FF0FC"/>
          </w:tcPr>
          <w:p>
            <w:pPr>
              <w:spacing w:after="0"/>
              <w:rPr>
                <w:sz w:val="19"/>
                <w:szCs w:val="19"/>
                <w:color w:val="auto"/>
              </w:rPr>
            </w:pPr>
          </w:p>
        </w:tc>
      </w:tr>
      <w:tr>
        <w:trPr>
          <w:trHeight w:val="230"/>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8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FF0FC"/>
            </w:tcBorders>
          </w:tcPr>
          <w:p>
            <w:pPr>
              <w:spacing w:after="0"/>
              <w:rPr>
                <w:sz w:val="19"/>
                <w:szCs w:val="19"/>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(5,070)</w:t>
            </w: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2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Less: current portion of operating lease liability</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(2,107)</w:t>
            </w:r>
          </w:p>
        </w:tc>
      </w:tr>
      <w:tr>
        <w:trPr>
          <w:trHeight w:val="223"/>
        </w:trPr>
        <w:tc>
          <w:tcPr>
            <w:tcW w:w="6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8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Cash paid for operating lease liabilities, included in cash flows from operating activities in the condensed consolidated statement of cash flows, for the six months ended June 30, 2020 and 2019, was $0.8 million and $0.5 million, respectively. Right-of-use assets obtained in exchange for new operating lease liabilities during the six months ended June 30, 2020 and 2019 were $9.8 million and $1.7 million, respectively, including the impact of adopting ASU 2016-02, Leases (Topic 842) in the first quarter of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22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Shares Issued</w:t>
            </w:r>
          </w:p>
        </w:tc>
        <w:tc>
          <w:tcPr>
            <w:tcW w:w="140" w:type="dxa"/>
            <w:vAlign w:val="bottom"/>
          </w:tcPr>
          <w:p>
            <w:pPr>
              <w:spacing w:after="0"/>
              <w:rPr>
                <w:sz w:val="11"/>
                <w:szCs w:val="11"/>
                <w:color w:val="auto"/>
              </w:rPr>
            </w:pPr>
          </w:p>
        </w:tc>
        <w:tc>
          <w:tcPr>
            <w:tcW w:w="110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Net Carrying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88"/>
              </w:rPr>
              <w:t>Preference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4"/>
          </w:tcPr>
          <w:p>
            <w:pPr>
              <w:jc w:val="right"/>
              <w:ind w:right="856"/>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258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31,250,000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7,812,497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20,500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Series B</w:t>
            </w:r>
          </w:p>
        </w:tc>
        <w:tc>
          <w:tcPr>
            <w:tcW w:w="2580" w:type="dxa"/>
            <w:vAlign w:val="bottom"/>
            <w:gridSpan w:val="2"/>
          </w:tcPr>
          <w:p>
            <w:pPr>
              <w:jc w:val="right"/>
              <w:ind w:right="42"/>
              <w:spacing w:after="0"/>
              <w:rPr>
                <w:sz w:val="20"/>
                <w:szCs w:val="20"/>
                <w:color w:val="auto"/>
              </w:rPr>
            </w:pPr>
            <w:r>
              <w:rPr>
                <w:rFonts w:ascii="Arial" w:cs="Arial" w:eastAsia="Arial" w:hAnsi="Arial"/>
                <w:sz w:val="18"/>
                <w:szCs w:val="18"/>
                <w:color w:val="auto"/>
              </w:rPr>
              <w:t>19,288,150</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4,799,548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22,047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258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24,700,000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5,862,697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47,206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47,096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Total redeemable convertible preferred stock</w:t>
            </w:r>
          </w:p>
        </w:tc>
        <w:tc>
          <w:tcPr>
            <w:tcW w:w="1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75,238,150</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18,474,742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89,784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89,404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9" w:name="page20"/>
    <w:bookmarkEnd w:id="19"/>
    <w:p>
      <w:pPr>
        <w:jc w:val="both"/>
        <w:ind w:firstLine="749"/>
        <w:spacing w:after="0" w:line="259" w:lineRule="auto"/>
        <w:rPr>
          <w:sz w:val="20"/>
          <w:szCs w:val="20"/>
          <w:color w:val="auto"/>
        </w:rPr>
      </w:pPr>
      <w:r>
        <w:rPr>
          <w:rFonts w:ascii="Arial" w:cs="Arial" w:eastAsia="Arial" w:hAnsi="Arial"/>
          <w:sz w:val="18"/>
          <w:szCs w:val="18"/>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Company’s June 2019 reverse stock split was effected on a holder-by-holder basis with no fractional shares issued, which resulted in 39 fewer shares of common stock issued as compared to the amounts shown in the above table.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Equity Incentive Plan</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17"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For stock option grants issued prior to December 31, 2015, the Company allowed employees to exercise options granted under the 2011 Plan prior to vesting (early exercise of stock options). The unvested shares are subject to the Company’s repurchase rights at the original purchase price. Initially, the proceeds were recorded as an accrued liability from the early exercise of stock options and reclassified to common stock as the Company’s repurchase rights lapse. There were zero unvested shares subject to the Company’s repurchase rights as of June 30, 2020 and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Equity Incentive Plan</w:t>
      </w:r>
    </w:p>
    <w:p>
      <w:pPr>
        <w:spacing w:after="0" w:line="18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10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Inducement Plan</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19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The Company’s board of directors adopted and the Company’s stockholders approved the 2019 Employee Stock Purchase Plan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760"/>
        <w:spacing w:after="0"/>
        <w:rPr>
          <w:sz w:val="20"/>
          <w:szCs w:val="20"/>
          <w:color w:val="auto"/>
        </w:rPr>
      </w:pPr>
      <w:r>
        <w:rPr>
          <w:rFonts w:ascii="Arial" w:cs="Arial" w:eastAsia="Arial" w:hAnsi="Arial"/>
          <w:sz w:val="16"/>
          <w:szCs w:val="16"/>
          <w:color w:val="auto"/>
        </w:rPr>
        <w:t>Shares of common stock available for issuance under the Company’s equity incentive plans at June 30, 2020 and December 31, 2019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4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Reserved for issuance upon exercise of options outstanding under the 2011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3,902,797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4,474,057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Reserved for issuance upon exercise or settlement of awards outstanding under the 2019 Plan</w:t>
            </w:r>
          </w:p>
        </w:tc>
        <w:tc>
          <w:tcPr>
            <w:tcW w:w="1560" w:type="dxa"/>
            <w:vAlign w:val="bottom"/>
          </w:tcPr>
          <w:p>
            <w:pPr>
              <w:jc w:val="right"/>
              <w:spacing w:after="0"/>
              <w:rPr>
                <w:sz w:val="20"/>
                <w:szCs w:val="20"/>
                <w:color w:val="auto"/>
              </w:rPr>
            </w:pPr>
            <w:r>
              <w:rPr>
                <w:rFonts w:ascii="Arial" w:cs="Arial" w:eastAsia="Arial" w:hAnsi="Arial"/>
                <w:sz w:val="18"/>
                <w:szCs w:val="18"/>
                <w:color w:val="auto"/>
              </w:rPr>
              <w:t>2,231,539</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377,378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Reserved and available for issuance under the 2019 Plan </w:t>
            </w:r>
            <w:r>
              <w:rPr>
                <w:rFonts w:ascii="Arial" w:cs="Arial" w:eastAsia="Arial" w:hAnsi="Arial"/>
                <w:sz w:val="15"/>
                <w:szCs w:val="15"/>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2,113,980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2,392,343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w w:val="95"/>
              </w:rPr>
              <w:t>Reserved for issuance upon exercise or settlement of awards outstanding under the Inducement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119,900</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Reserved and available for issuance under the Inducement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880,100</w:t>
            </w: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Reserved and available for issuance under the ESPP </w:t>
            </w:r>
            <w:r>
              <w:rPr>
                <w:rFonts w:ascii="Arial" w:cs="Arial" w:eastAsia="Arial" w:hAnsi="Arial"/>
                <w:sz w:val="15"/>
                <w:szCs w:val="15"/>
                <w:color w:val="auto"/>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413,266</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172,316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number of shares reserved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9,661,582</w:t>
            </w:r>
          </w:p>
        </w:tc>
        <w:tc>
          <w:tcPr>
            <w:tcW w:w="2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7,416,094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2"/>
          <w:szCs w:val="12"/>
          <w:color w:val="auto"/>
        </w:rPr>
      </w:pPr>
      <w:r>
        <w:rPr>
          <w:rFonts w:ascii="Arial" w:cs="Arial" w:eastAsia="Arial" w:hAnsi="Arial"/>
          <w:sz w:val="14"/>
          <w:szCs w:val="14"/>
          <w:color w:val="auto"/>
        </w:rPr>
        <w:t>June 30, 2020 balance includes share increase added January 1, 2020 pursuant to the “evergreen” provision in the amount of 1,562,151 shares</w:t>
      </w:r>
    </w:p>
    <w:p>
      <w:pPr>
        <w:spacing w:after="0" w:line="82" w:lineRule="exact"/>
        <w:rPr>
          <w:rFonts w:ascii="Arial" w:cs="Arial" w:eastAsia="Arial" w:hAnsi="Arial"/>
          <w:sz w:val="12"/>
          <w:szCs w:val="12"/>
          <w:color w:val="auto"/>
        </w:rPr>
      </w:pPr>
    </w:p>
    <w:p>
      <w:pPr>
        <w:ind w:left="180" w:hanging="172"/>
        <w:spacing w:after="0"/>
        <w:tabs>
          <w:tab w:leader="none" w:pos="180" w:val="left"/>
        </w:tabs>
        <w:numPr>
          <w:ilvl w:val="0"/>
          <w:numId w:val="5"/>
        </w:numPr>
        <w:rPr>
          <w:rFonts w:ascii="Arial" w:cs="Arial" w:eastAsia="Arial" w:hAnsi="Arial"/>
          <w:sz w:val="12"/>
          <w:szCs w:val="12"/>
          <w:color w:val="auto"/>
        </w:rPr>
      </w:pPr>
      <w:r>
        <w:rPr>
          <w:rFonts w:ascii="Arial" w:cs="Arial" w:eastAsia="Arial" w:hAnsi="Arial"/>
          <w:sz w:val="14"/>
          <w:szCs w:val="14"/>
          <w:color w:val="auto"/>
        </w:rPr>
        <w:t>June 30, 2020 balance includes share increase added January 1, 2020 pursuant to the “evergreen” provision in the amount of 312,430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9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 summary of the Company’s stock option activity (excluding performance-based stock option activity summarized further below) under the 2011 Plan, 2019 Plan, and Inducement Plan for the six months ended June 30, 2020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Outstanding Options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Term (in</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Exercise Price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4,731,435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1,059,841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(513,993)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Options cancelled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(73,517)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5,203,766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37,398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June 30, 2020</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line="20" w:lineRule="exact"/>
              <w:rPr>
                <w:sz w:val="1"/>
                <w:szCs w:val="1"/>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25,711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2,785,325</w:t>
            </w:r>
          </w:p>
        </w:tc>
        <w:tc>
          <w:tcPr>
            <w:tcW w:w="1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aggregate intrinsic value of unexercised stock options is calculated as the difference between the closing price of the Company’s common stock of $12.97 on June 30, 2020 and the exercise prices of the underlying stock options. Out-of-the money stock options are excluded from the aggregate intrinsic value.</w:t>
      </w:r>
    </w:p>
    <w:p>
      <w:pPr>
        <w:spacing w:after="0" w:line="14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weighted-average grant date fair value of options granted was $6.70 and $8.40 per share for the three months ended June 30, 2020 and 2019, respectively, and $4.81 and $8.07 per share for the six months ended June 30, 2020 and 2019, respectively. As of June 30, 2020, the unrecognized stock-based compensation cost of unvested options was $12.0 million, which is expected to be recognized over a weighted-average period of 2.6 years.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Valuation of Stock Options</w:t>
      </w:r>
    </w:p>
    <w:p>
      <w:pPr>
        <w:spacing w:after="0" w:line="198"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00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360" w:type="dxa"/>
            <w:vAlign w:val="bottom"/>
            <w:tcBorders>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455"/>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435"/>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457"/>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top w:val="single" w:sz="8" w:color="auto"/>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475"/>
              <w:spacing w:after="0" w:line="155" w:lineRule="exact"/>
              <w:rPr>
                <w:sz w:val="20"/>
                <w:szCs w:val="20"/>
                <w:color w:val="auto"/>
              </w:rPr>
            </w:pPr>
            <w:r>
              <w:rPr>
                <w:rFonts w:ascii="Arial" w:cs="Arial" w:eastAsia="Arial" w:hAnsi="Arial"/>
                <w:sz w:val="14"/>
                <w:szCs w:val="14"/>
                <w:b w:val="1"/>
                <w:bCs w:val="1"/>
                <w:color w:val="auto"/>
                <w:w w:val="89"/>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5.50 - 6.08</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5.00 - 6.08</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5.50 - 6.08</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5.00 - 6.87</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67.58</w:t>
            </w:r>
          </w:p>
        </w:tc>
        <w:tc>
          <w:tcPr>
            <w:tcW w:w="860" w:type="dxa"/>
            <w:vAlign w:val="bottom"/>
          </w:tcPr>
          <w:p>
            <w:pPr>
              <w:ind w:left="60"/>
              <w:spacing w:after="0"/>
              <w:rPr>
                <w:sz w:val="20"/>
                <w:szCs w:val="20"/>
                <w:color w:val="auto"/>
              </w:rPr>
            </w:pPr>
            <w:r>
              <w:rPr>
                <w:rFonts w:ascii="Arial" w:cs="Arial" w:eastAsia="Arial" w:hAnsi="Arial"/>
                <w:sz w:val="18"/>
                <w:szCs w:val="18"/>
                <w:color w:val="auto"/>
              </w:rPr>
              <w:t>- 68.18%</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56.89</w:t>
            </w:r>
          </w:p>
        </w:tc>
        <w:tc>
          <w:tcPr>
            <w:tcW w:w="840" w:type="dxa"/>
            <w:vAlign w:val="bottom"/>
          </w:tcPr>
          <w:p>
            <w:pPr>
              <w:ind w:left="40"/>
              <w:spacing w:after="0"/>
              <w:rPr>
                <w:sz w:val="20"/>
                <w:szCs w:val="20"/>
                <w:color w:val="auto"/>
              </w:rPr>
            </w:pPr>
            <w:r>
              <w:rPr>
                <w:rFonts w:ascii="Arial" w:cs="Arial" w:eastAsia="Arial" w:hAnsi="Arial"/>
                <w:sz w:val="18"/>
                <w:szCs w:val="18"/>
                <w:color w:val="auto"/>
              </w:rPr>
              <w:t>- 57.27%</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61.74</w:t>
            </w:r>
          </w:p>
        </w:tc>
        <w:tc>
          <w:tcPr>
            <w:tcW w:w="840" w:type="dxa"/>
            <w:vAlign w:val="bottom"/>
          </w:tcPr>
          <w:p>
            <w:pPr>
              <w:ind w:left="40"/>
              <w:spacing w:after="0"/>
              <w:rPr>
                <w:sz w:val="20"/>
                <w:szCs w:val="20"/>
                <w:color w:val="auto"/>
              </w:rPr>
            </w:pPr>
            <w:r>
              <w:rPr>
                <w:rFonts w:ascii="Arial" w:cs="Arial" w:eastAsia="Arial" w:hAnsi="Arial"/>
                <w:sz w:val="18"/>
                <w:szCs w:val="18"/>
                <w:color w:val="auto"/>
              </w:rPr>
              <w:t>- 68.18%</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56.20</w:t>
            </w:r>
          </w:p>
        </w:tc>
        <w:tc>
          <w:tcPr>
            <w:tcW w:w="840" w:type="dxa"/>
            <w:vAlign w:val="bottom"/>
          </w:tcPr>
          <w:p>
            <w:pPr>
              <w:ind w:left="40"/>
              <w:spacing w:after="0"/>
              <w:rPr>
                <w:sz w:val="20"/>
                <w:szCs w:val="20"/>
                <w:color w:val="auto"/>
              </w:rPr>
            </w:pPr>
            <w:r>
              <w:rPr>
                <w:rFonts w:ascii="Arial" w:cs="Arial" w:eastAsia="Arial" w:hAnsi="Arial"/>
                <w:sz w:val="18"/>
                <w:szCs w:val="18"/>
                <w:color w:val="auto"/>
              </w:rPr>
              <w:t>- 57.27%</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860" w:type="dxa"/>
            <w:vAlign w:val="bottom"/>
            <w:shd w:val="clear" w:color="auto" w:fill="CFF0FC"/>
          </w:tcPr>
          <w:p>
            <w:pPr>
              <w:ind w:left="60"/>
              <w:spacing w:after="0"/>
              <w:rPr>
                <w:sz w:val="20"/>
                <w:szCs w:val="20"/>
                <w:color w:val="auto"/>
              </w:rPr>
            </w:pPr>
            <w:r>
              <w:rPr>
                <w:rFonts w:ascii="Arial" w:cs="Arial" w:eastAsia="Arial" w:hAnsi="Arial"/>
                <w:sz w:val="18"/>
                <w:szCs w:val="18"/>
                <w:color w:val="auto"/>
              </w:rPr>
              <w:t>- 0.44%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- 2.36%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- 1.66%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- 2.52%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Dividend yield</w:t>
            </w:r>
          </w:p>
        </w:tc>
        <w:tc>
          <w:tcPr>
            <w:tcW w:w="520" w:type="dxa"/>
            <w:vAlign w:val="bottom"/>
          </w:tcPr>
          <w:p>
            <w:pPr>
              <w:spacing w:after="0"/>
              <w:rPr>
                <w:sz w:val="20"/>
                <w:szCs w:val="20"/>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w:t>
            </w:r>
          </w:p>
        </w:tc>
        <w:tc>
          <w:tcPr>
            <w:tcW w:w="520" w:type="dxa"/>
            <w:vAlign w:val="bottom"/>
          </w:tcPr>
          <w:p>
            <w:pPr>
              <w:spacing w:after="0"/>
              <w:rPr>
                <w:sz w:val="20"/>
                <w:szCs w:val="20"/>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w:t>
            </w:r>
          </w:p>
        </w:tc>
        <w:tc>
          <w:tcPr>
            <w:tcW w:w="5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w:t>
            </w:r>
          </w:p>
        </w:tc>
        <w:tc>
          <w:tcPr>
            <w:tcW w:w="560" w:type="dxa"/>
            <w:vAlign w:val="bottom"/>
          </w:tcPr>
          <w:p>
            <w:pPr>
              <w:spacing w:after="0"/>
              <w:rPr>
                <w:sz w:val="20"/>
                <w:szCs w:val="20"/>
                <w:color w:val="auto"/>
              </w:rPr>
            </w:pPr>
          </w:p>
        </w:tc>
        <w:tc>
          <w:tcPr>
            <w:tcW w:w="840" w:type="dxa"/>
            <w:vAlign w:val="bottom"/>
          </w:tcPr>
          <w:p>
            <w:pPr>
              <w:jc w:val="center"/>
              <w:ind w:right="475"/>
              <w:spacing w:after="0"/>
              <w:rPr>
                <w:sz w:val="20"/>
                <w:szCs w:val="20"/>
                <w:color w:val="auto"/>
              </w:rPr>
            </w:pPr>
            <w:r>
              <w:rPr>
                <w:rFonts w:ascii="Arial" w:cs="Arial" w:eastAsia="Arial" w:hAnsi="Arial"/>
                <w:sz w:val="18"/>
                <w:szCs w:val="18"/>
                <w:color w:val="auto"/>
                <w:w w:val="92"/>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185" w:lineRule="exact"/>
        <w:rPr>
          <w:sz w:val="20"/>
          <w:szCs w:val="20"/>
          <w:color w:val="auto"/>
        </w:rPr>
      </w:pPr>
    </w:p>
    <w:p>
      <w:pPr>
        <w:jc w:val="both"/>
        <w:ind w:right="20" w:firstLine="749"/>
        <w:spacing w:after="0" w:line="254" w:lineRule="auto"/>
        <w:rPr>
          <w:sz w:val="20"/>
          <w:szCs w:val="20"/>
          <w:color w:val="auto"/>
        </w:rPr>
      </w:pPr>
      <w:r>
        <w:rPr>
          <w:rFonts w:ascii="Arial" w:cs="Arial" w:eastAsia="Arial" w:hAnsi="Arial"/>
          <w:sz w:val="18"/>
          <w:szCs w:val="18"/>
          <w:color w:val="auto"/>
        </w:rPr>
        <w:t>Pursuant to the 2019 Plan, in March 2020, the Company’s board of directors granted the Company’s Chief Executive Officer a performance-based stock option (“PSO”) to purchase 421,000 shares of common stock. The PSO is subject to the Chief Executive Officer’s continued service to the Company through the date of vesting and, if the performance condition is not met within 10 years from the date of grant, the PSO will be canceled. The shares subject to the PSO will vest in full if the Company’s average market capitalization is equal to or greater than $1 billion over a 30 calendar day period. Upon a change in control, the vesting of the shares subject to the PSO will accelerate on a pro rata basis based on the price per share in such change in control transaction multiplied by the price per share at such time divided by $1 billion, with up to 100% of the shares eligible for such accelerated vesting.</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performance-based stock option activity under the 2019 Plan for the six months ended June 30, 2020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Outstanding Performance-Based Options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Term (in</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14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Exercise Price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421,000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421,000</w:t>
            </w:r>
          </w:p>
        </w:tc>
        <w:tc>
          <w:tcPr>
            <w:tcW w:w="3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June 30, 2020</w:t>
            </w: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The aggregate intrinsic value of unexercised stock options is calculated as the difference between the closing price of the Company’s common stock of $12.97 on June 30, 2020 and the exercise price of the underlying stock options. As of June 30, 2020, the unrecognized stock-based compensation cost of unvested performance-based options was $1.3 million, which is expected to be recognized over a period of 4.3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Performance-Based Stock Options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estimated the fair value of the PSO using a Monte Carlo Model and the following assumptions and estimates: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CFF0FC"/>
            </w:tcBorders>
          </w:tcPr>
          <w:p>
            <w:pPr>
              <w:spacing w:after="0"/>
              <w:rPr>
                <w:sz w:val="14"/>
                <w:szCs w:val="14"/>
                <w:color w:val="auto"/>
              </w:rPr>
            </w:pPr>
          </w:p>
        </w:tc>
        <w:tc>
          <w:tcPr>
            <w:tcW w:w="52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Performance period (in years)</w:t>
            </w:r>
          </w:p>
        </w:tc>
        <w:tc>
          <w:tcPr>
            <w:tcW w:w="5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Derived service period (in years)</w:t>
            </w:r>
          </w:p>
        </w:tc>
        <w:tc>
          <w:tcPr>
            <w:tcW w:w="5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ind w:right="653"/>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293"/>
              <w:spacing w:after="0"/>
              <w:rPr>
                <w:sz w:val="20"/>
                <w:szCs w:val="20"/>
                <w:color w:val="auto"/>
              </w:rPr>
            </w:pPr>
            <w:r>
              <w:rPr>
                <w:rFonts w:ascii="Arial" w:cs="Arial" w:eastAsia="Arial" w:hAnsi="Arial"/>
                <w:sz w:val="18"/>
                <w:szCs w:val="18"/>
                <w:color w:val="auto"/>
                <w:w w:val="91"/>
              </w:rPr>
              <w:t>63.60%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center"/>
              <w:ind w:right="313"/>
              <w:spacing w:after="0"/>
              <w:rPr>
                <w:sz w:val="20"/>
                <w:szCs w:val="20"/>
                <w:color w:val="auto"/>
              </w:rPr>
            </w:pPr>
            <w:r>
              <w:rPr>
                <w:rFonts w:ascii="Arial" w:cs="Arial" w:eastAsia="Arial" w:hAnsi="Arial"/>
                <w:sz w:val="18"/>
                <w:szCs w:val="18"/>
                <w:color w:val="auto"/>
                <w:w w:val="90"/>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5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w w:val="92"/>
              </w:rPr>
              <w:t>–%</w:t>
            </w:r>
          </w:p>
        </w:tc>
        <w:tc>
          <w:tcPr>
            <w:tcW w:w="20" w:type="dxa"/>
            <w:vAlign w:val="bottom"/>
          </w:tcPr>
          <w:p>
            <w:pPr>
              <w:spacing w:after="0"/>
              <w:rPr>
                <w:sz w:val="19"/>
                <w:szCs w:val="19"/>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Estimated fair value (per share)</w:t>
            </w:r>
          </w:p>
        </w:tc>
        <w:tc>
          <w:tcPr>
            <w:tcW w:w="5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48"/>
        </w:trPr>
        <w:tc>
          <w:tcPr>
            <w:tcW w:w="3960" w:type="dxa"/>
            <w:vAlign w:val="bottom"/>
          </w:tcPr>
          <w:p>
            <w:pPr>
              <w:spacing w:after="0"/>
              <w:rPr>
                <w:sz w:val="24"/>
                <w:szCs w:val="24"/>
                <w:color w:val="auto"/>
              </w:rPr>
            </w:pPr>
          </w:p>
        </w:tc>
        <w:tc>
          <w:tcPr>
            <w:tcW w:w="5280" w:type="dxa"/>
            <w:vAlign w:val="bottom"/>
          </w:tcPr>
          <w:p>
            <w:pPr>
              <w:jc w:val="right"/>
              <w:ind w:right="343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Restricted Stock Units Activity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summary of the Company’s RSU activity under the 2019 Plan and Inducement Plan for the six months ended June 30, 2020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360" w:type="dxa"/>
            <w:vAlign w:val="bottom"/>
            <w:tcBorders>
              <w:bottom w:val="single" w:sz="8" w:color="auto"/>
            </w:tcBorders>
            <w:gridSpan w:val="7"/>
          </w:tcPr>
          <w:p>
            <w:pPr>
              <w:jc w:val="center"/>
              <w:ind w:left="1017"/>
              <w:spacing w:after="0"/>
              <w:rPr>
                <w:sz w:val="20"/>
                <w:szCs w:val="20"/>
                <w:color w:val="auto"/>
              </w:rPr>
            </w:pPr>
            <w:r>
              <w:rPr>
                <w:rFonts w:ascii="Arial" w:cs="Arial" w:eastAsia="Arial" w:hAnsi="Arial"/>
                <w:sz w:val="14"/>
                <w:szCs w:val="14"/>
                <w:b w:val="1"/>
                <w:bCs w:val="1"/>
                <w:color w:val="auto"/>
                <w:w w:val="91"/>
              </w:rPr>
              <w:t>Unvested Restricted Stock Units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vMerge w:val="restart"/>
          </w:tcPr>
          <w:p>
            <w:pPr>
              <w:spacing w:after="0"/>
              <w:rPr>
                <w:sz w:val="20"/>
                <w:szCs w:val="20"/>
                <w:color w:val="auto"/>
              </w:rPr>
            </w:pPr>
            <w:r>
              <w:rPr>
                <w:rFonts w:ascii="Arial" w:cs="Arial" w:eastAsia="Arial" w:hAnsi="Arial"/>
                <w:sz w:val="18"/>
                <w:szCs w:val="18"/>
                <w:color w:val="auto"/>
              </w:rPr>
              <w:t>(in thousands, except share and per share data)</w:t>
            </w: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60" w:type="dxa"/>
            <w:vAlign w:val="bottom"/>
            <w:vMerge w:val="continue"/>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RSUs 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554,590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RSUs vested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(43,620)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RSUs cancelled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46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three-year period, or in some cases quarterly over a three-year period. The Company accounted for the fair value of the RSUs using the closing market price of the Company’s common stock on the date of grant.</w:t>
      </w:r>
    </w:p>
    <w:p>
      <w:pPr>
        <w:spacing w:after="0" w:line="171"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aggregate fair value of unvested RSUs is calculated using the closing price of the Company’s common stock of $12.97 on June 30, 2020. As of June 30, 2020, the unrecognized stock-based compensation cost of unvested RSUs was $5.0 million, which is expected to be recognized over a weighted-average period of 3.1 years.</w:t>
      </w:r>
    </w:p>
    <w:p>
      <w:pPr>
        <w:spacing w:after="0" w:line="157"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Activity and Valuation</w:t>
      </w:r>
    </w:p>
    <w:p>
      <w:pPr>
        <w:spacing w:after="0" w:line="18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During the six months ended June 30, 2020, 71,480 shares of common stock were purchased under the ESPP. The following assumptions were used to calculate the stock-based compensation for each stock purchase right granted under the ESPP: a weighted-average expected life of 0.5 years, expected volatility of 102.1%, a risk-free interest rate of 0.1%, and a zero dividend yield.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stock-based compensation expense by award type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Performance-based stock options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ESPP</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14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1,219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48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1,822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Redeemable Convertible Preferred Stock Warrants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September 2014, in connection with a loan, the Company issued a warrant to purchase 22,489 shares of its Series B redeemable convertible preferred stock at an exercise price of $4.60 per share.</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June 2017, as additional consideration for the Revolving Loan (see Note 6), the Company issued a warrant to purchase up to 62,096 shares of its Series C redeemable convertible preferred stock at an exercise price of $8.052, subject to certain adjustments, such as any stock splits, stock dividends, recapitalizations, reclassifications, combinations, or similar transactions. The remaining term of the Series C convertible preferred stock warrant is seven years from June 28, 2017.</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4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2018, the fair values of the convertible preferred stock warrants were calculated to be $0.7 million.</w:t>
      </w:r>
    </w:p>
    <w:p>
      <w:pPr>
        <w:spacing w:after="0" w:line="1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Immediately prior to the closing of the Company’s IPO, the redeemable convertible preferred stock warrants automatically converted to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4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Subsequent to the conversion to a common stock warrant and before the end of the Company’s second quarter ended June 30, 2019, the warrant for 22,489 shares was exercised. As a result, the Company issued 19,069 shares of common stock as the warrant allowed for a net share settlement. Separately, the warrant for 62,096 shares issued in June 2017 was still outstanding as of June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Warrants</w:t>
      </w:r>
    </w:p>
    <w:p>
      <w:pPr>
        <w:spacing w:after="0" w:line="20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w:t>
      </w:r>
    </w:p>
    <w:p>
      <w:pPr>
        <w:spacing w:after="0" w:line="131"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In connection with the Growth Capital Loan agreement (see Note 6), the Company issued a warrant to purchase 65,502 shares of common stock to the lender at an exercise price of $9.16 per share exercisable for seven years from March 22, 2019. The Company recorded the issuance-date fair value of the warrant of $0.6 million in equity as the warrant met all criteria for equity classification. The warrant was still outstanding as of June 30,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98"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June 30, 2020, the Company was not involved in any material legal proceedings.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Indemnification</w:t>
      </w:r>
    </w:p>
    <w:p>
      <w:pPr>
        <w:spacing w:after="0" w:line="198"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18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Because the Company reported a net loss for all periods presented,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46"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4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(9,255)</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(18,394)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(11,554)</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99"/>
              </w:rPr>
              <w:t>31,731,628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6,597,811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99"/>
              </w:rPr>
              <w:t>31,538,329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4,854,125</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shares subject to repurchase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r>
      <w:tr>
        <w:trPr>
          <w:trHeight w:val="209"/>
        </w:trPr>
        <w:tc>
          <w:tcPr>
            <w:tcW w:w="5840" w:type="dxa"/>
            <w:vAlign w:val="bottom"/>
          </w:tcPr>
          <w:p>
            <w:pPr>
              <w:ind w:left="260"/>
              <w:spacing w:after="0"/>
              <w:rPr>
                <w:sz w:val="20"/>
                <w:szCs w:val="20"/>
                <w:color w:val="auto"/>
              </w:rPr>
            </w:pPr>
            <w:r>
              <w:rPr>
                <w:rFonts w:ascii="Arial" w:cs="Arial" w:eastAsia="Arial" w:hAnsi="Arial"/>
                <w:sz w:val="18"/>
                <w:szCs w:val="18"/>
                <w:color w:val="auto"/>
                <w:w w:val="92"/>
              </w:rPr>
              <w:t>Weighted-average shares outstanding used in computing net loss per share</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attributable to common stockholders—basic and diluted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31,731,628</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6,597,007</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31,538,329</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4,853,325</w:t>
            </w: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Net loss per share attributable to common stockholders—basic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4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127,598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127,598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127,598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560" w:type="dxa"/>
            <w:vAlign w:val="bottom"/>
            <w:gridSpan w:val="2"/>
          </w:tcPr>
          <w:p>
            <w:pPr>
              <w:jc w:val="right"/>
              <w:ind w:right="37"/>
              <w:spacing w:after="0"/>
              <w:rPr>
                <w:sz w:val="20"/>
                <w:szCs w:val="20"/>
                <w:color w:val="auto"/>
              </w:rPr>
            </w:pPr>
            <w:r>
              <w:rPr>
                <w:rFonts w:ascii="Arial" w:cs="Arial" w:eastAsia="Arial" w:hAnsi="Arial"/>
                <w:sz w:val="18"/>
                <w:szCs w:val="18"/>
                <w:color w:val="auto"/>
              </w:rPr>
              <w:t>5,624,766</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4,563,163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5,624,766</w:t>
            </w:r>
          </w:p>
        </w:tc>
        <w:tc>
          <w:tcPr>
            <w:tcW w:w="1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4,563,163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units</w:t>
            </w:r>
          </w:p>
        </w:tc>
        <w:tc>
          <w:tcPr>
            <w:tcW w:w="256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629,470</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629,470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560" w:type="dxa"/>
            <w:vAlign w:val="bottom"/>
            <w:gridSpan w:val="2"/>
          </w:tcPr>
          <w:p>
            <w:pPr>
              <w:jc w:val="right"/>
              <w:ind w:right="37"/>
              <w:spacing w:after="0"/>
              <w:rPr>
                <w:sz w:val="20"/>
                <w:szCs w:val="20"/>
                <w:color w:val="auto"/>
              </w:rPr>
            </w:pPr>
            <w:r>
              <w:rPr>
                <w:rFonts w:ascii="Arial" w:cs="Arial" w:eastAsia="Arial" w:hAnsi="Arial"/>
                <w:sz w:val="18"/>
                <w:szCs w:val="18"/>
                <w:color w:val="auto"/>
              </w:rPr>
              <w:t>95,403</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61,892</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95,403</w:t>
            </w:r>
          </w:p>
        </w:tc>
        <w:tc>
          <w:tcPr>
            <w:tcW w:w="1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common stock options</w:t>
            </w:r>
          </w:p>
        </w:tc>
        <w:tc>
          <w:tcPr>
            <w:tcW w:w="1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6,477,237</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4,753,201</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6,477,237</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4,753,201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25</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2019 filed with the Securities and Exchange Commission (the “SEC”) on March 25, 2020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w:t>
      </w:r>
    </w:p>
    <w:p>
      <w:pPr>
        <w:spacing w:after="0" w:line="15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In August 2020, we launched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based on our NeXT Platform that we envision being used initially by both leading clinical cancer centers as well as biopharmaceutical companies.</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operations have been impacted by the ongoing COVID-19 pandemic. In December 2019, a novel strain of coronavirus, SARS-CoV-2, causing a disease referred to as COVID-19, was reported to have surfaced in Wuhan, China. Since then, COVID-19 has spread to over 200 countries and territories, including the United States. On March 4, 2020, the State of California declared a state of emergency related to the spread of COVID-19, and the San Francisco Department of Public Health announced aggressive recommendations to reduce the spread of the disease, including recommendations to suspend nonessential travel, encourage telecommuting, and cancel or postpone large gatherings. On March 10, 2020, the World Health Organization declared the COVID-19 outbreak a pandemic. Further, on March 13, 2020, the President of the United States declared the COVID-19 pandemic a national emergency, invoking powers under the Stafford Act, the legislation that directs federal emergency disaster response. On March 16, 2020, the health officers of six San Francisco Bay Area counties, including San Mateo County where our headquarters and laboratory facilities are located, issued shelter-in-place orders that took effect at 12:01 a.m., Pacific Time, on March 17, 2020 (i) directing all individuals living in those counties to shelter at their places of residence (subject to limited exceptions), (ii) directing all businesses and governmental agencies to cease non-essential operations at physical locations in those counties, (iii) prohibiting all non-essential gatherings of any number of individuals, and (iv) ordering cessation of all non-essential travel.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Authorities in other states, where our customers, suppliers and partners may be located, have followed suit and issued orders with similar goals and restrictions.</w:t>
      </w:r>
    </w:p>
    <w:p>
      <w:pPr>
        <w:spacing w:after="0" w:line="12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While the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 We provided temporary increased pay to certain laboratory personnel in the second quarter for their work during the COVID-19 pandemic, and may continue to do so in the future. The shelter-in-place order has negatively impacted productivity, disrupted our business, and slowed research and development activities due to us limiting access to our laboratory space that would otherwise be used by our research and development group, and, to the extent such order remains in place, it may continue to cause such effects on our operations. In addition, the shelter-in-place order may disrupt the ability of our suppliers to fulfill our purchase orders in a timely manner or at all. Several of our customers were delayed in sending us samples in the second quarter due to the inability to collect or ship samples during the COVID-19 pandemic, and additional customers may be disrupted from sending purchase orders and samples to us in the future. Many of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7"/>
          <w:szCs w:val="17"/>
          <w:color w:val="auto"/>
        </w:rPr>
        <w:t>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our laboratory employees were to contract COVID-19, we may significantly curtail our laboratory operations or pause operations altogether until the imminent health risk to our employees subsided. Such disruptions in our operations, and our customers’ and suppliers’ operations, may adversely affect our financial condition and operating results.</w:t>
      </w:r>
    </w:p>
    <w:p>
      <w:pPr>
        <w:spacing w:after="0" w:line="14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scope and duration of such impact is highly uncertain. We are unable to predict or quantify the impact of any potential disruption to our supply chain, changes in consumer demand or any other actions that may become necessary as events unfold. In response to this uncertainty, the COVID-19 Advisory Committee of our board of directors was formed in March 2020 and is responsible for advising management on the unique risks to our business, operations, employees, facilities and financial condition related to the COVID-19 pandemic and overseeing our plans and initiatives to respond to and mitigate the risks presented by the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derive our revenues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additional state-of-the-art products, advancing our operational infrastructure, expanding our international presence,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have one reportable segment from the sale of sequencing and data analysis services. Substantially all of our revenues to date have been derived from sales in the United States.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Costs of Revenues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Costs of revenues consist of production material costs, personnel costs (salaries, bonuses, benefits, and stock-based compensation), costs of consumables, laboratory supplies, depreciation and service maintenance on capitalized equipment, and information technology (“IT”) and facility costs. We expect costs of revenues to increase as our revenues grow, and in the short term costs of revenues may outpace revenues growth as we invest in expanding our laboratory capacity, but over time the cost per unit of data delivered is expected to decrease due to economies of scale we may gain as volume increases, automation initiatives, and other cost reductions.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Research and development expenses consist of costs incurred for the development of our products. These expenses consist primarily of payroll and personnel costs (salaries, bonuses, benefits, and stock-based compensation), costs of consumables, laboratory supplies, depreciation and service maintenance on capitalized equipment, and IT and facilities costs. These expenses also include costs associated with our collaborations, which we expect to increase over time.</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expense our research and development expenses in the period in which they are incurred. We expect to increase our research and development expenses as we continue to develop new products.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Selling expenses consist of personnel costs, customer support expenses, direct marketing expenses, educational and promotional expenses, and market research. Our general and administrative expenses include costs for our executive, accounting, finance, legal, and human resources functions. These expenses consist of personnel costs, audit and legal expenses, consulting costs, and IT and facility costs. We expense all selling, general and administrative expenses as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jc w:val="both"/>
        <w:ind w:right="20" w:firstLine="749"/>
        <w:spacing w:after="0" w:line="286" w:lineRule="auto"/>
        <w:rPr>
          <w:sz w:val="20"/>
          <w:szCs w:val="20"/>
          <w:color w:val="auto"/>
        </w:rPr>
      </w:pPr>
      <w:r>
        <w:rPr>
          <w:rFonts w:ascii="Arial" w:cs="Arial" w:eastAsia="Arial" w:hAnsi="Arial"/>
          <w:sz w:val="17"/>
          <w:szCs w:val="17"/>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will increase as we scale our operations.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Interest income consists primarily of interest earned on our cash and cash equivalents and short-term investments. Interest income increased significantly in the second half of 2019 and through the second quarter of 2020 as a result of us investing proceeds from the IPO. We expect interest income to decline throughout the remainder of 2020 consistent with the recent declines in yields on debt securities.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Previously, interest expense primarily consisted of cash and non-cash interest costs related to our term loan, convertible promissory notes, revolving loan and security agreement (the “Revolving Loan”) with TriplePoint Capital LLC (“TriplePoint”), and growth capital loan (the “Growth Capital Loan”) with TriplePoint. After the payoff of our Growth Capital Loan in August 2019, we no longer have any outstanding debt and have not incurred material interest expense from that point forward.</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8"/>
          <w:szCs w:val="18"/>
          <w:color w:val="auto"/>
        </w:rPr>
        <w:t>Other income (expense), net consists primarily of foreign currency exchange gains and losses. In 2019, other income (expense), net also consisted of changes in fair value of convertible preferred stock warrant liability. Due to the conversion of convertible preferred stock warrants to common stock warrants upon our IPO, changes in fair value of such warrants are no longer recorded through income since our IPO. See Note 10 included elsewhere in this Quarterly Report on Form 10-Q for further discussion of this item. We expect our foreign currency gains and losses to continue to fluctuate in the future due to changes in foreign currency exchange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sets forth, for the periods presented, our unaudited condensed consolidated statements of operations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FF0FC"/>
            </w:tcBorders>
            <w:vMerge w:val="continue"/>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31,731,628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6,597,007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31,538,329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4,853,325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revenues by customer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5"/>
              </w:rPr>
              <w:t>Three Months Ended June 30,</w:t>
            </w:r>
          </w:p>
        </w:tc>
        <w:tc>
          <w:tcPr>
            <w:tcW w:w="2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208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Six Months Ended June 30,</w:t>
            </w:r>
          </w:p>
        </w:tc>
        <w:tc>
          <w:tcPr>
            <w:tcW w:w="24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r>
      <w:tr>
        <w:trPr>
          <w:trHeight w:val="155"/>
        </w:trPr>
        <w:tc>
          <w:tcPr>
            <w:tcW w:w="38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16,879</w:t>
            </w:r>
          </w:p>
        </w:tc>
        <w:tc>
          <w:tcPr>
            <w:tcW w:w="128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1260" w:type="dxa"/>
            <w:vAlign w:val="bottom"/>
            <w:tcBorders>
              <w:bottom w:val="single" w:sz="8" w:color="CFF0FC"/>
            </w:tcBorders>
            <w:gridSpan w:val="2"/>
          </w:tcPr>
          <w:p>
            <w:pPr>
              <w:jc w:val="right"/>
              <w:ind w:right="228"/>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1280" w:type="dxa"/>
            <w:vAlign w:val="bottom"/>
            <w:tcBorders>
              <w:bottom w:val="single" w:sz="8" w:color="CFF0FC"/>
            </w:tcBorders>
            <w:gridSpan w:val="2"/>
          </w:tcPr>
          <w:p>
            <w:pPr>
              <w:jc w:val="right"/>
              <w:ind w:right="22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15,825</w:t>
            </w:r>
          </w:p>
        </w:tc>
        <w:tc>
          <w:tcPr>
            <w:tcW w:w="1260" w:type="dxa"/>
            <w:vAlign w:val="bottom"/>
            <w:tcBorders>
              <w:bottom w:val="single" w:sz="8" w:color="CFF0FC"/>
            </w:tcBorders>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29,900</w:t>
            </w:r>
          </w:p>
        </w:tc>
        <w:tc>
          <w:tcPr>
            <w:tcW w:w="1280" w:type="dxa"/>
            <w:vAlign w:val="bottom"/>
            <w:tcBorders>
              <w:bottom w:val="single" w:sz="8" w:color="CFF0FC"/>
            </w:tcBorders>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concentration of revenues by customer: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40" w:type="dxa"/>
            <w:vAlign w:val="bottom"/>
            <w:gridSpan w:val="4"/>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7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56%</w:t>
            </w: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Pfizer Inc.</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19"/>
                <w:szCs w:val="19"/>
                <w:color w:val="auto"/>
              </w:rPr>
            </w:pPr>
          </w:p>
        </w:tc>
      </w:tr>
      <w:tr>
        <w:trPr>
          <w:trHeight w:val="229"/>
        </w:trPr>
        <w:tc>
          <w:tcPr>
            <w:tcW w:w="5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Customer D</w:t>
            </w:r>
          </w:p>
        </w:tc>
        <w:tc>
          <w:tcPr>
            <w:tcW w:w="12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VA MVP</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increase in revenues from the VA MVP during the second quarter and first half of 2020 was driven by an increase in the volume of samples we tested in each such period. This increase was driven by a significant rise in the number of samples we received from the VA MVP since the start of 2019. Our increasingly automated laboratory has supported this higher level of sample volumes.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All Other Customers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decrease in revenues from all other customers during the second quarter of 2020 was driven by a decrease in the volume of samples we tested in the period. This was due to the receipt of relatively large orders for specific projects from pharmaceutical customers in early 2018 that were fulfilled beginning around the second quarter of 2018 through the second quarter of 2019, and did not recur due to transitioning customers from our ACE platform to the ImmunoID NeXT platform. Decreases in revenue recognized from large pharmaceutical companies partnering with us on retrospective clinical trials accounted for most of the decrease.</w:t>
      </w:r>
    </w:p>
    <w:p>
      <w:pPr>
        <w:spacing w:after="0" w:line="16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The decrease in revenues from all other customers during the first half of 2020 was driven by a decrease in the volume of samples we tested in the period. This was due to the receipt of relatively large orders for specific projects from pharmaceutical customers in early 2018 that were fulfilled beginning around the second quarter of 2018 through the second quarter of 2019, and did not recur due to transitioning customers from our ACE platform to the ImmunoID NeXT platform. Decreases in revenue recognized from large pharmaceutical companies partnering with us on retrospective clinical trials accounted for most of the decrease in the half, partially offset by revenue recognized from a new biobank customer.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Three Months Ended June 30,</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194"/>
              <w:spacing w:after="0"/>
              <w:rPr>
                <w:sz w:val="20"/>
                <w:szCs w:val="20"/>
                <w:color w:val="auto"/>
              </w:rPr>
            </w:pPr>
            <w:r>
              <w:rPr>
                <w:rFonts w:ascii="Arial" w:cs="Arial" w:eastAsia="Arial" w:hAnsi="Arial"/>
                <w:sz w:val="14"/>
                <w:szCs w:val="14"/>
                <w:b w:val="1"/>
                <w:bCs w:val="1"/>
                <w:color w:val="auto"/>
                <w:w w:val="97"/>
              </w:rPr>
              <w:t>Six Months Ended June 30,</w:t>
            </w:r>
          </w:p>
        </w:tc>
        <w:tc>
          <w:tcPr>
            <w:tcW w:w="2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r>
      <w:tr>
        <w:trPr>
          <w:trHeight w:val="155"/>
        </w:trPr>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Costs of revenues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5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12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49%</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29,945</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20,014</w:t>
            </w:r>
          </w:p>
        </w:tc>
        <w:tc>
          <w:tcPr>
            <w:tcW w:w="12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4,497</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9,742</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32%</w:t>
            </w:r>
          </w:p>
        </w:tc>
        <w:tc>
          <w:tcPr>
            <w:tcW w:w="100" w:type="dxa"/>
            <w:vAlign w:val="bottom"/>
          </w:tcPr>
          <w:p>
            <w:pPr>
              <w:spacing w:after="0"/>
              <w:rPr>
                <w:sz w:val="19"/>
                <w:szCs w:val="19"/>
                <w:color w:val="auto"/>
              </w:rPr>
            </w:pP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w:t>
            </w:r>
          </w:p>
        </w:tc>
        <w:tc>
          <w:tcPr>
            <w:tcW w:w="12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41%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9,636</w:t>
            </w:r>
          </w:p>
        </w:tc>
        <w:tc>
          <w:tcPr>
            <w:tcW w:w="12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55%</w:t>
            </w:r>
          </w:p>
        </w:tc>
        <w:tc>
          <w:tcPr>
            <w:tcW w:w="100" w:type="dxa"/>
            <w:vAlign w:val="bottom"/>
            <w:shd w:val="clear" w:color="auto" w:fill="CFF0FC"/>
          </w:tcPr>
          <w:p>
            <w:pPr>
              <w:spacing w:after="0"/>
              <w:rPr>
                <w:sz w:val="19"/>
                <w:szCs w:val="19"/>
                <w:color w:val="auto"/>
              </w:rPr>
            </w:pPr>
          </w:p>
        </w:tc>
      </w:tr>
      <w:tr>
        <w:trPr>
          <w:trHeight w:val="223"/>
        </w:trPr>
        <w:tc>
          <w:tcPr>
            <w:tcW w:w="322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19,886</w:t>
            </w: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46%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39,392</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47%</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Costs of Revenues</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increase in the second quarter of 2020 was primarily due to the increase in revenues discussed above. The cost components related to the increase in costs of revenues were a $3.8 million increase in production materials due primarily to higher VA MVP volumes; a $0.8 million increase related to personnel-related costs including salaries, bonuses, benefits, and stock-based compensation expense in connection with raising our testing capacity (including approximately $0.2 million related to temporary increased pay to certain laboratory personnel in the second quarter for their work during the COVID-19 pandemic); a $0.2 million increase in depreciation and maintenance due to our additions of laboratory equipment; and a $0.1 million increase in IT and facility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749"/>
        <w:spacing w:after="0" w:line="293" w:lineRule="auto"/>
        <w:rPr>
          <w:sz w:val="20"/>
          <w:szCs w:val="20"/>
          <w:color w:val="auto"/>
        </w:rPr>
      </w:pPr>
      <w:r>
        <w:rPr>
          <w:rFonts w:ascii="Arial" w:cs="Arial" w:eastAsia="Arial" w:hAnsi="Arial"/>
          <w:sz w:val="16"/>
          <w:szCs w:val="16"/>
          <w:color w:val="auto"/>
        </w:rPr>
        <w:t>The increase in the first half of 2020 was primarily due to the increase in revenues discussed above. The cost components related to the increase in costs of revenues were a $7.4 million increase in production materials due primarily to higher VA MVP volumes; a $1.1 million increase related to personnel-related costs including salaries, bonuses, benefits, and stock-based compensation expense in connection with raising our testing capacity (including approximately $0.2 million related to temporary increased pay to certain laboratory personnel in the second quarter for their work during the COVID-19 pandemic); a $0.5 million increase in depreciation and maintenance costs due to our additions of laboratory equipment; a $0.5 million increase in the cost of consumables and laboratory supplies; a $0.3 million increase in IT and facility costs; and a $0.1 million increase in other costs.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increase in the second quarter of 2020 was primarily due to investments in new product offerings and lab automation efforts, and consisted of an increase of $1.4 million in personnel-related costs, including salaries, bonuses, benefits, and stock-based compensation expense; a $0.3 million increase in laboratory supplies costs; and a $0.3 million increase in IT and facilities costs.</w:t>
      </w:r>
    </w:p>
    <w:p>
      <w:pPr>
        <w:spacing w:after="0" w:line="14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increase in the first half of 2020 was primarily due to investments in new product offerings and lab automation efforts, and consisted of an increase of $2.5 million in personnel-related costs, including salaries, bonuses, benefits, and stock-based compensation expense; a $0.3 million increase in laboratory supplies costs; and a $0.3 million increase in IT and facilities costs.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8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increase in the second quarter of 2020 was due to a $1.3 million increase in personnel-related costs including salaries, bonuses, benefits, and stock-based compensation expense primarily related to increased headcount to support expansion of our commercial team; and a $0.9 million increase in professional services primarily related to public company-related costs (including corporate insurance, audit fees, and legal expenses).</w:t>
      </w:r>
    </w:p>
    <w:p>
      <w:pPr>
        <w:spacing w:after="0" w:line="10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increase in the first half of 2020 was due to a $3.3 million increase in personnel-related costs including salaries, bonuses, benefits, and stock-based compensation expense primarily related to increased headcount to support expansion of our commercial team; a $1.9 million increase in professional services primarily related to public company-related costs (including corporate insurance, audit fees, and legal expenses); and a $0.1 million increase in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Six Months Ended June 30,</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r>
      <w:tr>
        <w:trPr>
          <w:trHeight w:val="155"/>
        </w:trPr>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0" w:type="dxa"/>
            <w:vAlign w:val="bottom"/>
            <w:gridSpan w:val="2"/>
            <w:shd w:val="clear" w:color="auto" w:fill="CFF0FC"/>
          </w:tcPr>
          <w:p>
            <w:pPr>
              <w:jc w:val="right"/>
              <w:ind w:right="50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246</w:t>
            </w:r>
          </w:p>
        </w:tc>
        <w:tc>
          <w:tcPr>
            <w:tcW w:w="5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23%</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(929)</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2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(1,261)</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(1,413)</w:t>
            </w:r>
          </w:p>
        </w:tc>
        <w:tc>
          <w:tcPr>
            <w:tcW w:w="102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23"/>
        </w:trPr>
        <w:tc>
          <w:tcPr>
            <w:tcW w:w="298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114%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40" w:type="dxa"/>
            <w:vAlign w:val="bottom"/>
          </w:tcPr>
          <w:p>
            <w:pPr>
              <w:spacing w:after="0"/>
              <w:rPr>
                <w:sz w:val="19"/>
                <w:szCs w:val="19"/>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increases in the second quarter and first half of 2020 were driven by higher average cash and investment balances subsequent to our IPO in June 2019, partially offset by lower yields on our available-for-sale debt securities beginning around the second quarter of 2020.</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second quarter of 2019 included cash and non-cash interest expense related primarily to the Growth Capital Loan, while the six-month period ended June 30, 2019 also included cash and non-cash interest expense related to the Revolving Loan, which was paid off in late March 2019 with proceeds from the Growth Capital Loan. Since the repayment of the Growth Capital Loan in August 2019, we have had no outstanding debt and therefore did not incur significant interest expense in the first and second quarters of 2020.</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Other expense in the first and second quarters of 2019 was primarily composed of increases in the fair values of warrants for Series B and Series C redeemable convertible preferred stock as a result of increases to the estimated fair value of our equity during the same periods. Other income in the first and second quarters of 2020 was primarily comprised of foreign currency gains.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following tables present selected financial information and statistics as of and for the six months ended June 30, 2020 and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As of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short-term investments</w:t>
            </w:r>
          </w:p>
        </w:tc>
        <w:tc>
          <w:tcPr>
            <w:tcW w:w="940" w:type="dxa"/>
            <w:vAlign w:val="bottom"/>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105,233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163,269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12,650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Working capital</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77,084</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119,826</w:t>
            </w:r>
          </w:p>
        </w:tc>
        <w:tc>
          <w:tcPr>
            <w:tcW w:w="120" w:type="dxa"/>
            <w:vAlign w:val="bottom"/>
          </w:tcPr>
          <w:p>
            <w:pPr>
              <w:spacing w:after="0"/>
              <w:rPr>
                <w:sz w:val="20"/>
                <w:szCs w:val="20"/>
                <w:color w:val="auto"/>
              </w:rPr>
            </w:pPr>
          </w:p>
        </w:tc>
      </w:tr>
      <w:tr>
        <w:trPr>
          <w:trHeight w:val="445"/>
        </w:trPr>
        <w:tc>
          <w:tcPr>
            <w:tcW w:w="772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(23,997)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(10,836)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(7,650)</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(2,801)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157,163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From our inception through June 30, 2020, we have funded our operations primarily from $144.0 million in net proceeds from our IPO in June 2019 and $89.6 million from issuance of redeemable convertible preferred stock, as well as cash from operations and debt financing. On March 22, 2019, we received $20.0 million in gross cash proceeds from the Growth Capital Loan. As of June 30, 2020, we had cash and cash equivalents in the amount of $25.0 million and short-term investments in the amount of $80.2 million.</w:t>
      </w:r>
    </w:p>
    <w:p>
      <w:pPr>
        <w:spacing w:after="0" w:line="14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have based these future funding requirements on assumptions that may prove to be wrong, and we could utilize our available capital resources sooner than we expect. If our available cash balances, net proceeds from the offering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5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On March 22, 2019, we entered into the Growth Capital Loan with TriplePoint to provide for a $20.0 million growth capital loan facility and drew down the full $20.0 million available under the facility. We used $5.1 million of the Growth Capital Loan to repay, in its entirety, all amounts outstanding under our $10.0 million Revolving Loan with TriplePoint, under which we borrowed $5.0 million in June 2017. Borrowings under the Growth Capital Loan bore interest at a floating rate of prime, plus 5.00%, for borrowings up to $15.0 million and the prime rate plus 6.50% for borrowings greater than $15.0 million. Under the Growth Capital Loan, we were required to make monthly interest-only payments through April 1, 2020 and 36 equal monthly payments of principal, plus accrued interest, from April 1, 2020 through March 1, 2023, when all unpaid principal and interest was to become due and payable. The Growth Capital Loan allowed voluntary prepayment of all, but not part, of the outstanding principal at any time prior to the maturity date, subject to a prepayment fee of 1.00% of the outstanding balance if prepaid in months one through 12 of the loan term. In addition to the final payment, we paid an amount equal to 2.75% of each principal amount drawn under the Growth Capital Loan.</w:t>
      </w:r>
    </w:p>
    <w:p>
      <w:pPr>
        <w:spacing w:after="0" w:line="14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In connection with the Growth Capital Loan, we issued a warrant to purchase 65,502 shares of common stock to TriplePoint at an exercise price of $9.16 per share. The warrant is exercisable for seven years from March 22, 2019. We recorded the issuance-date fair value of the warrant of $0.6 million and fees paid to TriplePoint of $0.3 million as a debt discount, which was amortized over the term of the Growth Capital Loan using the effective interest method. Upon issuance, the Growth Capital Loan had an effective interest rate of 15.23% per year. On August 14, 2019, we paid off the Growth Capital Loan in its entirety. Interest expense for the three and six months ended June 30, 2019 was $0.7 million.</w:t>
      </w:r>
    </w:p>
    <w:p>
      <w:pPr>
        <w:spacing w:after="0" w:line="136"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jc w:val="both"/>
        <w:ind w:firstLine="749"/>
        <w:spacing w:after="0" w:line="308" w:lineRule="auto"/>
        <w:rPr>
          <w:sz w:val="20"/>
          <w:szCs w:val="20"/>
          <w:color w:val="auto"/>
        </w:rPr>
      </w:pPr>
      <w:r>
        <w:rPr>
          <w:rFonts w:ascii="Arial" w:cs="Arial" w:eastAsia="Arial" w:hAnsi="Arial"/>
          <w:sz w:val="17"/>
          <w:szCs w:val="17"/>
          <w:color w:val="auto"/>
        </w:rPr>
        <w:t>During the six months ended June 30, 2020, cash used in operating activities of $24.0 million was a result of $18.4 million of net loss and the net negative change in operating assets and liabilities of $12.1 million, partially offset by non-cash adjustments to net income of $6.5 million.</w:t>
      </w:r>
    </w:p>
    <w:p>
      <w:pPr>
        <w:spacing w:after="0" w:line="119"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During the six months ended June 30, 2019, cash used in operating activities of $10.8 million was a result of $11.6 million of net loss and the net negative change in operating assets and liabilities of $5.6 million, partially offset by non-cash adjustments to net income of $6.4 million.</w:t>
      </w:r>
    </w:p>
    <w:p>
      <w:pPr>
        <w:spacing w:after="0" w:line="10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During the six months ended June 30, 2020, cash used in investing activities was $7.7 million as a result of $6.8 million purchases of available-for-sale debt securities, net of maturities, and $0.9 million acquisitions of property and equipment. Cash provided by financing activities of $1.6 million during the same period consisted of $1.0 million proceeds from stock option exercises and $0.6 million proceeds from ESPP purchases.</w:t>
      </w:r>
    </w:p>
    <w:p>
      <w:pPr>
        <w:spacing w:after="0" w:line="1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During the six months ended June 30, 2019, cash used in investing activities consisted entirely of $2.8 million acquisitions of property and equipment used for our sequencing and data analysis services. Cash provided by financing activities of $157.2 million during the same period consisted primarily of $144.0 million of net proceeds from our IPO, $20.0 million proceeds from the issuance of the Growth Capital Loan, and $0.6 million proceeds from stock option exercises, partially offset by $5.0 million cash used to repay a revolving loan, $1.9 million costs related to our IPO, and $0.5 million payments of borrowing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Property and Equipment</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capital expenditures were $0.9 million during the six months ended June 30, 2020, which was primarily related to the acquisition of property and equipment used for our sequencing and data analysis services. The decrease from the same period in the prior year was due to timing of new purchases of property and equipment. We expect to increase spending later in 2020 such that cumulative purchases of property and equipment during 2020 approximate total purchases in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9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We previously entered into various forms of convertible debt and revolving loans to finance our operations prior to our IPO. After our IPO, we paid off all remaining debt and now have zero outstanding debt balances.</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Further information regarding our debt issuances can be found in Part I, Item 1 of this Quarterly Report on Form 10-Q in the Notes to Condensed Consolidated Financial Statements in Note 6–Borrowings.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did not have any off-balance sheet arrangements as of June 30,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6"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the valuation of common stock warrants and convertible preferred stock warrants, convertible instruments, stock-based compensation, and income taxes have the greatest potential impact on our condensed consolidated financial statements. Therefore, we consider these to be our critical accounting policies and estimates.</w:t>
      </w:r>
    </w:p>
    <w:p>
      <w:pPr>
        <w:spacing w:after="0" w:line="134"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2019 under the caption “Critical Accounting Policies and Estimates” in Management’s Discussion and Analysis of Financial Condition and Results of Operations, set forth in Part II, Item 7, except for a new estimate in connection with a performance-based stock option granted to our Chief Executive Officer in the first quarter of 2020 as described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Pursuant to our 2019 Equity Incentive Plan (the “2019 Plan”), in March 2020, our board of directors granted our Chief Executive Officer a performance-based stock option (“PSO”) to purchase 421,000 shares of our common stock. The PSO is subject to the Chief Executive Officer’s continued service to us through the date of vesting and if the performance condition is not met within 10 years from the date of grant, the PSO will be canceled. The shares subject to the PSO will vest in full if our average market capitalization is equal to or greater than $1 billion over a 30 calendar day period. Upon a change in control, the vesting of the shares subject to the PSO will accelerate on a pro rata basis based on the price per share in such change in control transaction multiplied by the price per share at such time divided by $1 billion, with up to 100% of the shares eligible for such accelerated vesting.</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used a Monte Carlo Model to estimate fair value of the award. The assumptions used in calculating the estimated values of the PSO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Borders>
              <w:bottom w:val="single" w:sz="8" w:color="CFF0FC"/>
            </w:tcBorders>
          </w:tcPr>
          <w:p>
            <w:pPr>
              <w:spacing w:after="0"/>
              <w:rPr>
                <w:sz w:val="14"/>
                <w:szCs w:val="14"/>
                <w:color w:val="auto"/>
              </w:rPr>
            </w:pPr>
          </w:p>
        </w:tc>
        <w:tc>
          <w:tcPr>
            <w:tcW w:w="34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Performance period (in years)</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193"/>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Derived service period (in years)</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center"/>
              <w:ind w:right="193"/>
              <w:spacing w:after="0"/>
              <w:rPr>
                <w:sz w:val="20"/>
                <w:szCs w:val="20"/>
                <w:color w:val="auto"/>
              </w:rPr>
            </w:pPr>
            <w:r>
              <w:rPr>
                <w:rFonts w:ascii="Arial" w:cs="Arial" w:eastAsia="Arial" w:hAnsi="Arial"/>
                <w:sz w:val="18"/>
                <w:szCs w:val="18"/>
                <w:color w:val="auto"/>
                <w:w w:val="91"/>
              </w:rPr>
              <w:t>4.55</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313"/>
              <w:spacing w:after="0"/>
              <w:rPr>
                <w:sz w:val="20"/>
                <w:szCs w:val="20"/>
                <w:color w:val="auto"/>
              </w:rPr>
            </w:pPr>
            <w:r>
              <w:rPr>
                <w:rFonts w:ascii="Arial" w:cs="Arial" w:eastAsia="Arial" w:hAnsi="Arial"/>
                <w:sz w:val="18"/>
                <w:szCs w:val="18"/>
                <w:color w:val="auto"/>
                <w:w w:val="91"/>
              </w:rPr>
              <w:t>63.60%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center"/>
              <w:ind w:right="293"/>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w w:val="92"/>
              </w:rPr>
              <w:t>–%</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Estimated fair value (per share)</w:t>
            </w:r>
          </w:p>
        </w:tc>
        <w:tc>
          <w:tcPr>
            <w:tcW w:w="3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right="193"/>
              <w:spacing w:after="0"/>
              <w:rPr>
                <w:sz w:val="20"/>
                <w:szCs w:val="20"/>
                <w:color w:val="auto"/>
              </w:rPr>
            </w:pPr>
            <w:r>
              <w:rPr>
                <w:rFonts w:ascii="Arial" w:cs="Arial" w:eastAsia="Arial" w:hAnsi="Arial"/>
                <w:sz w:val="18"/>
                <w:szCs w:val="18"/>
                <w:color w:val="auto"/>
                <w:w w:val="91"/>
              </w:rPr>
              <w:t>3.31</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See Note 2–Summary of Significant Accounting Policies and Note 9–Stock-Based Compensation in the notes to the condensed consolidated financial statements included in Part I, Item 1, of this Quarterly Report on Form 10-Q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0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unaudited condensed consolidated financial statements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June 30, 2020,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required information is accumulated and communicated to our management, including our CEO and CFO, as appropriate, to allow timely decisions regarding required disclosures.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2020,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thatssssss arise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have an adverse impact on us because of defense and settlement costs, diversion of management resources and other factors.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3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We have incurred net losses since our inception. For the six months ended June 30, 2020 we had a net loss of $18.4 million, and for the years ended December 31, 2019, 2018, and 2017 we had net losses of $25.1 million, $19.9 million, and $23.6 million, respectively. As of June 30, 2020, we had an accumulated deficit of $159.0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25"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revenues to achieve profitability and sustain our business.</w:t>
      </w:r>
    </w:p>
    <w:p>
      <w:pPr>
        <w:spacing w:after="0" w:line="157"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1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addition, as a growing genomics company, we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760"/>
        <w:spacing w:after="0"/>
        <w:rPr>
          <w:sz w:val="20"/>
          <w:szCs w:val="20"/>
          <w:color w:val="auto"/>
        </w:rPr>
      </w:pPr>
      <w:r>
        <w:rPr>
          <w:rFonts w:ascii="Arial" w:cs="Arial" w:eastAsia="Arial" w:hAnsi="Arial"/>
          <w:sz w:val="17"/>
          <w:szCs w:val="17"/>
          <w:color w:val="auto"/>
        </w:rPr>
        <w:t>Our ability to successfully market our services that we have developed, and may develop in the future, will depend on numerous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84"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demonstrate the utility and value of our services to our customers;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commercial team, including sales and business development personnel;</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recruitment, hiring, and retention of our commercial team personnel;</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biopharmaceutical companies accept that our services are sufficiently sensitive and specific;</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convince biopharmaceutical companies of the utility of the comprehensiveness of our services and of testing patients at multiple time points;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fund sales and marketing activities;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services are considered superior to those of our competitors;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negative publicity regarding our or our competitors’ services resulting from defects or errors;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obtaining and maintaining patent and trade secret protection for our services and technologies; and</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enforcing and defending intellectual property rights and claims.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208"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shelter-in-place orders, and the business or operations of our customers or other third parties with whom we conduct business.</w:t>
      </w:r>
    </w:p>
    <w:p>
      <w:pPr>
        <w:spacing w:after="0" w:line="1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49"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For example, in December 2019, a novel strain of coronavirus, SARS-CoV-2, causing a disease referred to as COVID-19, was reported to have surfaced in Wuhan, China. Since then, COVID-19 has spread to over 200 countries and territories, including the United States. On March 4, 2020, the State of California declared a state of emergency related to the spread of COVID-19, and the San Francisco Department of Public Health announced aggressive recommendations to reduce the spread of the disease, including recommendations to suspend nonessential travel, encourage telecommuting, and cancel or postpone large gatherings. On March 10, 2020, the World Health Organization declared the COVID-19 outbreak a pandemic. Further, on March 13, 2020, the President of the United States declared the COVID-19 pandemic a national emergency, invoking powers under the Stafford Act, the legislation that directs federal emergency disaster response. On March 16, 2020, the health officers of six San Francisco Bay Area counties, including San Mateo County where our headquarters and laboratory facilities are located, issued shelter-in-place orders that took effect at 12:01 a.m., Pacific Time, on March 17, 2020</w:t>
      </w:r>
    </w:p>
    <w:p>
      <w:pPr>
        <w:spacing w:after="0" w:line="1" w:lineRule="exact"/>
        <w:rPr>
          <w:sz w:val="20"/>
          <w:szCs w:val="20"/>
          <w:color w:val="auto"/>
        </w:rPr>
      </w:pPr>
    </w:p>
    <w:p>
      <w:pPr>
        <w:jc w:val="both"/>
        <w:ind w:firstLine="8"/>
        <w:spacing w:after="0" w:line="252" w:lineRule="auto"/>
        <w:tabs>
          <w:tab w:leader="none" w:pos="23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directing all individuals living in those counties to shelter at their places of residence (subject to limited exceptions), (ii) directing all businesses and governmental agencies to cease non-essential operations at physical locations in those counties, (iii) prohibiting all non-essential gatherings of any number of individuals, and (iv) ordering cessation of all non-essential travel.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Authorities in other states, where our customers, suppliers and partners may be located, have followed suit and issued orders with similar goals and restrictions.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While the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 The shelter-in-place order has negatively impacted productivity, disrupted our business, and slowed research and development activities due to us limiting access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jc w:val="both"/>
        <w:spacing w:after="0" w:line="289" w:lineRule="auto"/>
        <w:rPr>
          <w:sz w:val="20"/>
          <w:szCs w:val="20"/>
          <w:color w:val="auto"/>
        </w:rPr>
      </w:pPr>
      <w:r>
        <w:rPr>
          <w:rFonts w:ascii="Arial" w:cs="Arial" w:eastAsia="Arial" w:hAnsi="Arial"/>
          <w:sz w:val="16"/>
          <w:szCs w:val="16"/>
          <w:color w:val="auto"/>
        </w:rPr>
        <w:t>our laboratory facilities that would otherwise be used by our research and development group, and, to the extent such order remains in place, it may continue to cause such effects on our operations. In addition, the shelter-in-place order may disrupt the ability of our suppliers to fulfill our purchase orders in a timely manner or at all. Several of our customers were delayed in sending us samples in the second quarter due to the inability to collect or ship samples during the COVID-19 pandemic, and additional customers may be disrupted from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our laboratory employees were to contract COVID-19, we may significantly curtail our laboratory operations or pause operations altogether until the imminent health risk to our employees subsided. Such disruptions in our operations, and our customers’ and suppliers’ operations, may adversely affect our financial condition and operating results.</w:t>
      </w:r>
    </w:p>
    <w:p>
      <w:pPr>
        <w:spacing w:after="0" w:line="13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global COVID-19 pandemic continues to rapidly evolve and to present serious health risks. While authorities in some areas have lifted or relaxed certain of the restrictions described above, in some cases they have subsequently re-imposed various restrictions after observing an increased rate of COVID-19 cases; furthermore, there is no guarantee when or if all such restrictions will be eliminated, such that we and our customers, manufacturers and suppliers will be able to safely resume operations consistent with our pre-COVID-19 operations.</w:t>
      </w:r>
    </w:p>
    <w:p>
      <w:pPr>
        <w:spacing w:after="0" w:line="131"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8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revenues or achieve and sustain profitability.</w:t>
      </w:r>
    </w:p>
    <w:p>
      <w:pPr>
        <w:spacing w:after="0" w:line="14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5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Some of our present and potential competitors, including Guardant Health, Inc., Foundation Medicine, Inc., which was acquired by Roche Holdings, Inc. in July 2018, Roche Molecular Systems, Inc., NanoString Technologies, Inc., Personal Genome Diagnostics, Inc., Adaptive Biotechnologies Corporation, NeoGenomics, Inc., Tempus, Inc., and Caris Life Sciences, Inc. may have widespread brand recognition and substantially greater financial and technical resources and development, production capacities, and marketing capabilities than we do. 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34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ind w:firstLine="749"/>
        <w:spacing w:after="0" w:line="275" w:lineRule="auto"/>
        <w:rPr>
          <w:sz w:val="20"/>
          <w:szCs w:val="20"/>
          <w:color w:val="auto"/>
        </w:rPr>
      </w:pPr>
      <w:r>
        <w:rPr>
          <w:rFonts w:ascii="Arial" w:cs="Arial" w:eastAsia="Arial" w:hAnsi="Arial"/>
          <w:sz w:val="17"/>
          <w:szCs w:val="17"/>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4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have substantial customer concentration, with a limited number of customers accounting for a substantial portion of our revenues and accounts receivable.</w:t>
      </w:r>
    </w:p>
    <w:p>
      <w:pPr>
        <w:spacing w:after="0" w:line="13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76% of our revenues for the three and six months ended June 30, 2020. Our top five customers, including the VA MVP, accounted for 94% and 91% of our revenues for the three and six months ended June 30, 2020, respectively. There are inherent risks whenever a large percentage of revenues are concentrated with a limited number of customers. Our predictions regarding the future level of demand for our services that will be generated by these customers may be wrong. In addition, revenues from our larger customers have historically fluctuated and may continue to fluctuate based on the commencement and completion of clinical trials or other projects, the timing of which may be affected by market conditions or other facts, some of which may be outside of our control. Further, while we have long-term contractual arrangements with certain of our customers,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354"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1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2018, and 2019.</w:t>
      </w:r>
    </w:p>
    <w:p>
      <w:pPr>
        <w:spacing w:after="0" w:line="1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The VA MVP’s orders for DNA sequencing and data analysis services are subject to the availability of funding, enrollment of veterans in the VA MVP study, and the VA MVP’s continued demand for our services.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w:t>
      </w:r>
    </w:p>
    <w:p>
      <w:pPr>
        <w:spacing w:after="0" w:line="13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5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ind w:firstLine="749"/>
        <w:spacing w:after="0" w:line="273" w:lineRule="auto"/>
        <w:rPr>
          <w:sz w:val="20"/>
          <w:szCs w:val="20"/>
          <w:color w:val="auto"/>
        </w:rPr>
      </w:pPr>
      <w:r>
        <w:rPr>
          <w:rFonts w:ascii="Arial" w:cs="Arial" w:eastAsia="Arial" w:hAnsi="Arial"/>
          <w:sz w:val="17"/>
          <w:szCs w:val="17"/>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51"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6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June 30, 2020, we had approximately $29.0 million in customer deposits, including $25.2 million from one customer. However, as of that date, we had $105.2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or reduces the level of services that it expects to receive, we are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5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We rely on a limited number of suppliers for sequencers and other equipment and materials that we use in our laboratory operations. For example, we rely on Illumina, Inc.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4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jc w:val="both"/>
        <w:ind w:firstLine="749"/>
        <w:spacing w:after="0" w:line="254" w:lineRule="auto"/>
        <w:rPr>
          <w:sz w:val="20"/>
          <w:szCs w:val="20"/>
          <w:color w:val="auto"/>
        </w:rPr>
      </w:pPr>
      <w:r>
        <w:rPr>
          <w:rFonts w:ascii="Arial" w:cs="Arial" w:eastAsia="Arial" w:hAnsi="Arial"/>
          <w:sz w:val="18"/>
          <w:szCs w:val="18"/>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6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13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1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United States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and short-term investments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3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3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6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ind w:left="760" w:right="20"/>
        <w:spacing w:after="0" w:line="277" w:lineRule="auto"/>
        <w:rPr>
          <w:sz w:val="20"/>
          <w:szCs w:val="20"/>
          <w:color w:val="auto"/>
        </w:rPr>
      </w:pPr>
      <w:r>
        <w:rPr>
          <w:rFonts w:ascii="Arial" w:cs="Arial" w:eastAsia="Arial" w:hAnsi="Arial"/>
          <w:sz w:val="18"/>
          <w:szCs w:val="18"/>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4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We currently derive our revenues from our genomic analysis conducted in our laboratories. We do not have any clinical reference or research and development laboratory facilities other than our facilities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resulted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3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47"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planned expansion into China entails substantial risks.</w:t>
      </w:r>
    </w:p>
    <w:p>
      <w:pPr>
        <w:spacing w:after="0" w:line="18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In June 2020, we announced a partnership with a clinical genomics and life sciences company headquartered in China as a means to expand business operations into China in the near term. We also plan to form a wholly owned subsidiary (the “WFOE”) in Shanghai. In addition, the WFOE is expected to have variable interests in an affiliated entity (the “VIE”) to be formed in China in order to hold required licenses to carry out our business in China. However, we would be the exclusive provider of technical and consulting services to the VIE and own all copyrights, patents, technical secrets, trade secrets, and other intellectual property related to and arising from the operations of the VIE in China. We expect that, after the VIE is formed, any creditors of the VIE will not have recourse to our general credit. We additionally expect to have de facto control over the VIE through a series of contractual arrangements, including exercising unilateral power to vote all the shares of the VIE, setting its corporate policies and guidance, and designating the members of its board of directors and management team. We also expect to be entitled to receive all substantial benefits of the VIE. We further expect to be the primary beneficiary of the VIE and to have a controlling financial interest in the VIE.</w:t>
      </w:r>
    </w:p>
    <w:p>
      <w:pPr>
        <w:spacing w:after="0" w:line="14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These and other risks may result in our not realizing a return on, or losing some, or all, of our planned investments in China, which could have a material adverse effect on our financial condition and financial performance.</w:t>
      </w:r>
    </w:p>
    <w:p>
      <w:pPr>
        <w:spacing w:after="0" w:line="15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(“Regulated Person”) are prohibited to collect or preserve China’s human genetic resources or transport them abroad. Due to the lack of detailed interpretations and implementations, it is not clear whether our VIE that is controlled by the WFOE through contractual agreements will be deemed as a Regulated Person. The Chinese government separately has various regulations relating to the collection, use, storage, disclosure, and security of data, among other things. We cannot assure you that we will be able to comply with all of these regulatory requirements. Any failure to comply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with relevant regulations and policies could result in significant cost and liability to us and could adversely affect our business and results of operations. Any additional new regulations or the amendment or modification of previously implemented regulations could require us and our partners to change our business plans and incur additional costs, and could limit our ability to generate revenues in China.</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14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4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accidental actions or omissions by trusted insiders, cyber-attacks or cyber intrusions,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58"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ind w:left="76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1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2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Additionally, in connection with the ongoing COVID-19 pandemic, most of our employees are working remotely, which may increase the risk of security breaches, loss of data, and other disruptions as a consequence of more employees accessing sensitive and critical information from remote locations.</w:t>
      </w:r>
    </w:p>
    <w:p>
      <w:pPr>
        <w:spacing w:after="0" w:line="15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4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2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imposes onerous accountability obligations requiring data controllers and processors to maintain a record of their data processing and policies. It also requires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7"/>
          <w:szCs w:val="17"/>
          <w:color w:val="auto"/>
        </w:rPr>
        <w:t>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can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w:t>
      </w:r>
    </w:p>
    <w:p>
      <w:pPr>
        <w:spacing w:after="0" w:line="15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Although there are legal mechanisms to allow for the transfer of personal data from the UK,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the EU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or any of our vendors, contractors, or consultants relied on the EU-U.S. Privacy Shield Framework, we will not be able to do so in the future, which could increase our costs and limit our ability to process personal data from the EU in the United States. The same decision also cast doubt on the ability to use one of the primary alternatives to the Privacy Shield, namely, the European Commission’s Standard Contractual Clauses, to lawfully transfer personal data from EU to the United States and most other countries. At present, there are few, if any, viable alternatives to the Privacy Shield and the Standard Contractual Clauses.</w:t>
      </w:r>
    </w:p>
    <w:p>
      <w:pPr>
        <w:spacing w:after="0" w:line="13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the GDPR and other privacy laws implemented by EU Member States and the UK in connection with any measures we take to comply with such laws.</w:t>
      </w:r>
    </w:p>
    <w:p>
      <w:pPr>
        <w:spacing w:after="0" w:line="13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rely on our customers to obtain valid and appropriate consents from data subjects whose genetic samples and data we process on such customers’ behalf. Given that we do not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provide reliable, high-quality genomic data and analyses and to rapidly evolve to meet our customers’ needs.</w:t>
      </w:r>
    </w:p>
    <w:p>
      <w:pPr>
        <w:spacing w:after="0" w:line="13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third-party tools, and algorithms we use, and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jc w:val="both"/>
        <w:ind w:firstLine="749"/>
        <w:spacing w:after="0" w:line="259" w:lineRule="auto"/>
        <w:rPr>
          <w:sz w:val="20"/>
          <w:szCs w:val="20"/>
          <w:color w:val="auto"/>
        </w:rPr>
      </w:pPr>
      <w:r>
        <w:rPr>
          <w:rFonts w:ascii="Arial" w:cs="Arial" w:eastAsia="Arial" w:hAnsi="Arial"/>
          <w:sz w:val="18"/>
          <w:szCs w:val="18"/>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6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2"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6"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1"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2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5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ind w:left="76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9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4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43"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19"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We may not be able to manage our future growth effectively, which could make it difficult to execute our business strategy.</w:t>
      </w:r>
    </w:p>
    <w:p>
      <w:pPr>
        <w:spacing w:after="0" w:line="21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Our expected future growth could create a strain on our organizational, administrative, and operational infrastructure, including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depend on information technology and telecommunications systems for significant elements of our operations, including our laboratory information management system, our bioinformatics analytical software 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jc w:val="both"/>
        <w:ind w:right="20"/>
        <w:spacing w:after="0" w:line="263" w:lineRule="auto"/>
        <w:rPr>
          <w:sz w:val="20"/>
          <w:szCs w:val="20"/>
          <w:color w:val="auto"/>
        </w:rPr>
      </w:pPr>
      <w:r>
        <w:rPr>
          <w:rFonts w:ascii="Arial" w:cs="Arial" w:eastAsia="Arial" w:hAnsi="Arial"/>
          <w:sz w:val="18"/>
          <w:szCs w:val="18"/>
          <w:color w:val="auto"/>
        </w:rPr>
        <w:t>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5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4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4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5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1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Our business depends on our ability to quickly and reliably provide test results to our customers, which in turn, requires that specimens are transported and delivered to us in a timely manner. Disruptions in delivery service, whether due to labor disruptions, bad weather, natural disaster, global pandemics, such as the COVID-19 pandemic,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The 2017 tax reform law and possible future changes in tax laws or regulations could adversely affect our business and financial condition.</w:t>
      </w:r>
    </w:p>
    <w:p>
      <w:pPr>
        <w:spacing w:after="0" w:line="21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On December 22, 2017,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Coronavirus Aid, Relief and Economic Security (“CARES”) Act was enacted, which includes changes to the tax provisions that benefit business entities and makes certain technical corrections to the Tax Cuts and Jobs Act. On June 29, 2020, California Assembly Bill 85 (AB 85) was signed into law, which suspends the use of California net operating losses and limits the use of California research tax credits for tax years beginning in 2020 and before 2023. Changes in corporate tax rates, the realization of net deferred tax assets relating to our U.S. operations, the taxation of foreign earnings, and the deductibility of expenses under the Tax Cuts and Jobs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or any newly enacted federal tax legislation.</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9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9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44"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3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2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5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5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3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w:t>
      </w:r>
    </w:p>
    <w:p>
      <w:pPr>
        <w:spacing w:after="0" w:line="14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Although the FDA has also issued a proposal for a simplified path to market GHR tests that would amend the classification regulation at 21 C.F.R. § 886.5950 such that manufacturers would only be subject to a one-time marketing review to ensure that they meet the applicable FDA requirements prior to selling GHR tests in the market, the FDA has yet to finalize this proposal, and we do not know if and when finalization will occur. Even if the FDA finalizes the proposed limited exemption for GHR tests, if any of our current or pipeline tests are not considered by the FDA to be GHR tests or do not qualify for the limited exemption (if and when finalized), or if any of our tests fall under a different non-exempt classification or are unclassified, we could be required to obtain 510(k) clearance or approval of a PMA for such test in the future.</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ind w:firstLine="749"/>
        <w:spacing w:after="0" w:line="269" w:lineRule="auto"/>
        <w:rPr>
          <w:sz w:val="20"/>
          <w:szCs w:val="20"/>
          <w:color w:val="auto"/>
        </w:rPr>
      </w:pPr>
      <w:r>
        <w:rPr>
          <w:rFonts w:ascii="Arial" w:cs="Arial" w:eastAsia="Arial" w:hAnsi="Arial"/>
          <w:sz w:val="17"/>
          <w:szCs w:val="17"/>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5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3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160"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jc w:val="both"/>
        <w:ind w:firstLine="749"/>
        <w:spacing w:after="0" w:line="257" w:lineRule="auto"/>
        <w:rPr>
          <w:sz w:val="20"/>
          <w:szCs w:val="20"/>
          <w:color w:val="auto"/>
        </w:rPr>
      </w:pPr>
      <w:r>
        <w:rPr>
          <w:rFonts w:ascii="Arial" w:cs="Arial" w:eastAsia="Arial" w:hAnsi="Arial"/>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61"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4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5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5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ind w:left="760" w:right="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130" w:lineRule="exact"/>
        <w:rPr>
          <w:sz w:val="20"/>
          <w:szCs w:val="20"/>
          <w:color w:val="auto"/>
        </w:rPr>
      </w:pPr>
    </w:p>
    <w:p>
      <w:pPr>
        <w:jc w:val="both"/>
        <w:ind w:left="1120" w:hanging="370"/>
        <w:spacing w:after="0" w:line="293"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23" w:lineRule="exact"/>
        <w:rPr>
          <w:rFonts w:ascii="Arial" w:cs="Arial" w:eastAsia="Arial" w:hAnsi="Arial"/>
          <w:sz w:val="16"/>
          <w:szCs w:val="16"/>
          <w:color w:val="auto"/>
        </w:rPr>
      </w:pPr>
    </w:p>
    <w:p>
      <w:pPr>
        <w:jc w:val="both"/>
        <w:ind w:left="1120" w:hanging="370"/>
        <w:spacing w:after="0" w:line="275"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5" w:lineRule="exact"/>
        <w:rPr>
          <w:rFonts w:ascii="Arial" w:cs="Arial" w:eastAsia="Arial" w:hAnsi="Arial"/>
          <w:sz w:val="17"/>
          <w:szCs w:val="17"/>
          <w:color w:val="auto"/>
        </w:rPr>
      </w:pPr>
    </w:p>
    <w:p>
      <w:pPr>
        <w:jc w:val="both"/>
        <w:ind w:left="1120" w:hanging="370"/>
        <w:spacing w:after="0" w:line="25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47" w:lineRule="exact"/>
        <w:rPr>
          <w:rFonts w:ascii="Arial" w:cs="Arial" w:eastAsia="Arial" w:hAnsi="Arial"/>
          <w:sz w:val="18"/>
          <w:szCs w:val="18"/>
          <w:color w:val="auto"/>
        </w:rPr>
      </w:pPr>
    </w:p>
    <w:p>
      <w:pPr>
        <w:jc w:val="both"/>
        <w:ind w:left="1120" w:hanging="370"/>
        <w:spacing w:after="0" w:line="255"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51"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08" w:lineRule="exact"/>
        <w:rPr>
          <w:rFonts w:ascii="Arial" w:cs="Arial" w:eastAsia="Arial" w:hAnsi="Arial"/>
          <w:sz w:val="16"/>
          <w:szCs w:val="16"/>
          <w:color w:val="auto"/>
        </w:rPr>
      </w:pPr>
    </w:p>
    <w:p>
      <w:pPr>
        <w:jc w:val="both"/>
        <w:ind w:left="1120" w:hanging="370"/>
        <w:spacing w:after="0" w:line="301"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and teaching hospitals, and (ii) ownership and investment interests held by physicians and their immediate family members;</w:t>
      </w:r>
    </w:p>
    <w:p>
      <w:pPr>
        <w:spacing w:after="0" w:line="116" w:lineRule="exact"/>
        <w:rPr>
          <w:rFonts w:ascii="Arial" w:cs="Arial" w:eastAsia="Arial" w:hAnsi="Arial"/>
          <w:sz w:val="16"/>
          <w:szCs w:val="16"/>
          <w:color w:val="auto"/>
        </w:rPr>
      </w:pPr>
    </w:p>
    <w:p>
      <w:pPr>
        <w:jc w:val="both"/>
        <w:ind w:left="1120" w:hanging="370"/>
        <w:spacing w:after="0" w:line="25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7"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43"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ind w:left="1120" w:hanging="370"/>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9" w:lineRule="exact"/>
        <w:rPr>
          <w:rFonts w:ascii="Arial" w:cs="Arial" w:eastAsia="Arial" w:hAnsi="Arial"/>
          <w:sz w:val="18"/>
          <w:szCs w:val="18"/>
          <w:color w:val="auto"/>
        </w:rPr>
      </w:pPr>
    </w:p>
    <w:p>
      <w:pPr>
        <w:jc w:val="both"/>
        <w:ind w:left="1120" w:hanging="370"/>
        <w:spacing w:after="0" w:line="301"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16"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56"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83"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ind w:left="76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Foreign Corrupt Practices Act of 1977, as amended (the “FCPA”), and other worldwide anti-bribery laws.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If we decide to grow our business by developing in vitro diagnostic tests, we may be subject to reimbursement challenges.</w:t>
      </w:r>
    </w:p>
    <w:p>
      <w:pPr>
        <w:spacing w:after="0" w:line="19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0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Among other things, the ACA:</w:t>
      </w:r>
    </w:p>
    <w:p>
      <w:pPr>
        <w:spacing w:after="0" w:line="198" w:lineRule="exact"/>
        <w:rPr>
          <w:sz w:val="20"/>
          <w:szCs w:val="20"/>
          <w:color w:val="auto"/>
        </w:rPr>
      </w:pPr>
    </w:p>
    <w:p>
      <w:pPr>
        <w:jc w:val="both"/>
        <w:ind w:left="1120" w:right="2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3"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a Center for Medicare and Medicaid Innovation at CMS to test innovative payment and service delivery models to lower Medicare and Medicaid spending.</w:t>
      </w:r>
    </w:p>
    <w:p>
      <w:pPr>
        <w:spacing w:after="0" w:line="13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There remain judicial and Congressional challenges to certain aspects of the ACA, as well as efforts by the Trump administration to repeal or replace certain aspects of the ACA. Since January 2017, President Trump has signed several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4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unless additional Congressional action is taken. The CARES Act, which was signed into law in March 2020, is designed to provide financial support and resources to individuals and businesses affected by the COVID-19 pandemic, suspended the 2% Medicare sequester from May 1, 2020 through December 31, 2020, and extended the sequester by one year, through 2030.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4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It is unclear what impact new quality and payment programs, such as MACRA, or new pricing structures, such as those adopted under PAMA, may have on our business, financial condition, results of operations, or cash flows.</w:t>
      </w:r>
    </w:p>
    <w:p>
      <w:pPr>
        <w:spacing w:after="0" w:line="151"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8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jc w:val="both"/>
        <w:spacing w:after="0" w:line="267" w:lineRule="auto"/>
        <w:rPr>
          <w:sz w:val="20"/>
          <w:szCs w:val="20"/>
          <w:color w:val="auto"/>
        </w:rPr>
      </w:pPr>
      <w:r>
        <w:rPr>
          <w:rFonts w:ascii="Arial" w:cs="Arial" w:eastAsia="Arial" w:hAnsi="Arial"/>
          <w:sz w:val="17"/>
          <w:szCs w:val="17"/>
          <w:color w:val="auto"/>
        </w:rPr>
        <w:t>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16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2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2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3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17"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9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3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2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4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jc w:val="both"/>
        <w:spacing w:after="0" w:line="255" w:lineRule="auto"/>
        <w:rPr>
          <w:sz w:val="20"/>
          <w:szCs w:val="20"/>
          <w:color w:val="auto"/>
        </w:rPr>
      </w:pPr>
      <w:r>
        <w:rPr>
          <w:rFonts w:ascii="Arial" w:cs="Arial" w:eastAsia="Arial" w:hAnsi="Arial"/>
          <w:sz w:val="18"/>
          <w:szCs w:val="18"/>
          <w:color w:val="auto"/>
        </w:rPr>
        <w:t>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2037, subject to any patent extensions that may be available for such patents. If patents are issued on our pending patent applications, the resulting patents are projected to expire on dates ranging from 2033 to 2040.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2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4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6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2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 xml:space="preserve">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jc w:val="both"/>
        <w:ind w:right="20"/>
        <w:spacing w:after="0" w:line="301" w:lineRule="auto"/>
        <w:rPr>
          <w:sz w:val="20"/>
          <w:szCs w:val="20"/>
          <w:color w:val="auto"/>
        </w:rPr>
      </w:pPr>
      <w:r>
        <w:rPr>
          <w:rFonts w:ascii="Arial" w:cs="Arial" w:eastAsia="Arial" w:hAnsi="Arial"/>
          <w:sz w:val="16"/>
          <w:szCs w:val="16"/>
          <w:color w:val="auto"/>
        </w:rPr>
        <w:t>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130" w:lineRule="exact"/>
        <w:rPr>
          <w:sz w:val="20"/>
          <w:szCs w:val="20"/>
          <w:color w:val="auto"/>
        </w:rPr>
      </w:pPr>
    </w:p>
    <w:p>
      <w:pPr>
        <w:ind w:left="1120" w:right="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make the inventions covered by each of our issued patents and pending patent applications that we own or license;</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file patent applications covering certain aspects of our inventions;</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07"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20" w:hanging="370"/>
        <w:spacing w:after="0" w:line="308"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0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2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3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jc w:val="both"/>
        <w:spacing w:after="0" w:line="288" w:lineRule="auto"/>
        <w:rPr>
          <w:sz w:val="20"/>
          <w:szCs w:val="20"/>
          <w:color w:val="auto"/>
        </w:rPr>
      </w:pPr>
      <w:r>
        <w:rPr>
          <w:rFonts w:ascii="Arial" w:cs="Arial" w:eastAsia="Arial" w:hAnsi="Arial"/>
          <w:sz w:val="16"/>
          <w:szCs w:val="16"/>
          <w:color w:val="auto"/>
        </w:rPr>
        <w:t xml:space="preserve">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41"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3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and know-how, our business and competitive position would be harmed.</w:t>
      </w:r>
    </w:p>
    <w:p>
      <w:pPr>
        <w:spacing w:after="0" w:line="21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3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jc w:val="both"/>
        <w:ind w:firstLine="749"/>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4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3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jc w:val="both"/>
        <w:spacing w:after="0" w:line="289" w:lineRule="auto"/>
        <w:rPr>
          <w:sz w:val="20"/>
          <w:szCs w:val="20"/>
          <w:color w:val="auto"/>
        </w:rPr>
      </w:pPr>
      <w:r>
        <w:rPr>
          <w:rFonts w:ascii="Arial" w:cs="Arial" w:eastAsia="Arial" w:hAnsi="Arial"/>
          <w:sz w:val="16"/>
          <w:szCs w:val="16"/>
          <w:color w:val="auto"/>
        </w:rPr>
        <w:t>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3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3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13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43"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30" w:lineRule="exact"/>
        <w:rPr>
          <w:sz w:val="20"/>
          <w:szCs w:val="20"/>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84" w:lineRule="exact"/>
        <w:rPr>
          <w:rFonts w:ascii="Arial" w:cs="Arial" w:eastAsia="Arial" w:hAnsi="Arial"/>
          <w:sz w:val="18"/>
          <w:szCs w:val="18"/>
          <w:color w:val="auto"/>
        </w:rPr>
      </w:pPr>
    </w:p>
    <w:p>
      <w:pPr>
        <w:jc w:val="both"/>
        <w:ind w:left="1120" w:hanging="370"/>
        <w:spacing w:after="0" w:line="311"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08" w:lineRule="exact"/>
        <w:rPr>
          <w:rFonts w:ascii="Arial" w:cs="Arial" w:eastAsia="Arial" w:hAnsi="Arial"/>
          <w:sz w:val="16"/>
          <w:szCs w:val="16"/>
          <w:color w:val="auto"/>
        </w:rPr>
      </w:pPr>
    </w:p>
    <w:p>
      <w:pPr>
        <w:ind w:left="1120" w:hanging="370"/>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96"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jc w:val="both"/>
        <w:ind w:left="1120" w:hanging="370"/>
        <w:spacing w:after="0" w:line="263"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3" w:lineRule="exact"/>
        <w:rPr>
          <w:rFonts w:ascii="Arial" w:cs="Arial" w:eastAsia="Arial" w:hAnsi="Arial"/>
          <w:sz w:val="18"/>
          <w:szCs w:val="18"/>
          <w:color w:val="auto"/>
        </w:rPr>
      </w:pPr>
    </w:p>
    <w:p>
      <w:pPr>
        <w:ind w:left="1120" w:hanging="370"/>
        <w:spacing w:after="0" w:line="34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1120" w:right="2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ind w:left="112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3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2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1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30"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analysts or changed recommendations for our stock;</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business or issues we may face with regulators;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matters, including litigation;</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long-term macroeconomic effects of the COVID-19 pandemic, including potential global, regional or national economic slowdowns, recessions, depressions or other economic downturns; and</w:t>
      </w:r>
    </w:p>
    <w:p>
      <w:pPr>
        <w:spacing w:after="0" w:line="129"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factors unrelated to our operating performance or the operating performance of our competitors.</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 samples or other specimen to us at any particular time or at all. The rate at which we receive tissue samples or other specimen can vary dramatically from quarter to quarter, and is difficult or impossible for us to accurately forecast. Our receipt and processing of tissue samples and other specimen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Insiders may exercise significant control over our company and will be able to influence corporate matters.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2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June 30, 2020, we had 31,872,122 shares of common stock outstanding, all of which shares are eligible for sale in the public market, subject in some cases to the volume limitations and manner of sale and other requirements under Rule 144. In addition, upon issuance, shares of common stock subject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jc w:val="both"/>
        <w:ind w:right="20"/>
        <w:spacing w:after="0" w:line="301" w:lineRule="auto"/>
        <w:rPr>
          <w:sz w:val="20"/>
          <w:szCs w:val="20"/>
          <w:color w:val="auto"/>
        </w:rPr>
      </w:pPr>
      <w:r>
        <w:rPr>
          <w:rFonts w:ascii="Arial" w:cs="Arial" w:eastAsia="Arial" w:hAnsi="Arial"/>
          <w:sz w:val="16"/>
          <w:szCs w:val="16"/>
          <w:color w:val="auto"/>
        </w:rPr>
        <w:t>outstanding options under our stock option plans as of June 30, 2020 will become eligible for sale in the public market in the future, subject to certain legal and contractual limitations. Moreover, holders of up to an aggregate of 18,790,983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common stock is currently listed on The Nasdaq Global Market under the symbol “PSNL.”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47"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4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7" w:lineRule="exact"/>
        <w:rPr>
          <w:sz w:val="20"/>
          <w:szCs w:val="20"/>
          <w:color w:val="auto"/>
        </w:rPr>
      </w:pPr>
    </w:p>
    <w:p>
      <w:pPr>
        <w:jc w:val="both"/>
        <w:ind w:left="760" w:right="20"/>
        <w:spacing w:after="0" w:line="381"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6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98"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As of December 31, 2019, we had federal and state net operating loss carryforwards of approximately $114.9 million and approximately $72.2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 In addition, for California income tax purposes, California net operating losses and California research tax credits will be suspended and limited, respectively, for tax years beginning after 2019 but before 2023.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ind w:left="760"/>
        <w:spacing w:after="0"/>
        <w:rPr>
          <w:sz w:val="20"/>
          <w:szCs w:val="20"/>
          <w:color w:val="auto"/>
        </w:rPr>
      </w:pPr>
      <w:r>
        <w:rPr>
          <w:rFonts w:ascii="Arial" w:cs="Arial" w:eastAsia="Arial" w:hAnsi="Arial"/>
          <w:sz w:val="18"/>
          <w:szCs w:val="18"/>
          <w:b w:val="1"/>
          <w:bCs w:val="1"/>
          <w:i w:val="1"/>
          <w:iCs w:val="1"/>
          <w:color w:val="auto"/>
        </w:rPr>
        <w:t>Holders of our common stock could be adversely affected if we issue preferred stock.</w:t>
      </w:r>
    </w:p>
    <w:p>
      <w:pPr>
        <w:spacing w:after="0" w:line="19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57" w:lineRule="exact"/>
        <w:rPr>
          <w:sz w:val="20"/>
          <w:szCs w:val="20"/>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96" w:lineRule="exact"/>
        <w:rPr>
          <w:rFonts w:ascii="Arial" w:cs="Arial" w:eastAsia="Arial" w:hAnsi="Arial"/>
          <w:sz w:val="17"/>
          <w:szCs w:val="17"/>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3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3" w:lineRule="exact"/>
        <w:rPr>
          <w:sz w:val="20"/>
          <w:szCs w:val="20"/>
          <w:color w:val="auto"/>
        </w:rPr>
      </w:pPr>
    </w:p>
    <w:p>
      <w:pPr>
        <w:jc w:val="both"/>
        <w:ind w:left="76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43" w:lineRule="exact"/>
        <w:rPr>
          <w:sz w:val="20"/>
          <w:szCs w:val="20"/>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jc w:val="both"/>
        <w:ind w:firstLine="749"/>
        <w:spacing w:after="0" w:line="289"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9"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litigation and divert management’s attention.</w:t>
      </w:r>
    </w:p>
    <w:p>
      <w:pPr>
        <w:spacing w:after="0" w:line="19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5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2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ind w:left="7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1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43" w:lineRule="exact"/>
        <w:rPr>
          <w:sz w:val="20"/>
          <w:szCs w:val="20"/>
          <w:color w:val="auto"/>
        </w:rPr>
      </w:pPr>
    </w:p>
    <w:p>
      <w:pPr>
        <w:ind w:left="1120" w:right="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2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84"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3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closing of our initial public offering of our common stock. Our status as an emerging growth company will end as soon as any of the following takes place:</w:t>
      </w:r>
    </w:p>
    <w:p>
      <w:pPr>
        <w:spacing w:after="0" w:line="130"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31, 2024.</w:t>
      </w:r>
    </w:p>
    <w:p>
      <w:pPr>
        <w:spacing w:after="0" w:line="18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3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 (i) identify and resolve complex accounting issues under generally accepted accounting principles in the United States and (ii) allow for appropriate segregation of duties. The identified material weakness could result in misstatements to our consolidated financial statements that would be material and would not be prevented or detected on a timely basis.</w:t>
      </w:r>
    </w:p>
    <w:p>
      <w:pPr>
        <w:spacing w:after="0" w:line="14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9" w:name="page70"/>
    <w:bookmarkEnd w:id="69"/>
    <w:p>
      <w:pPr>
        <w:jc w:val="both"/>
        <w:ind w:firstLine="749"/>
        <w:spacing w:after="0" w:line="296"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3"/>
          <w:szCs w:val="13"/>
          <w:b w:val="1"/>
          <w:bCs w:val="1"/>
          <w:i w:val="1"/>
          <w:iCs w:val="1"/>
          <w:color w:val="auto"/>
        </w:rPr>
        <w:t>Use of proceeds</w:t>
      </w:r>
    </w:p>
    <w:p>
      <w:pPr>
        <w:spacing w:after="0" w:line="18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June 20, 2019 pursuant to Rule 424(b)(4).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0" w:type="dxa"/>
            <w:vAlign w:val="bottom"/>
            <w:gridSpan w:val="9"/>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400" w:type="dxa"/>
            <w:vAlign w:val="bottom"/>
            <w:gridSpan w:val="11"/>
          </w:tcPr>
          <w:p>
            <w:pPr>
              <w:spacing w:after="0"/>
              <w:rPr>
                <w:rFonts w:ascii="Arial" w:cs="Arial" w:eastAsia="Arial" w:hAnsi="Arial"/>
                <w:sz w:val="18"/>
                <w:szCs w:val="18"/>
                <w:u w:val="single" w:color="auto"/>
                <w:color w:val="0000EE"/>
                <w:w w:val="98"/>
              </w:rPr>
            </w:pPr>
            <w:hyperlink r:id="rId99">
              <w:r>
                <w:rPr>
                  <w:rFonts w:ascii="Arial" w:cs="Arial" w:eastAsia="Arial" w:hAnsi="Arial"/>
                  <w:sz w:val="18"/>
                  <w:szCs w:val="18"/>
                  <w:u w:val="single" w:color="auto"/>
                  <w:color w:val="0000EE"/>
                  <w:w w:val="98"/>
                </w:rPr>
                <w:t>Amended and Restated Certificate of Incorporation of the Registrant.</w:t>
              </w:r>
            </w:hyperlink>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400" w:type="dxa"/>
            <w:vAlign w:val="bottom"/>
            <w:gridSpan w:val="11"/>
          </w:tcPr>
          <w:p>
            <w:pPr>
              <w:spacing w:after="0"/>
              <w:rPr>
                <w:rFonts w:ascii="Arial" w:cs="Arial" w:eastAsia="Arial" w:hAnsi="Arial"/>
                <w:sz w:val="18"/>
                <w:szCs w:val="18"/>
                <w:color w:val="0000EE"/>
              </w:rPr>
            </w:pPr>
            <w:hyperlink r:id="rId100">
              <w:r>
                <w:rPr>
                  <w:rFonts w:ascii="Arial" w:cs="Arial" w:eastAsia="Arial" w:hAnsi="Arial"/>
                  <w:sz w:val="18"/>
                  <w:szCs w:val="18"/>
                  <w:u w:val="single" w:color="auto"/>
                  <w:color w:val="0000EE"/>
                </w:rPr>
                <w:t>Amended and Restated Bylaws of the Registrant</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First Amendment to Lease, by and between MENLO PREPI I, LLC and</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1"/>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TPI INVESTORS 9, LLC and the Registrant, dated April 8, 2020.</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320" w:type="dxa"/>
            <w:vAlign w:val="bottom"/>
            <w:tcBorders>
              <w:bottom w:val="single" w:sz="8" w:color="0000EE"/>
            </w:tcBorders>
            <w:gridSpan w:val="10"/>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Amendment to Employment Terms Letter, by and between John West and</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the Registrant, dated May 6, 2020.</w:t>
              </w:r>
            </w:hyperlink>
          </w:p>
        </w:tc>
        <w:tc>
          <w:tcPr>
            <w:tcW w:w="29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4600" w:type="dxa"/>
            <w:vAlign w:val="bottom"/>
            <w:tcBorders>
              <w:bottom w:val="single" w:sz="8" w:color="0000EE"/>
            </w:tcBorders>
            <w:gridSpan w:val="4"/>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Personalis, Inc. 2020 Inducement Plan and forms of agreements</w:t>
              </w:r>
            </w:hyperlink>
          </w:p>
        </w:tc>
        <w:tc>
          <w:tcPr>
            <w:tcW w:w="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0" w:type="dxa"/>
            <w:vAlign w:val="bottom"/>
            <w:gridSpan w:val="1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thereunder.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400" w:type="dxa"/>
            <w:vAlign w:val="bottom"/>
            <w:gridSpan w:val="11"/>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Certification of Principal Executive Officer Pursuant to Rules 13a-14(a)</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1"/>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Pursuant to Section 302 of the Sarbanes-Oxley Act of 2002.</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1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Principal Financial Officer Pursuant to Rules 13a-14(a)</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and 15d-14(a) under the Securities Exchange Act of 1934, as Adopted</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1"/>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Pursuant to Section 302 of the Sarbanes-Oxley Act of 2002.</w:t>
              </w:r>
            </w:hyperlink>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400" w:type="dxa"/>
            <w:vAlign w:val="bottom"/>
            <w:gridSpan w:val="11"/>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Executive Officer Pursuant to 18 U.S.C. Section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1350, as Adopted Pursuant to Section 906 of the Sarbanes-Oxley Act of</w:t>
              </w:r>
            </w:hyperlink>
          </w:p>
        </w:tc>
        <w:tc>
          <w:tcPr>
            <w:tcW w:w="14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4">
              <w:r>
                <w:rPr>
                  <w:rFonts w:ascii="Arial" w:cs="Arial" w:eastAsia="Arial" w:hAnsi="Arial"/>
                  <w:sz w:val="18"/>
                  <w:szCs w:val="18"/>
                  <w:color w:val="0000EE"/>
                  <w:w w:val="84"/>
                </w:rPr>
                <w:t>2002.</w:t>
              </w:r>
            </w:hyperlink>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52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Certification of Principal Financial Officer Pursuant to 18 U.S.C. Section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1350, as Adopted Pursuant to Section 906 of the Sarbanes-Oxley Act of</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5">
              <w:r>
                <w:rPr>
                  <w:rFonts w:ascii="Arial" w:cs="Arial" w:eastAsia="Arial" w:hAnsi="Arial"/>
                  <w:sz w:val="18"/>
                  <w:szCs w:val="18"/>
                  <w:color w:val="0000EE"/>
                  <w:w w:val="84"/>
                </w:rPr>
                <w:t>2002.</w:t>
              </w:r>
            </w:hyperlink>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54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229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7"/>
              </w:rPr>
              <w:t>Form</w:t>
            </w: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File No.</w:t>
            </w: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Exhibit</w:t>
            </w:r>
          </w:p>
        </w:tc>
        <w:tc>
          <w:tcPr>
            <w:tcW w:w="126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94"/>
              </w:rPr>
              <w:t>Filing Date</w:t>
            </w:r>
          </w:p>
        </w:tc>
      </w:tr>
      <w:tr>
        <w:trPr>
          <w:trHeight w:val="344"/>
        </w:trPr>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60" w:type="dxa"/>
            <w:vAlign w:val="bottom"/>
          </w:tcPr>
          <w:p>
            <w:pPr>
              <w:jc w:val="center"/>
              <w:ind w:left="94"/>
              <w:spacing w:after="0"/>
              <w:rPr>
                <w:sz w:val="20"/>
                <w:szCs w:val="20"/>
                <w:color w:val="auto"/>
              </w:rPr>
            </w:pPr>
            <w:r>
              <w:rPr>
                <w:rFonts w:ascii="Arial" w:cs="Arial" w:eastAsia="Arial" w:hAnsi="Arial"/>
                <w:sz w:val="18"/>
                <w:szCs w:val="18"/>
                <w:color w:val="auto"/>
                <w:w w:val="87"/>
              </w:rPr>
              <w:t>June 24, 2019</w:t>
            </w:r>
          </w:p>
        </w:tc>
      </w:tr>
      <w:tr>
        <w:trPr>
          <w:trHeight w:val="365"/>
        </w:trPr>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60" w:type="dxa"/>
            <w:vAlign w:val="bottom"/>
          </w:tcPr>
          <w:p>
            <w:pPr>
              <w:jc w:val="center"/>
              <w:ind w:left="94"/>
              <w:spacing w:after="0"/>
              <w:rPr>
                <w:sz w:val="20"/>
                <w:szCs w:val="20"/>
                <w:color w:val="auto"/>
              </w:rPr>
            </w:pPr>
            <w:r>
              <w:rPr>
                <w:rFonts w:ascii="Arial" w:cs="Arial" w:eastAsia="Arial" w:hAnsi="Arial"/>
                <w:sz w:val="18"/>
                <w:szCs w:val="18"/>
                <w:color w:val="auto"/>
                <w:w w:val="87"/>
              </w:rPr>
              <w:t>June 24, 2019</w:t>
            </w:r>
          </w:p>
        </w:tc>
      </w:tr>
      <w:tr>
        <w:trPr>
          <w:trHeight w:val="945"/>
        </w:trPr>
        <w:tc>
          <w:tcPr>
            <w:tcW w:w="1000" w:type="dxa"/>
            <w:vAlign w:val="bottom"/>
          </w:tcPr>
          <w:p>
            <w:pPr>
              <w:jc w:val="center"/>
              <w:ind w:left="14"/>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60" w:type="dxa"/>
            <w:vAlign w:val="bottom"/>
          </w:tcPr>
          <w:p>
            <w:pPr>
              <w:jc w:val="center"/>
              <w:ind w:left="94"/>
              <w:spacing w:after="0"/>
              <w:rPr>
                <w:sz w:val="20"/>
                <w:szCs w:val="20"/>
                <w:color w:val="auto"/>
              </w:rPr>
            </w:pPr>
            <w:r>
              <w:rPr>
                <w:rFonts w:ascii="Arial" w:cs="Arial" w:eastAsia="Arial" w:hAnsi="Arial"/>
                <w:sz w:val="18"/>
                <w:szCs w:val="18"/>
                <w:color w:val="auto"/>
                <w:w w:val="92"/>
              </w:rPr>
              <w:t>May 7, 2020</w:t>
            </w:r>
          </w:p>
        </w:tc>
      </w:tr>
      <w:tr>
        <w:trPr>
          <w:trHeight w:val="580"/>
        </w:trPr>
        <w:tc>
          <w:tcPr>
            <w:tcW w:w="1000" w:type="dxa"/>
            <w:vAlign w:val="bottom"/>
          </w:tcPr>
          <w:p>
            <w:pPr>
              <w:jc w:val="center"/>
              <w:ind w:left="14"/>
              <w:spacing w:after="0"/>
              <w:rPr>
                <w:sz w:val="20"/>
                <w:szCs w:val="20"/>
                <w:color w:val="auto"/>
              </w:rPr>
            </w:pPr>
            <w:r>
              <w:rPr>
                <w:rFonts w:ascii="Arial" w:cs="Arial" w:eastAsia="Arial" w:hAnsi="Arial"/>
                <w:sz w:val="18"/>
                <w:szCs w:val="18"/>
                <w:color w:val="auto"/>
                <w:w w:val="92"/>
              </w:rPr>
              <w:t>S-8</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333-238080</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260" w:type="dxa"/>
            <w:vAlign w:val="bottom"/>
          </w:tcPr>
          <w:p>
            <w:pPr>
              <w:jc w:val="center"/>
              <w:ind w:left="94"/>
              <w:spacing w:after="0"/>
              <w:rPr>
                <w:sz w:val="20"/>
                <w:szCs w:val="20"/>
                <w:color w:val="auto"/>
              </w:rPr>
            </w:pPr>
            <w:r>
              <w:rPr>
                <w:rFonts w:ascii="Arial" w:cs="Arial" w:eastAsia="Arial" w:hAnsi="Arial"/>
                <w:sz w:val="18"/>
                <w:szCs w:val="18"/>
                <w:color w:val="auto"/>
                <w:w w:val="92"/>
              </w:rPr>
              <w:t>May 7, 2020</w:t>
            </w:r>
          </w:p>
        </w:tc>
      </w:tr>
    </w:tbl>
    <w:p>
      <w:pPr>
        <w:spacing w:after="0" w:line="5772" w:lineRule="exact"/>
        <w:rPr>
          <w:sz w:val="20"/>
          <w:szCs w:val="20"/>
          <w:color w:val="auto"/>
        </w:rPr>
      </w:pPr>
    </w:p>
    <w:p>
      <w:pPr>
        <w:sectPr>
          <w:pgSz w:w="11900" w:h="16838" w:orient="portrait"/>
          <w:cols w:equalWidth="0" w:num="2">
            <w:col w:w="6580" w:space="60"/>
            <w:col w:w="4600"/>
          </w:cols>
          <w:pgMar w:left="320" w:top="337" w:right="339" w:bottom="1440" w:gutter="0" w:footer="0" w:header="0"/>
          <w:type w:val="continuous"/>
        </w:sectPr>
      </w:pPr>
    </w:p>
    <w:p>
      <w:pPr>
        <w:ind w:left="500" w:hanging="492"/>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8" w:lineRule="exact"/>
        <w:rPr>
          <w:sz w:val="20"/>
          <w:szCs w:val="20"/>
          <w:color w:val="auto"/>
        </w:rPr>
      </w:pPr>
    </w:p>
    <w:p>
      <w:pPr>
        <w:jc w:val="both"/>
        <w:ind w:left="500" w:hanging="492"/>
        <w:spacing w:after="0" w:line="238"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Personalis, Inc.</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23" w:lineRule="exact"/>
        <w:rPr>
          <w:sz w:val="20"/>
          <w:szCs w:val="20"/>
          <w:color w:val="auto"/>
        </w:rPr>
      </w:pPr>
    </w:p>
    <w:p>
      <w:pPr>
        <w:jc w:val="center"/>
        <w:ind w:left="1060"/>
        <w:spacing w:after="0"/>
        <w:rPr>
          <w:sz w:val="20"/>
          <w:szCs w:val="20"/>
          <w:color w:val="auto"/>
        </w:rPr>
      </w:pPr>
      <w:r>
        <w:rPr>
          <w:rFonts w:ascii="Arial" w:cs="Arial" w:eastAsia="Arial" w:hAnsi="Arial"/>
          <w:sz w:val="22"/>
          <w:szCs w:val="22"/>
          <w:u w:val="single" w:color="auto"/>
          <w:color w:val="auto"/>
        </w:rPr>
        <w:t>FIRST AMENDMENT TO LEASE</w:t>
      </w:r>
    </w:p>
    <w:p>
      <w:pPr>
        <w:spacing w:after="0" w:line="31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THIS FIRST AMENDMENT TO LEASE (this “</w:t>
      </w:r>
      <w:r>
        <w:rPr>
          <w:rFonts w:ascii="Arial" w:cs="Arial" w:eastAsia="Arial" w:hAnsi="Arial"/>
          <w:sz w:val="21"/>
          <w:szCs w:val="21"/>
          <w:u w:val="single" w:color="auto"/>
          <w:color w:val="auto"/>
        </w:rPr>
        <w:t>Amendment</w:t>
      </w:r>
      <w:r>
        <w:rPr>
          <w:rFonts w:ascii="Arial" w:cs="Arial" w:eastAsia="Arial" w:hAnsi="Arial"/>
          <w:sz w:val="21"/>
          <w:szCs w:val="21"/>
          <w:color w:val="auto"/>
        </w:rPr>
        <w:t>”) is made as of April 8,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MENLO PREPI I, LLC, a Delaware limited liability company and TPI INVESTORS 9, LLC, a California limited liability company (collectively, “</w:t>
      </w:r>
      <w:r>
        <w:rPr>
          <w:rFonts w:ascii="Arial" w:cs="Arial" w:eastAsia="Arial" w:hAnsi="Arial"/>
          <w:sz w:val="21"/>
          <w:szCs w:val="21"/>
          <w:u w:val="single" w:color="auto"/>
          <w:color w:val="auto"/>
        </w:rPr>
        <w:t>Lessor</w:t>
      </w:r>
      <w:r>
        <w:rPr>
          <w:rFonts w:ascii="Arial" w:cs="Arial" w:eastAsia="Arial" w:hAnsi="Arial"/>
          <w:sz w:val="21"/>
          <w:szCs w:val="21"/>
          <w:color w:val="auto"/>
        </w:rPr>
        <w:t>”) and PERSONALIS, INC., a Delaware corporation (“</w:t>
      </w:r>
      <w:r>
        <w:rPr>
          <w:rFonts w:ascii="Arial" w:cs="Arial" w:eastAsia="Arial" w:hAnsi="Arial"/>
          <w:sz w:val="21"/>
          <w:szCs w:val="21"/>
          <w:u w:val="single" w:color="auto"/>
          <w:color w:val="auto"/>
        </w:rPr>
        <w:t>Lessee</w:t>
      </w:r>
      <w:r>
        <w:rPr>
          <w:rFonts w:ascii="Arial" w:cs="Arial" w:eastAsia="Arial" w:hAnsi="Arial"/>
          <w:sz w:val="21"/>
          <w:szCs w:val="21"/>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firstLine="872"/>
        <w:spacing w:after="0" w:line="246" w:lineRule="auto"/>
        <w:tabs>
          <w:tab w:leader="none" w:pos="1721" w:val="left"/>
        </w:tabs>
        <w:numPr>
          <w:ilvl w:val="0"/>
          <w:numId w:val="24"/>
        </w:numPr>
        <w:rPr>
          <w:rFonts w:ascii="Arial" w:cs="Arial" w:eastAsia="Arial" w:hAnsi="Arial"/>
          <w:sz w:val="21"/>
          <w:szCs w:val="21"/>
          <w:color w:val="auto"/>
        </w:rPr>
      </w:pPr>
      <w:r>
        <w:rPr>
          <w:rFonts w:ascii="Arial" w:cs="Arial" w:eastAsia="Arial" w:hAnsi="Arial"/>
          <w:sz w:val="21"/>
          <w:szCs w:val="21"/>
          <w:color w:val="auto"/>
        </w:rPr>
        <w:t>Lessor (as successor in interest to MENLO PREHC I, LLC, a Delaware limited liability company, MENLO PREPI I, LLC, a Delaware limited liability company and TPI INVESTORS 9, LLC, a California limited liability company) and Lessee entered into that certain Lease, dated as of February 2, 2015 (the “</w:t>
      </w:r>
      <w:r>
        <w:rPr>
          <w:rFonts w:ascii="Arial" w:cs="Arial" w:eastAsia="Arial" w:hAnsi="Arial"/>
          <w:sz w:val="21"/>
          <w:szCs w:val="21"/>
          <w:u w:val="single" w:color="auto"/>
          <w:color w:val="auto"/>
        </w:rPr>
        <w:t>Lease</w:t>
      </w:r>
      <w:r>
        <w:rPr>
          <w:rFonts w:ascii="Arial" w:cs="Arial" w:eastAsia="Arial" w:hAnsi="Arial"/>
          <w:sz w:val="21"/>
          <w:szCs w:val="21"/>
          <w:color w:val="auto"/>
        </w:rPr>
        <w:t xml:space="preserve">”), pertaining to the premises consisting of (i) approximately Twenty-Five Thousand Three Hundred Sixty-Six (25,366) rentable square feet located at 1330 O’Brien, Menlo Park, California, as shown on the floor plan attached to the Lease as </w:t>
      </w:r>
      <w:r>
        <w:rPr>
          <w:rFonts w:ascii="Arial" w:cs="Arial" w:eastAsia="Arial" w:hAnsi="Arial"/>
          <w:sz w:val="21"/>
          <w:szCs w:val="21"/>
          <w:u w:val="single" w:color="auto"/>
          <w:color w:val="auto"/>
        </w:rPr>
        <w:t>Exhibit C-1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Building 5 Premises</w:t>
      </w:r>
      <w:r>
        <w:rPr>
          <w:rFonts w:ascii="Arial" w:cs="Arial" w:eastAsia="Arial" w:hAnsi="Arial"/>
          <w:sz w:val="21"/>
          <w:szCs w:val="21"/>
          <w:color w:val="auto"/>
        </w:rPr>
        <w:t xml:space="preserve">”) and (ii) approximately Five Thousand Nine Hundred Fourteen (5,914) rentable square feet located at 1360 O’Brien, Menlo Park, California, as shown on the floor plan attached to the Lease as </w:t>
      </w:r>
      <w:r>
        <w:rPr>
          <w:rFonts w:ascii="Arial" w:cs="Arial" w:eastAsia="Arial" w:hAnsi="Arial"/>
          <w:sz w:val="21"/>
          <w:szCs w:val="21"/>
          <w:u w:val="single" w:color="auto"/>
          <w:color w:val="auto"/>
        </w:rPr>
        <w:t>Exhibit C-2</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Building 6 Premises</w:t>
      </w:r>
      <w:r>
        <w:rPr>
          <w:rFonts w:ascii="Arial" w:cs="Arial" w:eastAsia="Arial" w:hAnsi="Arial"/>
          <w:sz w:val="21"/>
          <w:szCs w:val="21"/>
          <w:color w:val="auto"/>
        </w:rPr>
        <w:t>” and collectively with the Building 5 Premises referred to herein as the “</w:t>
      </w:r>
      <w:r>
        <w:rPr>
          <w:rFonts w:ascii="Arial" w:cs="Arial" w:eastAsia="Arial" w:hAnsi="Arial"/>
          <w:sz w:val="21"/>
          <w:szCs w:val="21"/>
          <w:u w:val="single" w:color="auto"/>
          <w:color w:val="auto"/>
        </w:rPr>
        <w:t>Premises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872"/>
        <w:spacing w:after="0"/>
        <w:tabs>
          <w:tab w:leader="none" w:pos="17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Lessor and Lessee now wish to enter into this Amendment to provide for the extension of the Term and as otherwise set forth in this Amendment. Unless otherwise defined herein, all capitalized terms in this Amendment shall have the same meaning ascribed to them in the Lease.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TERMS AND CONDITIONS</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In consideration of the mutual covenants herein contained, and other good and valuable consideration, the receipt and sufficiency of which are hereby acknowledged, Lessor and Lessee agree as follows:</w:t>
      </w:r>
    </w:p>
    <w:p>
      <w:pPr>
        <w:spacing w:after="0" w:line="175" w:lineRule="exact"/>
        <w:rPr>
          <w:sz w:val="20"/>
          <w:szCs w:val="20"/>
          <w:color w:val="auto"/>
        </w:rPr>
      </w:pPr>
    </w:p>
    <w:p>
      <w:pPr>
        <w:jc w:val="both"/>
        <w:ind w:firstLine="872"/>
        <w:spacing w:after="0" w:line="238" w:lineRule="auto"/>
        <w:tabs>
          <w:tab w:leader="none" w:pos="167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Extension of the Term</w:t>
      </w:r>
      <w:r>
        <w:rPr>
          <w:rFonts w:ascii="Arial" w:cs="Arial" w:eastAsia="Arial" w:hAnsi="Arial"/>
          <w:sz w:val="22"/>
          <w:szCs w:val="22"/>
          <w:color w:val="auto"/>
        </w:rPr>
        <w:t>. The Term (as defined in Section 2(a) of the Lease) is hereby extended (the “</w:t>
      </w:r>
      <w:r>
        <w:rPr>
          <w:rFonts w:ascii="Arial" w:cs="Arial" w:eastAsia="Arial" w:hAnsi="Arial"/>
          <w:sz w:val="22"/>
          <w:szCs w:val="22"/>
          <w:u w:val="single" w:color="auto"/>
          <w:color w:val="auto"/>
        </w:rPr>
        <w:t>Extended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w:t>
      </w:r>
      <w:r>
        <w:rPr>
          <w:rFonts w:ascii="Arial" w:cs="Arial" w:eastAsia="Arial" w:hAnsi="Arial"/>
          <w:sz w:val="22"/>
          <w:szCs w:val="22"/>
          <w:color w:val="auto"/>
        </w:rPr>
        <w:t>”) from December 1, 2020 (the “</w:t>
      </w:r>
      <w:r>
        <w:rPr>
          <w:rFonts w:ascii="Arial" w:cs="Arial" w:eastAsia="Arial" w:hAnsi="Arial"/>
          <w:sz w:val="22"/>
          <w:szCs w:val="22"/>
          <w:u w:val="single" w:color="auto"/>
          <w:color w:val="auto"/>
        </w:rPr>
        <w:t>Extended Term Commencement Date</w:t>
      </w:r>
      <w:r>
        <w:rPr>
          <w:rFonts w:ascii="Arial" w:cs="Arial" w:eastAsia="Arial" w:hAnsi="Arial"/>
          <w:sz w:val="22"/>
          <w:szCs w:val="22"/>
          <w:color w:val="auto"/>
        </w:rPr>
        <w:t>”) and shall expire, unless sooner terminated in accordance with the provisions of the Lease, as amended, or as permitted by law, on November 30, 2027 (the “</w:t>
      </w:r>
      <w:r>
        <w:rPr>
          <w:rFonts w:ascii="Arial" w:cs="Arial" w:eastAsia="Arial" w:hAnsi="Arial"/>
          <w:sz w:val="22"/>
          <w:szCs w:val="22"/>
          <w:u w:val="single" w:color="auto"/>
          <w:color w:val="auto"/>
        </w:rPr>
        <w:t>Extended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Expiration Date</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1680" w:hanging="808"/>
        <w:spacing w:after="0"/>
        <w:tabs>
          <w:tab w:leader="none" w:pos="16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Monthly Rent for the Premises during the Extension Term</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tabs>
          <w:tab w:leader="none" w:pos="2615" w:val="left"/>
        </w:tabs>
        <w:numPr>
          <w:ilvl w:val="1"/>
          <w:numId w:val="26"/>
        </w:numPr>
        <w:rPr>
          <w:rFonts w:ascii="Arial" w:cs="Arial" w:eastAsia="Arial" w:hAnsi="Arial"/>
          <w:sz w:val="22"/>
          <w:szCs w:val="22"/>
          <w:color w:val="auto"/>
        </w:rPr>
      </w:pPr>
      <w:r>
        <w:rPr>
          <w:rFonts w:ascii="Arial" w:cs="Arial" w:eastAsia="Arial" w:hAnsi="Arial"/>
          <w:sz w:val="22"/>
          <w:szCs w:val="22"/>
          <w:color w:val="auto"/>
        </w:rPr>
        <w:t>Commencing on the Extended Term Commencement Date and continuing on the first day of each calendar month thereafter until the end of the Extended Term, Lessee shall pay to Lessor in monthly installments in advance the Monthly Base Rent for the Premises in lawful money of the United States as follows:</w:t>
      </w:r>
    </w:p>
    <w:p>
      <w:pPr>
        <w:spacing w:after="0" w:line="215" w:lineRule="exact"/>
        <w:rPr>
          <w:sz w:val="20"/>
          <w:szCs w:val="20"/>
          <w:color w:val="auto"/>
        </w:rPr>
      </w:pPr>
    </w:p>
    <w:tbl>
      <w:tblPr>
        <w:tblLayout w:type="fixed"/>
        <w:tblInd w:w="1010" w:type="dxa"/>
        <w:tblCellMar>
          <w:top w:w="0" w:type="dxa"/>
          <w:left w:w="0" w:type="dxa"/>
          <w:bottom w:w="0" w:type="dxa"/>
          <w:right w:w="0" w:type="dxa"/>
        </w:tblCellMar>
      </w:tblPr>
      <w:tr>
        <w:trPr>
          <w:trHeight w:val="270"/>
        </w:trPr>
        <w:tc>
          <w:tcPr>
            <w:tcW w:w="1900" w:type="dxa"/>
            <w:vAlign w:val="bottom"/>
            <w:tcBorders>
              <w:top w:val="single" w:sz="8" w:color="auto"/>
              <w:left w:val="single" w:sz="8" w:color="auto"/>
              <w:right w:val="single" w:sz="8" w:color="auto"/>
            </w:tcBorders>
            <w:shd w:val="clear" w:color="auto" w:fill="D9D9D9"/>
          </w:tcPr>
          <w:p>
            <w:pPr>
              <w:ind w:left="620"/>
              <w:spacing w:after="0"/>
              <w:rPr>
                <w:sz w:val="20"/>
                <w:szCs w:val="20"/>
                <w:color w:val="auto"/>
              </w:rPr>
            </w:pPr>
            <w:r>
              <w:rPr>
                <w:rFonts w:ascii="Arial" w:cs="Arial" w:eastAsia="Arial" w:hAnsi="Arial"/>
                <w:sz w:val="20"/>
                <w:szCs w:val="20"/>
                <w:b w:val="1"/>
                <w:bCs w:val="1"/>
                <w:color w:val="auto"/>
              </w:rPr>
              <w:t>Months</w:t>
            </w:r>
          </w:p>
        </w:tc>
        <w:tc>
          <w:tcPr>
            <w:tcW w:w="1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7"/>
              </w:rPr>
              <w:t>Square Feet</w:t>
            </w:r>
          </w:p>
        </w:tc>
        <w:tc>
          <w:tcPr>
            <w:tcW w:w="2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$/SF/Mo./NNN</w:t>
            </w:r>
          </w:p>
        </w:tc>
        <w:tc>
          <w:tcPr>
            <w:tcW w:w="2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Monthly Base Rent</w:t>
            </w:r>
          </w:p>
        </w:tc>
      </w:tr>
      <w:tr>
        <w:trPr>
          <w:trHeight w:val="189"/>
        </w:trPr>
        <w:tc>
          <w:tcPr>
            <w:tcW w:w="190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1980" w:type="dxa"/>
            <w:vAlign w:val="bottom"/>
            <w:tcBorders>
              <w:bottom w:val="single" w:sz="8" w:color="auto"/>
              <w:right w:val="single" w:sz="8" w:color="auto"/>
            </w:tcBorders>
            <w:shd w:val="clear" w:color="auto" w:fill="D9D9D9"/>
          </w:tcPr>
          <w:p>
            <w:pPr>
              <w:spacing w:after="0"/>
              <w:rPr>
                <w:sz w:val="16"/>
                <w:szCs w:val="16"/>
                <w:color w:val="auto"/>
              </w:rPr>
            </w:pPr>
          </w:p>
        </w:tc>
        <w:tc>
          <w:tcPr>
            <w:tcW w:w="2700" w:type="dxa"/>
            <w:vAlign w:val="bottom"/>
            <w:tcBorders>
              <w:bottom w:val="single" w:sz="8" w:color="auto"/>
              <w:right w:val="single" w:sz="8" w:color="auto"/>
            </w:tcBorders>
            <w:shd w:val="clear" w:color="auto" w:fill="D9D9D9"/>
          </w:tcPr>
          <w:p>
            <w:pPr>
              <w:spacing w:after="0"/>
              <w:rPr>
                <w:sz w:val="16"/>
                <w:szCs w:val="16"/>
                <w:color w:val="auto"/>
              </w:rPr>
            </w:pPr>
          </w:p>
        </w:tc>
        <w:tc>
          <w:tcPr>
            <w:tcW w:w="2700" w:type="dxa"/>
            <w:vAlign w:val="bottom"/>
            <w:tcBorders>
              <w:bottom w:val="single" w:sz="8" w:color="auto"/>
              <w:right w:val="single" w:sz="8" w:color="auto"/>
            </w:tcBorders>
            <w:shd w:val="clear" w:color="auto" w:fill="D9D9D9"/>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$5.10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$159,528.00</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13-24</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$5.27</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$164,712.66</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25-36</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$5.44</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$170,065.82</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37-48</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$5.61</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$175,592.96</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49-60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$181,299.73</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61-72</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$5.98</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$187,191.97</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r>
        <w:trPr>
          <w:trHeight w:val="24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73-84</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31,280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$6.18</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$193,275.71</w:t>
            </w:r>
          </w:p>
        </w:tc>
      </w:tr>
      <w:tr>
        <w:trPr>
          <w:trHeight w:val="19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r>
    </w:tbl>
    <w:p>
      <w:pPr>
        <w:spacing w:after="0" w:line="22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On the Effective Date, Lessee shall pay to Lessor, cash in the amount of (1) One Hundred Fifty-Nine Thousand Five Hundred Twenty-Eight and 00/100 U.S. Dollars ($159,528.00) representing the installment of Monthly Base Rent for the first full month in which Monthly Base Rent is due following the Extended Term Commencement Date; and (2) Sixty-Five Thousand Five Hundred Thirty-One and 00/100 Dollars ($65,531.00), which amount shall be applied to the Additional Rent for the first calendar month of the Extended Term.</w:t>
      </w:r>
    </w:p>
    <w:p>
      <w:pPr>
        <w:spacing w:after="0" w:line="187" w:lineRule="exact"/>
        <w:rPr>
          <w:sz w:val="20"/>
          <w:szCs w:val="20"/>
          <w:color w:val="auto"/>
        </w:rPr>
      </w:pPr>
    </w:p>
    <w:p>
      <w:pPr>
        <w:jc w:val="both"/>
        <w:ind w:firstLine="872"/>
        <w:spacing w:after="0" w:line="236" w:lineRule="auto"/>
        <w:tabs>
          <w:tab w:leader="none" w:pos="167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Lessee’s Pro Rata Share of Operating Expenses for the Premises</w:t>
      </w:r>
      <w:r>
        <w:rPr>
          <w:rFonts w:ascii="Arial" w:cs="Arial" w:eastAsia="Arial" w:hAnsi="Arial"/>
          <w:sz w:val="22"/>
          <w:szCs w:val="22"/>
          <w:color w:val="auto"/>
        </w:rPr>
        <w:t>. In addition to the Monthly Base Rent payable by Lessee pursuant to Section 3 above, during the Extended Term, Lessee shall pay to Lessor, as Additional Rent, (a) Lessee’s pro rata share of the Operating Expenses and Taxes (i) for 1330 O’Brien Drive (Building #5), which pro rata share is 100%; (ii) for 1360 O’Brien Drive (Building #6), which pro rata share shall be 28.68%; and (b) Lessee’s pro rata share of the Park Expenses, which pro rata share shall be (i) 3.56%.</w:t>
      </w:r>
    </w:p>
    <w:p>
      <w:pPr>
        <w:spacing w:after="0" w:line="187" w:lineRule="exact"/>
        <w:rPr>
          <w:rFonts w:ascii="Arial" w:cs="Arial" w:eastAsia="Arial" w:hAnsi="Arial"/>
          <w:sz w:val="22"/>
          <w:szCs w:val="22"/>
          <w:color w:val="auto"/>
        </w:rPr>
      </w:pPr>
    </w:p>
    <w:p>
      <w:pPr>
        <w:jc w:val="both"/>
        <w:ind w:firstLine="872"/>
        <w:spacing w:after="0" w:line="235" w:lineRule="auto"/>
        <w:tabs>
          <w:tab w:leader="none" w:pos="167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Security Deposit</w:t>
      </w:r>
      <w:r>
        <w:rPr>
          <w:rFonts w:ascii="Arial" w:cs="Arial" w:eastAsia="Arial" w:hAnsi="Arial"/>
          <w:sz w:val="22"/>
          <w:szCs w:val="22"/>
          <w:color w:val="auto"/>
        </w:rPr>
        <w:t>. Lessor is currently holding a Security Deposit in the amount of Two Hundred Forty-Four Thousand Nine Hundred Twenty-Two and 40/100 Dollars ($244,922.40) under the Lease. Upon execution of this Amendment, Lessee shall deliver to Lessor cash in the amount of Two Hundred Seven One Hundred Sixty and 04/100 Dollars ($207,160.04), such that the total Security Deposit shall be Four Hundred Fifty Two Thousand Eighty Two and 44/100 Dollars ($452,082.44). The entire sum shall be held as the Security Deposit pursuant to Paragraph 7 of the Lease, through the date Lessee has satisfied all of its obligations under the Lease.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4" w:name="page75"/>
    <w:bookmarkEnd w:id="74"/>
    <w:p>
      <w:pPr>
        <w:jc w:val="both"/>
        <w:ind w:firstLine="872"/>
        <w:spacing w:after="0"/>
        <w:tabs>
          <w:tab w:leader="none" w:pos="167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Option to Extend</w:t>
      </w:r>
      <w:r>
        <w:rPr>
          <w:rFonts w:ascii="Arial" w:cs="Arial" w:eastAsia="Arial" w:hAnsi="Arial"/>
          <w:sz w:val="22"/>
          <w:szCs w:val="22"/>
          <w:color w:val="auto"/>
        </w:rPr>
        <w:t>. Lessee shall have one (1) option to extend the Extended Term with respect to the Premises for a period of three (3) years immediately following the Extended Term Expiration Date pursuant to the terms and conditions set forth in Section 3 of the Lease.</w:t>
      </w:r>
    </w:p>
    <w:p>
      <w:pPr>
        <w:spacing w:after="0" w:line="186" w:lineRule="exact"/>
        <w:rPr>
          <w:rFonts w:ascii="Arial" w:cs="Arial" w:eastAsia="Arial" w:hAnsi="Arial"/>
          <w:sz w:val="22"/>
          <w:szCs w:val="22"/>
          <w:color w:val="auto"/>
        </w:rPr>
      </w:pPr>
    </w:p>
    <w:p>
      <w:pPr>
        <w:jc w:val="both"/>
        <w:ind w:firstLine="872"/>
        <w:spacing w:after="0" w:line="269" w:lineRule="auto"/>
        <w:tabs>
          <w:tab w:leader="none" w:pos="167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Tenant Improvement Allowance</w:t>
      </w:r>
      <w:r>
        <w:rPr>
          <w:rFonts w:ascii="Arial" w:cs="Arial" w:eastAsia="Arial" w:hAnsi="Arial"/>
          <w:sz w:val="19"/>
          <w:szCs w:val="19"/>
          <w:color w:val="auto"/>
        </w:rPr>
        <w:t>. Lessee shall be entitled to a one-time tenant improvement allowance in the amount of Two Hundred Thirty-Four Thousand Six Hundred and 00/100 Dollars ($234,600.00) for costs related to the design and construction of tenant improvements in the Premises (the “</w:t>
      </w:r>
      <w:r>
        <w:rPr>
          <w:rFonts w:ascii="Arial" w:cs="Arial" w:eastAsia="Arial" w:hAnsi="Arial"/>
          <w:sz w:val="19"/>
          <w:szCs w:val="19"/>
          <w:u w:val="single" w:color="auto"/>
          <w:color w:val="auto"/>
        </w:rPr>
        <w:t>Tenant Improvement Allowance</w:t>
      </w:r>
      <w:r>
        <w:rPr>
          <w:rFonts w:ascii="Arial" w:cs="Arial" w:eastAsia="Arial" w:hAnsi="Arial"/>
          <w:sz w:val="19"/>
          <w:szCs w:val="19"/>
          <w:color w:val="auto"/>
        </w:rPr>
        <w:t>”) and Lessee shall specify the building address associated with use of the Tenant Improvement Allowance. The Tenant Improvement Allowance must be disbursed in accordance with the terms of this Section 11 no later than the last day of the eighteenth (18</w:t>
      </w:r>
      <w:r>
        <w:rPr>
          <w:rFonts w:ascii="Arial" w:cs="Arial" w:eastAsia="Arial" w:hAnsi="Arial"/>
          <w:sz w:val="16"/>
          <w:szCs w:val="16"/>
          <w:color w:val="auto"/>
        </w:rPr>
        <w:t>th</w:t>
      </w:r>
      <w:r>
        <w:rPr>
          <w:rFonts w:ascii="Arial" w:cs="Arial" w:eastAsia="Arial" w:hAnsi="Arial"/>
          <w:sz w:val="19"/>
          <w:szCs w:val="19"/>
          <w:color w:val="auto"/>
        </w:rPr>
        <w:t>) month following the Extended Term Commencement Date. The construction of all tenant improvements desired by Lessee and constructed with the use of the Tenant Improvement Allowance (“</w:t>
      </w:r>
      <w:r>
        <w:rPr>
          <w:rFonts w:ascii="Arial" w:cs="Arial" w:eastAsia="Arial" w:hAnsi="Arial"/>
          <w:sz w:val="19"/>
          <w:szCs w:val="19"/>
          <w:u w:val="single" w:color="auto"/>
          <w:color w:val="auto"/>
        </w:rPr>
        <w:t>New Tenant Improvements</w:t>
      </w:r>
      <w:r>
        <w:rPr>
          <w:rFonts w:ascii="Arial" w:cs="Arial" w:eastAsia="Arial" w:hAnsi="Arial"/>
          <w:sz w:val="19"/>
          <w:szCs w:val="19"/>
          <w:color w:val="auto"/>
        </w:rPr>
        <w:t>”) shall be performed in accordance with the terms of this Section 11. Lessor shall work with Lessor’s architect and Lessee to develop plans and specifications (“</w:t>
      </w:r>
      <w:r>
        <w:rPr>
          <w:rFonts w:ascii="Arial" w:cs="Arial" w:eastAsia="Arial" w:hAnsi="Arial"/>
          <w:sz w:val="19"/>
          <w:szCs w:val="19"/>
          <w:u w:val="single" w:color="auto"/>
          <w:color w:val="auto"/>
        </w:rPr>
        <w:t>Preliminary Plans</w:t>
      </w:r>
      <w:r>
        <w:rPr>
          <w:rFonts w:ascii="Arial" w:cs="Arial" w:eastAsia="Arial" w:hAnsi="Arial"/>
          <w:sz w:val="19"/>
          <w:szCs w:val="19"/>
          <w:color w:val="auto"/>
        </w:rPr>
        <w:t>”) for the New Tenant Improvements. Within ten (10) days of Lessee’s receipt of the Preliminary Plans for any New Tenant Improvements, Lessee shall provide Lessor with either its consent to the same or reasonably detailed objections thereto. If Lessee provides such objections, Lessor shall revise and re-submit the Preliminary Plans for the New Tenant Improvements and thereafter Lessee shall have five (5) days to consent or provide reasonably detailed objections to the same, and the process shall repeat until Lessee has consented to the Preliminary Plans for the New Tenant Improvements (“</w:t>
      </w:r>
      <w:r>
        <w:rPr>
          <w:rFonts w:ascii="Arial" w:cs="Arial" w:eastAsia="Arial" w:hAnsi="Arial"/>
          <w:sz w:val="19"/>
          <w:szCs w:val="19"/>
          <w:u w:val="single" w:color="auto"/>
          <w:color w:val="auto"/>
        </w:rPr>
        <w:t>Final Plans</w:t>
      </w:r>
      <w:r>
        <w:rPr>
          <w:rFonts w:ascii="Arial" w:cs="Arial" w:eastAsia="Arial" w:hAnsi="Arial"/>
          <w:sz w:val="19"/>
          <w:szCs w:val="19"/>
          <w:color w:val="auto"/>
        </w:rPr>
        <w:t>”). If Lessee shall fail to respond within such five (5) day period, Lessor may send a second written request for approval. Lessee’s failure to respond within five (5) days of such second written request shall be deemed its approval of such Preliminary Plans. Lessor, at Lessee’s sole expense (subject to the Tenant Improvement Allowance), shall cause to be constructed New Tenant Improvements in accordance with the Final Plans. Lessee shall be liable for all fees and costs of the design and construction of any tenant improvements in excess of the Tenant Improvement Allowance (such difference referred to herein as the “</w:t>
      </w:r>
      <w:r>
        <w:rPr>
          <w:rFonts w:ascii="Arial" w:cs="Arial" w:eastAsia="Arial" w:hAnsi="Arial"/>
          <w:sz w:val="19"/>
          <w:szCs w:val="19"/>
          <w:u w:val="single" w:color="auto"/>
          <w:color w:val="auto"/>
        </w:rPr>
        <w:t>Tenant Improvement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Shortfall</w:t>
      </w:r>
      <w:r>
        <w:rPr>
          <w:rFonts w:ascii="Arial" w:cs="Arial" w:eastAsia="Arial" w:hAnsi="Arial"/>
          <w:sz w:val="19"/>
          <w:szCs w:val="19"/>
          <w:color w:val="auto"/>
        </w:rPr>
        <w:t xml:space="preserve">”). Notwithstanding the foregoing, the parties agree that Lessor’s disbursements of the Tenant Improvement Allowance shall be made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Lessee’s contribution of its own funds towards the costs of constructing the tenant improvements as such costs become due (i.e. in proportion of Tenant Improvement Shortfall payable by Lessee to the Tenant Improvement Allowance). Lessor shall disburse the Tenant Improvement Allowance directly to the applicable design professional, contractor, materialman or other laborer (“</w:t>
      </w:r>
      <w:r>
        <w:rPr>
          <w:rFonts w:ascii="Arial" w:cs="Arial" w:eastAsia="Arial" w:hAnsi="Arial"/>
          <w:sz w:val="19"/>
          <w:szCs w:val="19"/>
          <w:u w:val="single" w:color="auto"/>
          <w:color w:val="auto"/>
        </w:rPr>
        <w:t>Contractor</w:t>
      </w:r>
      <w:r>
        <w:rPr>
          <w:rFonts w:ascii="Arial" w:cs="Arial" w:eastAsia="Arial" w:hAnsi="Arial"/>
          <w:sz w:val="19"/>
          <w:szCs w:val="19"/>
          <w:color w:val="auto"/>
        </w:rPr>
        <w:t>”) in connection with the construction of such tenant improvements upon receipt of paid invoices for work completed, conditional/unconditional lien releases, and other documentation reasonably required by Lessor. For the avoidance of doubt, Lessee may submit to Lessor reimbursement requests from the Tenant Improvement Allowance for work completed prior to the date of this Amendment, provided that (i) such work was completed by a Contractor approved by Lessor, and (ii) Lessee delivers to Lessor receipt of paid invoices for work completed, conditional/unconditional lien releases, and other documentation reasonably required by Lessor. Lessee shall not be entitled to receive any cash payment or credit against Rent or otherwise for any portion of the Tenant Improvement Allowance which is not used to pay for the construction of the tenant improvements contemplated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5" w:name="page76"/>
    <w:bookmarkEnd w:id="75"/>
    <w:p>
      <w:pPr>
        <w:jc w:val="both"/>
        <w:ind w:firstLine="872"/>
        <w:spacing w:after="0" w:line="269" w:lineRule="auto"/>
        <w:tabs>
          <w:tab w:leader="none" w:pos="167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Right</w:t>
      </w:r>
      <w:r>
        <w:rPr>
          <w:rFonts w:ascii="Arial" w:cs="Arial" w:eastAsia="Arial" w:hAnsi="Arial"/>
          <w:sz w:val="19"/>
          <w:szCs w:val="19"/>
          <w:color w:val="auto"/>
        </w:rPr>
        <w:t>. If Lessee (or a Permitted Assignee of Lessee) and Lessor (or Menlo Park Portfolio II, LLC, hereinafter referred to as “</w:t>
      </w:r>
      <w:r>
        <w:rPr>
          <w:rFonts w:ascii="Arial" w:cs="Arial" w:eastAsia="Arial" w:hAnsi="Arial"/>
          <w:sz w:val="19"/>
          <w:szCs w:val="19"/>
          <w:u w:val="single" w:color="auto"/>
          <w:color w:val="auto"/>
        </w:rPr>
        <w:t>MPP</w:t>
      </w:r>
      <w:r>
        <w:rPr>
          <w:rFonts w:ascii="Arial" w:cs="Arial" w:eastAsia="Arial" w:hAnsi="Arial"/>
          <w:sz w:val="19"/>
          <w:szCs w:val="19"/>
          <w:color w:val="auto"/>
        </w:rPr>
        <w:t xml:space="preserve">”) fully execute and deliver a lease (or leases) for space consisting of no less than a total amount of ninety thousand (90,000) rentable square feet of space in a building or buildings identified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Expansion Lease</w:t>
      </w:r>
      <w:r>
        <w:rPr>
          <w:rFonts w:ascii="Arial" w:cs="Arial" w:eastAsia="Arial" w:hAnsi="Arial"/>
          <w:sz w:val="19"/>
          <w:szCs w:val="19"/>
          <w:color w:val="auto"/>
        </w:rPr>
        <w:t>"), upon further terms mutually acceptable to each party in each party's sole and absolute discretion, then Lessee has a one-time right to elect to terminate the Lease by delivering written notice to Lessor (the "</w:t>
      </w:r>
      <w:r>
        <w:rPr>
          <w:rFonts w:ascii="Arial" w:cs="Arial" w:eastAsia="Arial" w:hAnsi="Arial"/>
          <w:sz w:val="19"/>
          <w:szCs w:val="19"/>
          <w:u w:val="single" w:color="auto"/>
          <w:color w:val="auto"/>
        </w:rPr>
        <w:t>Termination Notice</w:t>
      </w:r>
      <w:r>
        <w:rPr>
          <w:rFonts w:ascii="Arial" w:cs="Arial" w:eastAsia="Arial" w:hAnsi="Arial"/>
          <w:sz w:val="19"/>
          <w:szCs w:val="19"/>
          <w:color w:val="auto"/>
        </w:rPr>
        <w:t>") concurrently with or prior to Lessee's delivery of the executed Expansion Lease to Lessor (or MPP, but Lessee’s notice shall be conditioned upon Lessor’s or MPP’s execution and delivery of the Expansion Lease to Lessee), which termination shall be effective as of the commencement date of the Expansion Lease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and shall be without the payment of any termination penalty or fee by Lessee. Provided that Lessee timely elects to terminate the Lease in accordance with this Section 7, the Lease shall automatically terminate and be of no further force or effect, and Lessor and Lessee shall be relieved of their respective obligations under the Lease, as of the Termination Date, except with respect to those obligations set forth in the Lease that specifically survive the expiration or earlier termination of the Lease, including, without limitation, Lessee’s obligation to pay Rent and all amounts owed by Lessee under the Lease, and to perform all other lease obligations for the period up to the Termination Date. Lessee’s right to terminate shall be conditioned upon Lessee not being in default, after expiration of applicable notice and cure periods, under the Lease on the date Lessee provides the Termination Notice or the Termination Date. If Lessee does not exercise its termination right concurrently with or prior to Lessee’s delivery of the executed Expansion Lease to Lessor (or MPP), then Lessee’s termination right shall expire automatically and shall have no further force or effect without necessity of notice or other action by Lessor. Lessee acknowledges and agrees that this provision does not provide Lessee with any right or preferential right to lease space in any building identified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including without limitation, any rights of first refusal, rights of first offer or other rights to lease such space. Additionally, Lessor does not guarantee any availability of space in any building identified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Lessor retains the right to renovate, demolish or otherwise modify any existing buildings identified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prior to execution of the Expansion Lease.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872"/>
        <w:spacing w:after="0" w:line="272" w:lineRule="auto"/>
        <w:tabs>
          <w:tab w:leader="none" w:pos="167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Public Company Provisions</w:t>
      </w:r>
      <w:r>
        <w:rPr>
          <w:rFonts w:ascii="Arial" w:cs="Arial" w:eastAsia="Arial" w:hAnsi="Arial"/>
          <w:sz w:val="19"/>
          <w:szCs w:val="19"/>
          <w:color w:val="auto"/>
        </w:rPr>
        <w:t>. Lessee has advised Lessor that Lessee is a public company whose shares are listed and traded on the NASDAQ exchange. Accordingly, for so long as Lessee’s shares remain listed and traded on a nationally recognized public stock exchange in the United States of America, (i) notwithstanding anything in Section 17(g) of the Lease to the contrary, no sale, transfer or exchange of Lessee’s shares through a nationally recognized public stock exchange in the United States of America shall be subject to the provisions of Section 17 of the Lease, including, without limitation, the conditions set forth in Section 17(f) of the Lease, and (ii) notwithstanding anything in Section 37(l) of the Lease to the contrary, Lessor acknowledges that Lessee may be obligated to regularly provide financial information concerning Lessee and/or its affiliates to the shareholders of Lessee and/or its affiliates, to the Federal Securities and Exchange Commission and other regulatory agencies, and to auditors and underwriters, which information may include summaries of financial information concerning leases, rents, costs, and results of operations of its business, including any financial obligations set forth in the Lease and copies of material contracts, such as the Lease and this Amendment. Lessee shall only provide such information to the extent Lessee is required to do so by the Federal Securities and Exchange Commission.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6" w:name="page77"/>
    <w:bookmarkEnd w:id="76"/>
    <w:p>
      <w:pPr>
        <w:jc w:val="both"/>
        <w:ind w:left="-20" w:firstLine="872"/>
        <w:spacing w:after="0" w:line="271" w:lineRule="auto"/>
        <w:tabs>
          <w:tab w:leader="none" w:pos="165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Civil Code Section 1938 Disclosure</w:t>
      </w:r>
      <w:r>
        <w:rPr>
          <w:rFonts w:ascii="Arial" w:cs="Arial" w:eastAsia="Arial" w:hAnsi="Arial"/>
          <w:sz w:val="19"/>
          <w:szCs w:val="19"/>
          <w:color w:val="auto"/>
        </w:rPr>
        <w:t>. For purposes of Section 1938(a) of the California Civil Code, Lessor hereby discloses to Lessee, and Lessee hereby acknowledges, that neither the Building nor the Premises has undergone inspection by a Certified Access Specialist (“</w:t>
      </w:r>
      <w:r>
        <w:rPr>
          <w:rFonts w:ascii="Arial" w:cs="Arial" w:eastAsia="Arial" w:hAnsi="Arial"/>
          <w:sz w:val="19"/>
          <w:szCs w:val="19"/>
          <w:u w:val="single" w:color="auto"/>
          <w:color w:val="auto"/>
        </w:rPr>
        <w:t>CASp</w:t>
      </w:r>
      <w:r>
        <w:rPr>
          <w:rFonts w:ascii="Arial" w:cs="Arial" w:eastAsia="Arial" w:hAnsi="Arial"/>
          <w:sz w:val="19"/>
          <w:szCs w:val="19"/>
          <w:color w:val="auto"/>
        </w:rPr>
        <w:t>”) (defined by California Civil Code Section 55.52). Pursuant to California Civil Code Section 1938, Lessee is hereby notified that a CASp can inspect the Premises and determine whether the Premises complies with all of the applicable construction-related accessibility standards under state law. Although state law does not require a CASp inspection of the Premises, Lessor may not prohibit Lessee from obtaining a CASp inspection of the Premises for the occupancy of the Lessee, if requested by Lessee. Lessor and Lessee shall mutually agree on the arrangements for the time and manner of any CASp inspection, the payment of the fee for the CASp inspection and the cost of making any repairs necessary to correct violations of construction-related accessibility standards within the Premises. If Lessee requests to perform a CASp inspection of the Premises, Lessee shall, at its cost, retain a CASp approved by Lessor (provided that Lessor may designate the CASp, at Lessor’s option) to perform the inspection of the Premises at a time agreed upon by the parties. Lessee shall provide Lessor with a copy of any report or certificate issued by the CASp (the "</w:t>
      </w:r>
      <w:r>
        <w:rPr>
          <w:rFonts w:ascii="Arial" w:cs="Arial" w:eastAsia="Arial" w:hAnsi="Arial"/>
          <w:sz w:val="19"/>
          <w:szCs w:val="19"/>
          <w:u w:val="single" w:color="auto"/>
          <w:color w:val="auto"/>
        </w:rPr>
        <w:t>CASp Report</w:t>
      </w:r>
      <w:r>
        <w:rPr>
          <w:rFonts w:ascii="Arial" w:cs="Arial" w:eastAsia="Arial" w:hAnsi="Arial"/>
          <w:sz w:val="19"/>
          <w:szCs w:val="19"/>
          <w:color w:val="auto"/>
        </w:rPr>
        <w:t>"). Lessor and Lessee agree that any modifications necessary to correct violations of construction related accessibility standards identified in the CASp Report shall be the responsibility of the party requesting same. Lessee agrees to keep the information in the CASp Report confidential except as necessary for the Lessee to complete such modifications.</w:t>
      </w:r>
    </w:p>
    <w:p>
      <w:pPr>
        <w:spacing w:after="0" w:line="160" w:lineRule="exact"/>
        <w:rPr>
          <w:rFonts w:ascii="Arial" w:cs="Arial" w:eastAsia="Arial" w:hAnsi="Arial"/>
          <w:sz w:val="19"/>
          <w:szCs w:val="19"/>
          <w:color w:val="auto"/>
        </w:rPr>
      </w:pPr>
    </w:p>
    <w:p>
      <w:pPr>
        <w:jc w:val="both"/>
        <w:ind w:left="-20" w:firstLine="872"/>
        <w:spacing w:after="0" w:line="277" w:lineRule="auto"/>
        <w:tabs>
          <w:tab w:leader="none" w:pos="176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Lessee’s broker is Cornish &amp; Carey Commercial d/b/a Newmark Knight Frank (“</w:t>
      </w:r>
      <w:r>
        <w:rPr>
          <w:rFonts w:ascii="Arial" w:cs="Arial" w:eastAsia="Arial" w:hAnsi="Arial"/>
          <w:sz w:val="19"/>
          <w:szCs w:val="19"/>
          <w:u w:val="single" w:color="auto"/>
          <w:color w:val="auto"/>
        </w:rPr>
        <w:t>Lessee’s Broker</w:t>
      </w:r>
      <w:r>
        <w:rPr>
          <w:rFonts w:ascii="Arial" w:cs="Arial" w:eastAsia="Arial" w:hAnsi="Arial"/>
          <w:sz w:val="19"/>
          <w:szCs w:val="19"/>
          <w:color w:val="auto"/>
        </w:rPr>
        <w:t>”) and Lessor’s brokers are Kidder Mathews and Cornish &amp; Carey Commercial d/b/a Newmark Knight Frank (“</w:t>
      </w:r>
      <w:r>
        <w:rPr>
          <w:rFonts w:ascii="Arial" w:cs="Arial" w:eastAsia="Arial" w:hAnsi="Arial"/>
          <w:sz w:val="19"/>
          <w:szCs w:val="19"/>
          <w:u w:val="single" w:color="auto"/>
          <w:color w:val="auto"/>
        </w:rPr>
        <w:t>Lessors’ Broker</w:t>
      </w:r>
      <w:r>
        <w:rPr>
          <w:rFonts w:ascii="Arial" w:cs="Arial" w:eastAsia="Arial" w:hAnsi="Arial"/>
          <w:sz w:val="19"/>
          <w:szCs w:val="19"/>
          <w:color w:val="auto"/>
        </w:rPr>
        <w:t>” and collectively with Lessee’s Broker, the “</w:t>
      </w:r>
      <w:r>
        <w:rPr>
          <w:rFonts w:ascii="Arial" w:cs="Arial" w:eastAsia="Arial" w:hAnsi="Arial"/>
          <w:sz w:val="19"/>
          <w:szCs w:val="19"/>
          <w:u w:val="single" w:color="auto"/>
          <w:color w:val="auto"/>
        </w:rPr>
        <w:t>Brokers</w:t>
      </w:r>
      <w:r>
        <w:rPr>
          <w:rFonts w:ascii="Arial" w:cs="Arial" w:eastAsia="Arial" w:hAnsi="Arial"/>
          <w:sz w:val="19"/>
          <w:szCs w:val="19"/>
          <w:color w:val="auto"/>
        </w:rPr>
        <w:t>”). Lessor shall pay a leasing commission to the Brokers pursuant to a separate agreement. Each party represents and warrants to the other party that it has not had any dealings with any real estate broker, finder, or other person with respect to this Lease other than Brokers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w:t>
      </w:r>
    </w:p>
    <w:p>
      <w:pPr>
        <w:spacing w:after="0" w:line="151" w:lineRule="exact"/>
        <w:rPr>
          <w:rFonts w:ascii="Arial" w:cs="Arial" w:eastAsia="Arial" w:hAnsi="Arial"/>
          <w:sz w:val="19"/>
          <w:szCs w:val="19"/>
          <w:color w:val="auto"/>
        </w:rPr>
      </w:pPr>
    </w:p>
    <w:p>
      <w:pPr>
        <w:ind w:left="-20" w:firstLine="872"/>
        <w:spacing w:after="0" w:line="250" w:lineRule="auto"/>
        <w:tabs>
          <w:tab w:leader="none" w:pos="1754"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Right of First Offer.</w:t>
      </w:r>
      <w:r>
        <w:rPr>
          <w:rFonts w:ascii="Arial" w:cs="Arial" w:eastAsia="Arial" w:hAnsi="Arial"/>
          <w:sz w:val="22"/>
          <w:szCs w:val="22"/>
          <w:color w:val="auto"/>
        </w:rPr>
        <w:t xml:space="preserve"> The Right of First Offer in Section 36 of the Lease is hereby deleted and removed from the Lease in its entirety without any further force or effect.</w:t>
      </w:r>
    </w:p>
    <w:p>
      <w:pPr>
        <w:spacing w:after="0" w:line="174" w:lineRule="exact"/>
        <w:rPr>
          <w:rFonts w:ascii="Arial" w:cs="Arial" w:eastAsia="Arial" w:hAnsi="Arial"/>
          <w:sz w:val="22"/>
          <w:szCs w:val="22"/>
          <w:color w:val="auto"/>
        </w:rPr>
      </w:pPr>
    </w:p>
    <w:p>
      <w:pPr>
        <w:jc w:val="both"/>
        <w:ind w:left="-20" w:firstLine="872"/>
        <w:spacing w:after="0"/>
        <w:tabs>
          <w:tab w:leader="none" w:pos="176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Continuing Effect; Conflicts</w:t>
      </w:r>
      <w:r>
        <w:rPr>
          <w:rFonts w:ascii="Arial" w:cs="Arial" w:eastAsia="Arial" w:hAnsi="Arial"/>
          <w:sz w:val="22"/>
          <w:szCs w:val="22"/>
          <w:color w:val="auto"/>
        </w:rPr>
        <w:t>. All of the terms and conditions of the Lease shall remain in full force and effect, as the Lease is amended by this Amendment. If any provision of this Amendment conflicts with the Lease, the provisions of this Amendment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wp:posOffset>
            </wp:positionV>
            <wp:extent cx="7143115" cy="5665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43115" cy="5665470"/>
                    </a:xfrm>
                    <a:prstGeom prst="rect">
                      <a:avLst/>
                    </a:prstGeom>
                    <a:noFill/>
                  </pic:spPr>
                </pic:pic>
              </a:graphicData>
            </a:graphic>
          </wp:anchor>
        </w:drawing>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40" w:top="550" w:right="339" w:bottom="1440" w:gutter="0" w:footer="0" w:header="0"/>
        </w:sectPr>
      </w:pPr>
    </w:p>
    <w:bookmarkStart w:id="77" w:name="page78"/>
    <w:bookmarkEnd w:id="77"/>
    <w:p>
      <w:pPr>
        <w:jc w:val="both"/>
        <w:ind w:right="20" w:firstLine="863"/>
        <w:spacing w:after="0" w:line="246" w:lineRule="auto"/>
        <w:tabs>
          <w:tab w:leader="none" w:pos="178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062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6130" cy="3062605"/>
                    </a:xfrm>
                    <a:prstGeom prst="rect">
                      <a:avLst/>
                    </a:prstGeom>
                    <a:noFill/>
                  </pic:spPr>
                </pic:pic>
              </a:graphicData>
            </a:graphic>
          </wp:anchor>
        </w:drawing>
        <w:t>Notices</w:t>
      </w:r>
      <w:r>
        <w:rPr>
          <w:rFonts w:ascii="Arial" w:cs="Arial" w:eastAsia="Arial" w:hAnsi="Arial"/>
          <w:sz w:val="21"/>
          <w:szCs w:val="21"/>
          <w:color w:val="auto"/>
        </w:rPr>
        <w:t>. All notices required under this Agreement and other information concerning this Agreement (“</w:t>
      </w:r>
      <w:r>
        <w:rPr>
          <w:rFonts w:ascii="Arial" w:cs="Arial" w:eastAsia="Arial" w:hAnsi="Arial"/>
          <w:sz w:val="21"/>
          <w:szCs w:val="21"/>
          <w:u w:val="single" w:color="auto"/>
          <w:color w:val="auto"/>
        </w:rPr>
        <w:t>Communications</w:t>
      </w:r>
      <w:r>
        <w:rPr>
          <w:rFonts w:ascii="Arial" w:cs="Arial" w:eastAsia="Arial" w:hAnsi="Arial"/>
          <w:sz w:val="21"/>
          <w:szCs w:val="21"/>
          <w:color w:val="auto"/>
        </w:rPr>
        <w:t>”) shall be personally delivered or sent by first class mail, postage prepaid, by overnight courier. In addition, the Lessor may, in its sole discretion, send such Communications to the Lessee electronically, or permit the Lessee to send such Communications to the Lessor electronically, in the manner described in this Section. Such Communications sent by personal delivery, mail or overnight courier will be sent to the addresses listed below, or to such other addresses as the Lessor and the Lessee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spacing w:after="0" w:line="180"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Such Communications may be sent electronically by the Lessor to the Lessee (i) by transmitting the Communication to the electronic address provided by the Lessee or to such other electronic address as the Lessee may specify from time to time in writing, or (ii) by posting the Communication on a website and sending the Lessee a notice to the Lessee’s postal address or electronic address telling the Lessee that the Communication has been posted, its location, and providing instructions on how to view it. Communications sent electronically to the Lessee will be effective when the Communication, or a notice advising of its posting to a website, is sent to the Lessee’s electronic address.</w:t>
      </w:r>
    </w:p>
    <w:p>
      <w:pPr>
        <w:spacing w:after="0" w:line="198" w:lineRule="exact"/>
        <w:rPr>
          <w:sz w:val="20"/>
          <w:szCs w:val="20"/>
          <w:color w:val="auto"/>
        </w:rPr>
      </w:pPr>
    </w:p>
    <w:p>
      <w:pPr>
        <w:spacing w:after="0"/>
        <w:tabs>
          <w:tab w:leader="none" w:pos="4640" w:val="left"/>
        </w:tabs>
        <w:rPr>
          <w:sz w:val="20"/>
          <w:szCs w:val="20"/>
          <w:color w:val="auto"/>
        </w:rPr>
      </w:pPr>
      <w:r>
        <w:rPr>
          <w:rFonts w:ascii="Arial" w:cs="Arial" w:eastAsia="Arial" w:hAnsi="Arial"/>
          <w:sz w:val="22"/>
          <w:szCs w:val="22"/>
          <w:color w:val="auto"/>
        </w:rPr>
        <w:t>Lessee acknowledged and accepts this Section</w:t>
      </w:r>
      <w:r>
        <w:rPr>
          <w:sz w:val="20"/>
          <w:szCs w:val="20"/>
          <w:color w:val="auto"/>
        </w:rPr>
        <w:tab/>
      </w:r>
      <w:r>
        <w:rPr>
          <w:rFonts w:ascii="Arial" w:cs="Arial" w:eastAsia="Arial" w:hAnsi="Arial"/>
          <w:sz w:val="19"/>
          <w:szCs w:val="19"/>
          <w:color w:val="auto"/>
        </w:rPr>
        <w:t xml:space="preserve">Lessee’s Initials: </w:t>
      </w:r>
      <w:r>
        <w:rPr>
          <w:sz w:val="1"/>
          <w:szCs w:val="1"/>
          <w:color w:val="auto"/>
        </w:rPr>
        <w:drawing>
          <wp:inline distT="0" distB="0" distL="0" distR="0">
            <wp:extent cx="325755" cy="30861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25755" cy="308610"/>
                    </a:xfrm>
                    <a:prstGeom prst="rect">
                      <a:avLst/>
                    </a:prstGeom>
                    <a:noFill/>
                    <a:ln>
                      <a:noFill/>
                    </a:ln>
                  </pic:spPr>
                </pic:pic>
              </a:graphicData>
            </a:graphic>
          </wp:inline>
        </w:drawing>
      </w:r>
    </w:p>
    <w:p>
      <w:pPr>
        <w:spacing w:after="0" w:line="222" w:lineRule="exact"/>
        <w:rPr>
          <w:sz w:val="20"/>
          <w:szCs w:val="20"/>
          <w:color w:val="auto"/>
        </w:rPr>
      </w:pPr>
    </w:p>
    <w:p>
      <w:pPr>
        <w:jc w:val="both"/>
        <w:ind w:left="-20" w:firstLine="872"/>
        <w:spacing w:after="0" w:line="238" w:lineRule="auto"/>
        <w:tabs>
          <w:tab w:leader="none" w:pos="1739" w:val="left"/>
        </w:tabs>
        <w:numPr>
          <w:ilvl w:val="0"/>
          <w:numId w:val="32"/>
        </w:numPr>
        <w:rPr>
          <w:rFonts w:ascii="Arial" w:cs="Arial" w:eastAsia="Arial" w:hAnsi="Arial"/>
          <w:sz w:val="20"/>
          <w:szCs w:val="20"/>
          <w:color w:val="auto"/>
        </w:rPr>
      </w:pPr>
      <w:r>
        <w:rPr>
          <w:rFonts w:ascii="Arial" w:cs="Arial" w:eastAsia="Arial" w:hAnsi="Arial"/>
          <w:sz w:val="22"/>
          <w:szCs w:val="22"/>
          <w:u w:val="single" w:color="auto"/>
          <w:color w:val="auto"/>
        </w:rPr>
        <w:t>Warranty of Authority</w:t>
      </w:r>
      <w:r>
        <w:rPr>
          <w:rFonts w:ascii="Arial" w:cs="Arial" w:eastAsia="Arial" w:hAnsi="Arial"/>
          <w:sz w:val="22"/>
          <w:szCs w:val="22"/>
          <w:color w:val="auto"/>
        </w:rPr>
        <w:t>. Each party represents and warrants to the other that the person signing this Amendment is duly and validly authorized to do so on behalf of the entity it purports to so bind, and if such party is a limited liability company or a corporation, that such limited liability company or corporation has full right and authority to enter into this Amendment and to perform all of its obligations hereunder.</w:t>
      </w:r>
    </w:p>
    <w:p>
      <w:pPr>
        <w:spacing w:after="0" w:line="198" w:lineRule="exact"/>
        <w:rPr>
          <w:rFonts w:ascii="Arial" w:cs="Arial" w:eastAsia="Arial" w:hAnsi="Arial"/>
          <w:sz w:val="20"/>
          <w:szCs w:val="20"/>
          <w:color w:val="auto"/>
        </w:rPr>
      </w:pPr>
    </w:p>
    <w:p>
      <w:pPr>
        <w:jc w:val="both"/>
        <w:ind w:right="20" w:firstLine="863"/>
        <w:spacing w:after="0" w:line="275" w:lineRule="auto"/>
        <w:tabs>
          <w:tab w:leader="none" w:pos="178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The Lease, as amended hereby,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-769620</wp:posOffset>
            </wp:positionV>
            <wp:extent cx="7143115" cy="6703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43115" cy="6703060"/>
                    </a:xfrm>
                    <a:prstGeom prst="rect">
                      <a:avLst/>
                    </a:prstGeom>
                    <a:noFill/>
                  </pic:spPr>
                </pic:pic>
              </a:graphicData>
            </a:graphic>
          </wp:anchor>
        </w:drawing>
      </w:r>
    </w:p>
    <w:p>
      <w:pPr>
        <w:sectPr>
          <w:pgSz w:w="11900" w:h="16838" w:orient="portrait"/>
          <w:cols w:equalWidth="0" w:num="1">
            <w:col w:w="11220"/>
          </w:cols>
          <w:pgMar w:left="340" w:top="550"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Lessee acknowledges and accepts this Section.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xml:space="preserve">Lessee’s Initials: </w:t>
      </w:r>
      <w:r>
        <w:rPr>
          <w:sz w:val="1"/>
          <w:szCs w:val="1"/>
          <w:color w:val="auto"/>
        </w:rPr>
        <w:drawing>
          <wp:inline distT="0" distB="0" distL="0" distR="0">
            <wp:extent cx="325755" cy="3022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25755" cy="302260"/>
                    </a:xfrm>
                    <a:prstGeom prst="rect">
                      <a:avLst/>
                    </a:prstGeom>
                    <a:noFill/>
                    <a:ln>
                      <a:noFill/>
                    </a:ln>
                  </pic:spPr>
                </pic:pic>
              </a:graphicData>
            </a:graphic>
          </wp:inline>
        </w:drawing>
      </w:r>
    </w:p>
    <w:p>
      <w:pPr>
        <w:spacing w:after="0" w:line="200" w:lineRule="exact"/>
        <w:rPr>
          <w:sz w:val="20"/>
          <w:szCs w:val="20"/>
          <w:color w:val="auto"/>
        </w:rPr>
      </w:pPr>
    </w:p>
    <w:p>
      <w:pPr>
        <w:sectPr>
          <w:pgSz w:w="11900" w:h="16838" w:orient="portrait"/>
          <w:cols w:equalWidth="0" w:num="2">
            <w:col w:w="4040" w:space="600"/>
            <w:col w:w="6580"/>
          </w:cols>
          <w:pgMar w:left="340" w:top="550" w:right="339" w:bottom="144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40" w:top="550" w:right="339" w:bottom="1440" w:gutter="0" w:footer="0" w:header="0"/>
          <w:type w:val="continuous"/>
        </w:sectPr>
      </w:pPr>
    </w:p>
    <w:bookmarkStart w:id="78" w:name="page79"/>
    <w:bookmarkEnd w:id="78"/>
    <w:p>
      <w:pPr>
        <w:jc w:val="both"/>
        <w:ind w:firstLine="863"/>
        <w:spacing w:after="0" w:line="270" w:lineRule="auto"/>
        <w:tabs>
          <w:tab w:leader="none" w:pos="178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4311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43115" cy="10515600"/>
                    </a:xfrm>
                    <a:prstGeom prst="rect">
                      <a:avLst/>
                    </a:prstGeom>
                    <a:noFill/>
                  </pic:spPr>
                </pic:pic>
              </a:graphicData>
            </a:graphic>
          </wp:anchor>
        </w:drawing>
        <w:t>Counterparts; Electronic Signatures</w:t>
      </w:r>
      <w:r>
        <w:rPr>
          <w:rFonts w:ascii="Arial" w:cs="Arial" w:eastAsia="Arial" w:hAnsi="Arial"/>
          <w:sz w:val="19"/>
          <w:szCs w:val="19"/>
          <w:color w:val="auto"/>
        </w:rPr>
        <w:t>. The Lease, as amended hereby, may be executed in counterparts, including both counterparts that are executed on paper and counterparts that are in the form of electronic records and are executed electronically. An electronic signature means any electronic sound, symbol or process attached to or logically associated with a record and executed and adopted by a party with the intent to sign such record, including facsimile or e mail electronic signatures. All executed counterparts shall constitute one agreement, and each counterpart shall be deemed an original. The parties hereby acknowledge and agree that electronic records and electronic signatures, as well as facsimile signatures, may be used in connection with the execution of this Lease and electronic signatures, facsimile signatures or signatures transmitted by electronic mail in so-called pdf format shall be legal and binding and shall have the same full force and effect as if a paper original of this Lease had been delivered and signed using a handwritten signature. Lessor and Lessee (i) agree that an electronic signature, whether digital or encrypted, of a party to this Lease is intended to authenticate this writing and to have the same force and effect as a manual signature, (ii) intend to be bound by the signatures (whether original, faxed or electronic) on any document sent or delivered by facsimile, or electronic mail, or other electronic means, (iii) are aware that the other party will rely on such signatures, and (iv) hereby waive any defenses to the enforcement of the terms of this Lease based on the foregoing forms of signature. If this Lease has been executed by electronic signature, all parties executing this document are expressly consenting under the Electronic Signatures in Global and National Commerce Act (“</w:t>
      </w:r>
      <w:r>
        <w:rPr>
          <w:rFonts w:ascii="Arial" w:cs="Arial" w:eastAsia="Arial" w:hAnsi="Arial"/>
          <w:sz w:val="19"/>
          <w:szCs w:val="19"/>
          <w:u w:val="single" w:color="auto"/>
          <w:color w:val="auto"/>
        </w:rPr>
        <w:t>E-SIGN</w:t>
      </w:r>
      <w:r>
        <w:rPr>
          <w:rFonts w:ascii="Arial" w:cs="Arial" w:eastAsia="Arial" w:hAnsi="Arial"/>
          <w:sz w:val="19"/>
          <w:szCs w:val="19"/>
          <w:color w:val="auto"/>
        </w:rPr>
        <w:t>”), and Uniform Electronic Transactions Act (“</w:t>
      </w:r>
      <w:r>
        <w:rPr>
          <w:rFonts w:ascii="Arial" w:cs="Arial" w:eastAsia="Arial" w:hAnsi="Arial"/>
          <w:sz w:val="19"/>
          <w:szCs w:val="19"/>
          <w:u w:val="single" w:color="auto"/>
          <w:color w:val="auto"/>
        </w:rPr>
        <w:t>UETA</w:t>
      </w:r>
      <w:r>
        <w:rPr>
          <w:rFonts w:ascii="Arial" w:cs="Arial" w:eastAsia="Arial" w:hAnsi="Arial"/>
          <w:sz w:val="19"/>
          <w:szCs w:val="19"/>
          <w:color w:val="auto"/>
        </w:rPr>
        <w:t>”), that a signature by fax, email or other electronic means shall constitute an Electronic Signature to an Electronic Record under both E-SIGN and UETA with respect to this specific transaction.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320" w:type="dxa"/>
            <w:vAlign w:val="bottom"/>
          </w:tcPr>
          <w:p>
            <w:pPr>
              <w:spacing w:after="0"/>
              <w:rPr>
                <w:sz w:val="20"/>
                <w:szCs w:val="20"/>
                <w:color w:val="auto"/>
              </w:rPr>
            </w:pPr>
            <w:r>
              <w:rPr>
                <w:rFonts w:ascii="Arial" w:cs="Arial" w:eastAsia="Arial" w:hAnsi="Arial"/>
                <w:sz w:val="22"/>
                <w:szCs w:val="22"/>
                <w:color w:val="auto"/>
                <w:w w:val="92"/>
              </w:rPr>
              <w:t>Lessee acknowledges and accepts this Section.</w:t>
            </w:r>
          </w:p>
        </w:tc>
        <w:tc>
          <w:tcPr>
            <w:tcW w:w="1720" w:type="dxa"/>
            <w:vAlign w:val="bottom"/>
          </w:tcPr>
          <w:p>
            <w:pPr>
              <w:jc w:val="right"/>
              <w:spacing w:after="0"/>
              <w:rPr>
                <w:sz w:val="20"/>
                <w:szCs w:val="20"/>
                <w:color w:val="auto"/>
              </w:rPr>
            </w:pPr>
            <w:r>
              <w:rPr>
                <w:rFonts w:ascii="Arial" w:cs="Arial" w:eastAsia="Arial" w:hAnsi="Arial"/>
                <w:sz w:val="22"/>
                <w:szCs w:val="22"/>
                <w:color w:val="auto"/>
              </w:rPr>
              <w:t>Lessee’s Initials:</w:t>
            </w:r>
          </w:p>
        </w:tc>
        <w:tc>
          <w:tcPr>
            <w:tcW w:w="0" w:type="dxa"/>
            <w:vAlign w:val="bottom"/>
          </w:tcPr>
          <w:p>
            <w:pPr>
              <w:spacing w:after="0"/>
              <w:rPr>
                <w:sz w:val="1"/>
                <w:szCs w:val="1"/>
                <w:color w:val="auto"/>
              </w:rPr>
            </w:pPr>
          </w:p>
        </w:tc>
      </w:tr>
      <w:tr>
        <w:trPr>
          <w:trHeight w:val="440"/>
        </w:trPr>
        <w:tc>
          <w:tcPr>
            <w:tcW w:w="4320" w:type="dxa"/>
            <w:vAlign w:val="bottom"/>
            <w:vMerge w:val="restart"/>
          </w:tcPr>
          <w:p>
            <w:pPr>
              <w:spacing w:after="0"/>
              <w:rPr>
                <w:sz w:val="20"/>
                <w:szCs w:val="20"/>
                <w:color w:val="auto"/>
              </w:rPr>
            </w:pPr>
            <w:r>
              <w:rPr>
                <w:rFonts w:ascii="Arial" w:cs="Arial" w:eastAsia="Arial" w:hAnsi="Arial"/>
                <w:sz w:val="22"/>
                <w:szCs w:val="22"/>
                <w:color w:val="auto"/>
              </w:rPr>
              <w:t>"&gt;</w:t>
            </w:r>
          </w:p>
        </w:tc>
        <w:tc>
          <w:tcPr>
            <w:tcW w:w="1720" w:type="dxa"/>
            <w:vAlign w:val="bottom"/>
          </w:tcPr>
          <w:p>
            <w:pPr>
              <w:jc w:val="right"/>
              <w:ind w:right="277"/>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49"/>
        </w:trPr>
        <w:tc>
          <w:tcPr>
            <w:tcW w:w="4320" w:type="dxa"/>
            <w:vAlign w:val="bottom"/>
            <w:vMerge w:val="continue"/>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793" w:right="35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47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6130" cy="147955"/>
                    </a:xfrm>
                    <a:prstGeom prst="rect">
                      <a:avLst/>
                    </a:prstGeom>
                    <a:noFill/>
                  </pic:spPr>
                </pic:pic>
              </a:graphicData>
            </a:graphic>
          </wp:anchor>
        </w:drawing>
        <w:t>IN WITNESS WHEREOF, Lessor and Lessee have duly executed this Amendment as of the date first set forth above.</w:t>
      </w:r>
    </w:p>
    <w:p>
      <w:pPr>
        <w:sectPr>
          <w:pgSz w:w="11900" w:h="16838" w:orient="portrait"/>
          <w:cols w:equalWidth="0" w:num="1">
            <w:col w:w="10200"/>
          </w:cols>
          <w:pgMar w:left="320" w:top="348" w:right="137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PERSONALIS,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Carol Tillis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10160</wp:posOffset>
            </wp:positionV>
            <wp:extent cx="3282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6"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9"/>
          <w:szCs w:val="19"/>
          <w:color w:val="auto"/>
        </w:rPr>
        <w:t>Carol Tillis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10160</wp:posOffset>
            </wp:positionV>
            <wp:extent cx="25546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VP, Finance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wp:posOffset>
            </wp:positionV>
            <wp:extent cx="32829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Lessor</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MENLO PREPI I, LLC</w:t>
      </w:r>
      <w:r>
        <w:rPr>
          <w:rFonts w:ascii="Arial" w:cs="Arial" w:eastAsia="Arial" w:hAnsi="Arial"/>
          <w:sz w:val="20"/>
          <w:szCs w:val="20"/>
          <w:color w:val="auto"/>
        </w:rPr>
        <w:t>, a Delaware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liability company</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tab/>
        <w:t>PRINCIPAL REAL ESTATE</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INVESTORS, LLC, a Delaware limited</w:t>
      </w:r>
    </w:p>
    <w:p>
      <w:pPr>
        <w:ind w:left="580"/>
        <w:spacing w:after="0"/>
        <w:rPr>
          <w:sz w:val="20"/>
          <w:szCs w:val="20"/>
          <w:color w:val="auto"/>
        </w:rPr>
      </w:pPr>
      <w:r>
        <w:rPr>
          <w:rFonts w:ascii="Arial" w:cs="Arial" w:eastAsia="Arial" w:hAnsi="Arial"/>
          <w:sz w:val="20"/>
          <w:szCs w:val="20"/>
          <w:color w:val="auto"/>
        </w:rPr>
        <w:t>liability company, its authorized signatory</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Jeff Uittenbogaard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10160</wp:posOffset>
            </wp:positionV>
            <wp:extent cx="32829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 Uittenbogaard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5715</wp:posOffset>
            </wp:positionV>
            <wp:extent cx="3103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Investment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5715</wp:posOffset>
            </wp:positionV>
            <wp:extent cx="3103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Joel Woehler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line="223" w:lineRule="exact"/>
              <w:rPr>
                <w:sz w:val="20"/>
                <w:szCs w:val="20"/>
                <w:color w:val="auto"/>
              </w:rPr>
            </w:pPr>
            <w:r>
              <w:rPr>
                <w:rFonts w:ascii="Arial" w:cs="Arial" w:eastAsia="Arial" w:hAnsi="Arial"/>
                <w:sz w:val="20"/>
                <w:szCs w:val="20"/>
                <w:color w:val="auto"/>
                <w:w w:val="74"/>
              </w:rPr>
              <w:t>Name:</w:t>
            </w:r>
          </w:p>
        </w:tc>
        <w:tc>
          <w:tcPr>
            <w:tcW w:w="280" w:type="dxa"/>
            <w:vAlign w:val="bottom"/>
            <w:tcBorders>
              <w:top w:val="single" w:sz="8" w:color="auto"/>
            </w:tcBorders>
          </w:tcPr>
          <w:p>
            <w:pPr>
              <w:spacing w:after="0"/>
              <w:rPr>
                <w:sz w:val="19"/>
                <w:szCs w:val="19"/>
                <w:color w:val="auto"/>
              </w:rPr>
            </w:pPr>
          </w:p>
        </w:tc>
        <w:tc>
          <w:tcPr>
            <w:tcW w:w="488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Joel Woehler</w:t>
            </w:r>
          </w:p>
        </w:tc>
      </w:tr>
      <w:tr>
        <w:trPr>
          <w:trHeight w:val="223"/>
        </w:trPr>
        <w:tc>
          <w:tcPr>
            <w:tcW w:w="740" w:type="dxa"/>
            <w:vAlign w:val="bottom"/>
            <w:gridSpan w:val="2"/>
          </w:tcPr>
          <w:p>
            <w:pPr>
              <w:spacing w:after="0" w:line="223" w:lineRule="exact"/>
              <w:rPr>
                <w:sz w:val="20"/>
                <w:szCs w:val="20"/>
                <w:color w:val="auto"/>
              </w:rPr>
            </w:pPr>
            <w:r>
              <w:rPr>
                <w:rFonts w:ascii="Arial" w:cs="Arial" w:eastAsia="Arial" w:hAnsi="Arial"/>
                <w:sz w:val="20"/>
                <w:szCs w:val="20"/>
                <w:color w:val="auto"/>
              </w:rPr>
              <w:t>Title:</w:t>
            </w:r>
          </w:p>
        </w:tc>
        <w:tc>
          <w:tcPr>
            <w:tcW w:w="4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Investment Director – Asset Management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TPI INVESTORS 9, LLC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California limited liability company,</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John Tarlton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10160</wp:posOffset>
            </wp:positionV>
            <wp:extent cx="32829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John Tarlton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5715</wp:posOffset>
            </wp:positionV>
            <wp:extent cx="31032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CEO of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5715</wp:posOffset>
            </wp:positionV>
            <wp:extent cx="31032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45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00"/>
          </w:cols>
          <w:pgMar w:left="320" w:top="348" w:right="1379" w:bottom="1440" w:gutter="0" w:footer="0" w:header="0"/>
          <w:type w:val="continuous"/>
        </w:sectPr>
      </w:pPr>
    </w:p>
    <w:bookmarkStart w:id="80" w:name="page81"/>
    <w:bookmarkEnd w:id="80"/>
    <w:p>
      <w:pPr>
        <w:jc w:val="center"/>
        <w:ind w:right="-200"/>
        <w:spacing w:after="0"/>
        <w:rPr>
          <w:sz w:val="20"/>
          <w:szCs w:val="20"/>
          <w:color w:val="auto"/>
        </w:rPr>
      </w:pPr>
      <w:r>
        <w:rPr>
          <w:rFonts w:ascii="Arial" w:cs="Arial" w:eastAsia="Arial" w:hAnsi="Arial"/>
          <w:sz w:val="16"/>
          <w:szCs w:val="16"/>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193675</wp:posOffset>
            </wp:positionV>
            <wp:extent cx="2185670" cy="30943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185670" cy="3094355"/>
                    </a:xfrm>
                    <a:prstGeom prst="rect">
                      <a:avLst/>
                    </a:prstGeom>
                    <a:noFill/>
                  </pic:spPr>
                </pic:pic>
              </a:graphicData>
            </a:graphic>
          </wp:anchor>
        </w:drawing>
      </w:r>
    </w:p>
    <w:p>
      <w:pPr>
        <w:spacing w:after="0" w:line="294" w:lineRule="exact"/>
        <w:rPr>
          <w:sz w:val="20"/>
          <w:szCs w:val="20"/>
          <w:color w:val="auto"/>
        </w:rPr>
      </w:pPr>
    </w:p>
    <w:p>
      <w:pPr>
        <w:jc w:val="center"/>
        <w:ind w:right="7579"/>
        <w:spacing w:after="0"/>
        <w:rPr>
          <w:sz w:val="20"/>
          <w:szCs w:val="20"/>
          <w:color w:val="auto"/>
        </w:rPr>
      </w:pPr>
      <w:r>
        <w:rPr>
          <w:rFonts w:ascii="Arial" w:cs="Arial" w:eastAsia="Arial" w:hAnsi="Arial"/>
          <w:sz w:val="18"/>
          <w:szCs w:val="18"/>
          <w:b w:val="1"/>
          <w:bCs w:val="1"/>
          <w:u w:val="single" w:color="auto"/>
          <w:color w:val="auto"/>
        </w:rPr>
        <w:t>Address</w:t>
      </w:r>
    </w:p>
    <w:p>
      <w:pPr>
        <w:spacing w:after="0" w:line="67" w:lineRule="exact"/>
        <w:rPr>
          <w:sz w:val="20"/>
          <w:szCs w:val="20"/>
          <w:color w:val="auto"/>
        </w:rPr>
      </w:pPr>
    </w:p>
    <w:p>
      <w:pPr>
        <w:jc w:val="center"/>
        <w:ind w:right="7579"/>
        <w:spacing w:after="0"/>
        <w:rPr>
          <w:sz w:val="20"/>
          <w:szCs w:val="20"/>
          <w:color w:val="auto"/>
        </w:rPr>
      </w:pPr>
      <w:r>
        <w:rPr>
          <w:rFonts w:ascii="Arial" w:cs="Arial" w:eastAsia="Arial" w:hAnsi="Arial"/>
          <w:sz w:val="17"/>
          <w:szCs w:val="17"/>
          <w:color w:val="auto"/>
        </w:rPr>
        <w:t>1430-1440 O’Brien Dr</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1490 O’Brien Dr.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1530 O’Brien Dr.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1525 O’Brien Dr.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1505 O’Brien Dr.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1505 Adams Dr.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1555 Adams Dr.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1605 Adams Dr.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1350 Adams Ct.</w:t>
      </w:r>
    </w:p>
    <w:p>
      <w:pPr>
        <w:spacing w:after="0" w:line="200" w:lineRule="exact"/>
        <w:rPr>
          <w:sz w:val="20"/>
          <w:szCs w:val="20"/>
          <w:color w:val="auto"/>
        </w:rPr>
      </w:pPr>
    </w:p>
    <w:p>
      <w:pPr>
        <w:spacing w:after="0" w:line="279"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239"/>
          </w:cols>
          <w:pgMar w:left="1220" w:top="339"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West,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6"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West</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82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Aaron Tachibana,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6"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Tachibana</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829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35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June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June 30,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upperLetter"/>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lvl w:ilvl="1">
      <w:lvlJc w:val="left"/>
      <w:lvlText w:val="(%2)"/>
      <w:numFmt w:val="lowerLetter"/>
      <w:start w:val="1"/>
    </w:lvl>
  </w:abstractNum>
  <w:abstractNum w:abstractNumId="26">
    <w:nsid w:val="6CEAF087"/>
    <w:multiLevelType w:val="hybridMultilevel"/>
    <w:lvl w:ilvl="0">
      <w:lvlJc w:val="left"/>
      <w:lvlText w:val="%1."/>
      <w:numFmt w:val="decimal"/>
      <w:start w:val="3"/>
    </w:lvl>
  </w:abstractNum>
  <w:abstractNum w:abstractNumId="27">
    <w:nsid w:val="22221A70"/>
    <w:multiLevelType w:val="hybridMultilevel"/>
    <w:lvl w:ilvl="0">
      <w:lvlJc w:val="left"/>
      <w:lvlText w:val="%1."/>
      <w:numFmt w:val="decimal"/>
      <w:start w:val="5"/>
    </w:lvl>
  </w:abstractNum>
  <w:abstractNum w:abstractNumId="28">
    <w:nsid w:val="4516DDE9"/>
    <w:multiLevelType w:val="hybridMultilevel"/>
    <w:lvl w:ilvl="0">
      <w:lvlJc w:val="left"/>
      <w:lvlText w:val="%1."/>
      <w:numFmt w:val="decimal"/>
      <w:start w:val="7"/>
    </w:lvl>
  </w:abstractNum>
  <w:abstractNum w:abstractNumId="29">
    <w:nsid w:val="3006C83E"/>
    <w:multiLevelType w:val="hybridMultilevel"/>
    <w:lvl w:ilvl="0">
      <w:lvlJc w:val="left"/>
      <w:lvlText w:val="%1."/>
      <w:numFmt w:val="decimal"/>
      <w:start w:val="9"/>
    </w:lvl>
  </w:abstractNum>
  <w:abstractNum w:abstractNumId="30">
    <w:nsid w:val="614FD4A1"/>
    <w:multiLevelType w:val="hybridMultilevel"/>
    <w:lvl w:ilvl="0">
      <w:lvlJc w:val="left"/>
      <w:lvlText w:val="%1."/>
      <w:numFmt w:val="decimal"/>
      <w:start w:val="13"/>
    </w:lvl>
  </w:abstractNum>
  <w:abstractNum w:abstractNumId="31">
    <w:nsid w:val="419AC241"/>
    <w:multiLevelType w:val="hybridMultilevel"/>
    <w:lvl w:ilvl="0">
      <w:lvlJc w:val="left"/>
      <w:lvlText w:val="%1."/>
      <w:numFmt w:val="decimal"/>
      <w:start w:val="14"/>
    </w:lvl>
    <w:lvl w:ilvl="1">
      <w:lvlJc w:val="left"/>
      <w:lvlText w:val="%2."/>
      <w:numFmt w:val="decimal"/>
      <w:start w:val="15"/>
    </w:lvl>
  </w:abstractNum>
  <w:abstractNum w:abstractNumId="32">
    <w:nsid w:val="5577F8E1"/>
    <w:multiLevelType w:val="hybridMultilevel"/>
    <w:lvl w:ilvl="0">
      <w:lvlJc w:val="left"/>
      <w:lvlText w:val="%1."/>
      <w:numFmt w:val="decimal"/>
      <w:start w:val="16"/>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jpeg"/><Relationship Id="rId114" Type="http://schemas.openxmlformats.org/officeDocument/2006/relationships/image" Target="media/image103.png"/><Relationship Id="rId115" Type="http://schemas.openxmlformats.org/officeDocument/2006/relationships/image" Target="media/image104.jpe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99" Type="http://schemas.openxmlformats.org/officeDocument/2006/relationships/hyperlink" Target="http://www.sec.gov/Archives/edgar/data/0001527753/000119312519180246/d750323dex31.htm" TargetMode="External"/><Relationship Id="rId100" Type="http://schemas.openxmlformats.org/officeDocument/2006/relationships/hyperlink" Target="http://www.sec.gov/Archives/edgar/data/0001527753/000119312519180246/d750323dex32.htm" TargetMode="External"/><Relationship Id="rId101" Type="http://schemas.openxmlformats.org/officeDocument/2006/relationships/hyperlink" Target="http://www.sec.gov/Archives/edgar/data/1527753/000156459020022986/psnl-ex101_198.htm" TargetMode="External"/><Relationship Id="rId102" Type="http://schemas.openxmlformats.org/officeDocument/2006/relationships/hyperlink" Target="http://www.sec.gov/Archives/edgar/data/1527753/000119312520136423/d92792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2020-08-06T15:51:23Z</dcterms:created>
  <dcterms:modified xsi:type="dcterms:W3CDTF">2020-08-06T15:51:23Z</dcterms:modified>
</cp:coreProperties>
</file>