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520" w:hanging="512"/>
        <w:spacing w:after="0" w:line="181" w:lineRule="auto"/>
        <w:tabs>
          <w:tab w:leader="none" w:pos="520" w:val="left"/>
        </w:tabs>
        <w:numPr>
          <w:ilvl w:val="0"/>
          <w:numId w:val="1"/>
        </w:numPr>
        <w:rPr>
          <w:rFonts w:ascii="MS PGothic" w:cs="MS PGothic" w:eastAsia="MS PGothic" w:hAnsi="MS PGothic"/>
          <w:sz w:val="30"/>
          <w:szCs w:val="30"/>
          <w:color w:val="auto"/>
          <w:highlight w:val="black"/>
          <w:vertAlign w:val="subscript"/>
        </w:rPr>
      </w:pPr>
      <w:r>
        <w:rPr>
          <w:rFonts w:ascii="Arial" w:cs="Arial" w:eastAsia="Arial" w:hAnsi="Arial"/>
          <w:sz w:val="15"/>
          <w:szCs w:val="15"/>
          <w:b w:val="1"/>
          <w:bCs w:val="1"/>
          <w:color w:val="auto"/>
        </w:rPr>
        <w:t>QUARTERLY REPORT PURSUANT TO SECTION 13 OR 15(d) OF THE SECURITIES EXCHANGE ACT OF 1934</w:t>
      </w:r>
    </w:p>
    <w:p>
      <w:pPr>
        <w:spacing w:after="0" w:line="200" w:lineRule="exact"/>
        <w:rPr>
          <w:sz w:val="24"/>
          <w:szCs w:val="24"/>
          <w:color w:val="auto"/>
        </w:rPr>
      </w:pPr>
    </w:p>
    <w:p>
      <w:pPr>
        <w:spacing w:after="0" w:line="38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43"/>
          <w:szCs w:val="43"/>
          <w:color w:val="auto"/>
          <w:highlight w:val="black"/>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130"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Personalis,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720" w:type="dxa"/>
        <w:tblCellMar>
          <w:top w:w="0" w:type="dxa"/>
          <w:left w:w="0" w:type="dxa"/>
          <w:bottom w:w="0" w:type="dxa"/>
          <w:right w:w="0" w:type="dxa"/>
        </w:tblCellMar>
      </w:tblPr>
      <w:tr>
        <w:trPr>
          <w:trHeight w:val="216"/>
        </w:trPr>
        <w:tc>
          <w:tcPr>
            <w:tcW w:w="4320" w:type="dxa"/>
            <w:vAlign w:val="bottom"/>
          </w:tcPr>
          <w:p>
            <w:pPr>
              <w:jc w:val="center"/>
              <w:ind w:right="1963"/>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27-5411038</w:t>
            </w:r>
          </w:p>
        </w:tc>
      </w:tr>
      <w:tr>
        <w:trPr>
          <w:trHeight w:val="135"/>
        </w:trPr>
        <w:tc>
          <w:tcPr>
            <w:tcW w:w="4320" w:type="dxa"/>
            <w:vAlign w:val="bottom"/>
          </w:tcPr>
          <w:p>
            <w:pPr>
              <w:jc w:val="center"/>
              <w:ind w:right="194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320" w:type="dxa"/>
            <w:vAlign w:val="bottom"/>
          </w:tcPr>
          <w:p>
            <w:pPr>
              <w:jc w:val="center"/>
              <w:ind w:right="1963"/>
              <w:spacing w:after="0"/>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89"/>
              </w:rPr>
              <w:t>Identification No.)</w:t>
            </w:r>
          </w:p>
        </w:tc>
      </w:tr>
      <w:tr>
        <w:trPr>
          <w:trHeight w:val="308"/>
        </w:trPr>
        <w:tc>
          <w:tcPr>
            <w:tcW w:w="4320" w:type="dxa"/>
            <w:vAlign w:val="bottom"/>
          </w:tcPr>
          <w:p>
            <w:pPr>
              <w:jc w:val="center"/>
              <w:ind w:right="1963"/>
              <w:spacing w:after="0"/>
              <w:rPr>
                <w:sz w:val="20"/>
                <w:szCs w:val="20"/>
                <w:color w:val="auto"/>
              </w:rPr>
            </w:pPr>
            <w:r>
              <w:rPr>
                <w:rFonts w:ascii="Arial" w:cs="Arial" w:eastAsia="Arial" w:hAnsi="Arial"/>
                <w:sz w:val="18"/>
                <w:szCs w:val="18"/>
                <w:b w:val="1"/>
                <w:bCs w:val="1"/>
                <w:color w:val="auto"/>
                <w:w w:val="94"/>
              </w:rPr>
              <w:t>1330 O’Brien Drive</w:t>
            </w:r>
          </w:p>
        </w:tc>
        <w:tc>
          <w:tcPr>
            <w:tcW w:w="3020" w:type="dxa"/>
            <w:vAlign w:val="bottom"/>
          </w:tcPr>
          <w:p>
            <w:pPr>
              <w:spacing w:after="0"/>
              <w:rPr>
                <w:sz w:val="24"/>
                <w:szCs w:val="24"/>
                <w:color w:val="auto"/>
              </w:rPr>
            </w:pPr>
          </w:p>
        </w:tc>
      </w:tr>
      <w:tr>
        <w:trPr>
          <w:trHeight w:val="216"/>
        </w:trPr>
        <w:tc>
          <w:tcPr>
            <w:tcW w:w="4320" w:type="dxa"/>
            <w:vAlign w:val="bottom"/>
          </w:tcPr>
          <w:p>
            <w:pPr>
              <w:jc w:val="center"/>
              <w:ind w:right="1963"/>
              <w:spacing w:after="0"/>
              <w:rPr>
                <w:sz w:val="20"/>
                <w:szCs w:val="20"/>
                <w:color w:val="auto"/>
              </w:rPr>
            </w:pPr>
            <w:r>
              <w:rPr>
                <w:rFonts w:ascii="Arial" w:cs="Arial" w:eastAsia="Arial" w:hAnsi="Arial"/>
                <w:sz w:val="18"/>
                <w:szCs w:val="18"/>
                <w:b w:val="1"/>
                <w:bCs w:val="1"/>
                <w:color w:val="auto"/>
                <w:w w:val="93"/>
              </w:rPr>
              <w:t>Menlo Park, California 94025</w:t>
            </w:r>
          </w:p>
        </w:tc>
        <w:tc>
          <w:tcPr>
            <w:tcW w:w="3020" w:type="dxa"/>
            <w:vAlign w:val="bottom"/>
          </w:tcPr>
          <w:p>
            <w:pPr>
              <w:jc w:val="right"/>
              <w:ind w:right="186"/>
              <w:spacing w:after="0"/>
              <w:rPr>
                <w:sz w:val="20"/>
                <w:szCs w:val="20"/>
                <w:color w:val="auto"/>
              </w:rPr>
            </w:pPr>
            <w:r>
              <w:rPr>
                <w:rFonts w:ascii="Arial" w:cs="Arial" w:eastAsia="Arial" w:hAnsi="Arial"/>
                <w:sz w:val="18"/>
                <w:szCs w:val="18"/>
                <w:b w:val="1"/>
                <w:bCs w:val="1"/>
                <w:color w:val="auto"/>
              </w:rPr>
              <w:t>94025</w:t>
            </w:r>
          </w:p>
        </w:tc>
      </w:tr>
      <w:tr>
        <w:trPr>
          <w:trHeight w:val="164"/>
        </w:trPr>
        <w:tc>
          <w:tcPr>
            <w:tcW w:w="4320" w:type="dxa"/>
            <w:vAlign w:val="bottom"/>
          </w:tcPr>
          <w:p>
            <w:pPr>
              <w:jc w:val="center"/>
              <w:ind w:right="196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752-1300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5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tcPr>
          <w:p>
            <w:pPr>
              <w:spacing w:after="0"/>
              <w:rPr>
                <w:sz w:val="17"/>
                <w:szCs w:val="17"/>
                <w:color w:val="auto"/>
              </w:rPr>
            </w:pPr>
          </w:p>
        </w:tc>
      </w:tr>
      <w:tr>
        <w:trPr>
          <w:trHeight w:val="316"/>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Trading</w:t>
            </w:r>
          </w:p>
        </w:tc>
        <w:tc>
          <w:tcPr>
            <w:tcW w:w="444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45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Title of each class</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Symbol(s)</w:t>
            </w:r>
          </w:p>
        </w:tc>
        <w:tc>
          <w:tcPr>
            <w:tcW w:w="444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3"/>
        </w:trPr>
        <w:tc>
          <w:tcPr>
            <w:tcW w:w="20" w:type="dxa"/>
            <w:vAlign w:val="bottom"/>
          </w:tcPr>
          <w:p>
            <w:pPr>
              <w:spacing w:after="0"/>
              <w:rPr>
                <w:sz w:val="17"/>
                <w:szCs w:val="17"/>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$0.0001</w:t>
            </w:r>
          </w:p>
        </w:tc>
        <w:tc>
          <w:tcPr>
            <w:tcW w:w="120" w:type="dxa"/>
            <w:vAlign w:val="bottom"/>
          </w:tcPr>
          <w:p>
            <w:pPr>
              <w:spacing w:after="0"/>
              <w:rPr>
                <w:sz w:val="17"/>
                <w:szCs w:val="17"/>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PSNL</w:t>
            </w:r>
          </w:p>
        </w:tc>
        <w:tc>
          <w:tcPr>
            <w:tcW w:w="120" w:type="dxa"/>
            <w:vAlign w:val="bottom"/>
          </w:tcPr>
          <w:p>
            <w:pPr>
              <w:spacing w:after="0"/>
              <w:rPr>
                <w:sz w:val="17"/>
                <w:szCs w:val="17"/>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08" w:lineRule="exact"/>
        <w:rPr>
          <w:sz w:val="24"/>
          <w:szCs w:val="24"/>
          <w:color w:val="auto"/>
        </w:rPr>
      </w:pPr>
    </w:p>
    <w:p>
      <w:pPr>
        <w:ind w:right="18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580"/>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6" w:lineRule="exact"/>
        <w:rPr>
          <w:sz w:val="24"/>
          <w:szCs w:val="24"/>
          <w:color w:val="auto"/>
        </w:rPr>
      </w:pPr>
    </w:p>
    <w:p>
      <w:pPr>
        <w:ind w:right="30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6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6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100" w:lineRule="exact"/>
        <w:rPr>
          <w:sz w:val="24"/>
          <w:szCs w:val="24"/>
          <w:color w:val="auto"/>
        </w:rPr>
      </w:pPr>
    </w:p>
    <w:p>
      <w:pPr>
        <w:ind w:right="1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right="280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8, 2019, the registrant had 31,233,959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180340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20" w:type="dxa"/>
            <w:vAlign w:val="bottom"/>
            <w:gridSpan w:val="7"/>
          </w:tcPr>
          <w:p>
            <w:pPr>
              <w:ind w:left="240"/>
              <w:spacing w:after="0"/>
              <w:rPr>
                <w:sz w:val="20"/>
                <w:szCs w:val="20"/>
                <w:color w:val="auto"/>
              </w:rPr>
            </w:pPr>
            <w:r>
              <w:rPr>
                <w:rFonts w:ascii="Arial" w:cs="Arial" w:eastAsia="Arial" w:hAnsi="Arial"/>
                <w:sz w:val="18"/>
                <w:szCs w:val="18"/>
                <w:b w:val="1"/>
                <w:bCs w:val="1"/>
                <w:color w:val="auto"/>
              </w:rPr>
              <w:t>Table of Contents</w:t>
            </w:r>
          </w:p>
        </w:tc>
        <w:tc>
          <w:tcPr>
            <w:tcW w:w="1320" w:type="dxa"/>
            <w:vAlign w:val="bottom"/>
          </w:tcPr>
          <w:p>
            <w:pPr>
              <w:spacing w:after="0"/>
              <w:rPr>
                <w:sz w:val="20"/>
                <w:szCs w:val="20"/>
                <w:color w:val="auto"/>
              </w:rPr>
            </w:pPr>
          </w:p>
        </w:tc>
      </w:tr>
      <w:tr>
        <w:trPr>
          <w:trHeight w:val="404"/>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jc w:val="right"/>
              <w:ind w:right="111"/>
              <w:spacing w:after="0"/>
              <w:rPr>
                <w:sz w:val="20"/>
                <w:szCs w:val="20"/>
                <w:color w:val="auto"/>
              </w:rPr>
            </w:pPr>
            <w:r>
              <w:rPr>
                <w:rFonts w:ascii="Arial" w:cs="Arial" w:eastAsia="Arial" w:hAnsi="Arial"/>
                <w:sz w:val="14"/>
                <w:szCs w:val="14"/>
                <w:b w:val="1"/>
                <w:bCs w:val="1"/>
                <w:color w:val="auto"/>
              </w:rPr>
              <w:t>Page</w:t>
            </w:r>
          </w:p>
        </w:tc>
      </w:tr>
      <w:tr>
        <w:trPr>
          <w:trHeight w:val="190"/>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80" w:type="dxa"/>
            <w:vAlign w:val="bottom"/>
            <w:tcBorders>
              <w:bottom w:val="single" w:sz="8" w:color="0000EE"/>
            </w:tcBorders>
            <w:gridSpan w:val="14"/>
          </w:tcPr>
          <w:p>
            <w:pPr>
              <w:spacing w:after="0" w:line="190"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Special Note Regarding Forward-Looking Statements</w:t>
              </w:r>
            </w:hyperlink>
          </w:p>
        </w:tc>
        <w:tc>
          <w:tcPr>
            <w:tcW w:w="5320" w:type="dxa"/>
            <w:vAlign w:val="bottom"/>
            <w:gridSpan w:val="7"/>
          </w:tcPr>
          <w:p>
            <w:pPr>
              <w:spacing w:after="0"/>
              <w:rPr>
                <w:sz w:val="16"/>
                <w:szCs w:val="16"/>
                <w:color w:val="auto"/>
              </w:rPr>
            </w:pPr>
          </w:p>
        </w:tc>
        <w:tc>
          <w:tcPr>
            <w:tcW w:w="132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399"/>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20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6780" w:type="dxa"/>
            <w:vAlign w:val="bottom"/>
            <w:gridSpan w:val="11"/>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w:t>
              </w:r>
            </w:hyperlink>
          </w:p>
        </w:tc>
        <w:tc>
          <w:tcPr>
            <w:tcW w:w="5540" w:type="dxa"/>
            <w:vAlign w:val="bottom"/>
            <w:gridSpan w:val="9"/>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Comprehensive Loss</w:t>
              </w:r>
            </w:hyperlink>
          </w:p>
        </w:tc>
        <w:tc>
          <w:tcPr>
            <w:tcW w:w="4820" w:type="dxa"/>
            <w:vAlign w:val="bottom"/>
            <w:gridSpan w:val="4"/>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Redeemable Convertible Preferred Stock and Stockholders’ Equity (Deficit)</w:t>
              </w:r>
            </w:hyperlink>
          </w:p>
        </w:tc>
        <w:tc>
          <w:tcPr>
            <w:tcW w:w="8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2740" w:type="dxa"/>
            <w:vAlign w:val="bottom"/>
            <w:gridSpan w:val="2"/>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Quantitative and Qualitative Disclosures About Market Risk</w:t>
              </w:r>
            </w:hyperlink>
          </w:p>
        </w:tc>
        <w:tc>
          <w:tcPr>
            <w:tcW w:w="4840" w:type="dxa"/>
            <w:vAlign w:val="bottom"/>
            <w:gridSpan w:val="5"/>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Controls and Procedures</w:t>
              </w:r>
            </w:hyperlink>
          </w:p>
        </w:tc>
        <w:tc>
          <w:tcPr>
            <w:tcW w:w="7420" w:type="dxa"/>
            <w:vAlign w:val="bottom"/>
            <w:gridSpan w:val="15"/>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26"/>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8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OTHER INFORMATION</w:t>
              </w:r>
            </w:hyperlink>
          </w:p>
        </w:tc>
        <w:tc>
          <w:tcPr>
            <w:tcW w:w="7320" w:type="dxa"/>
            <w:vAlign w:val="bottom"/>
            <w:gridSpan w:val="14"/>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8"/>
                <w:szCs w:val="18"/>
                <w:color w:val="auto"/>
              </w:rPr>
            </w:pPr>
          </w:p>
        </w:tc>
        <w:tc>
          <w:tcPr>
            <w:tcW w:w="7880" w:type="dxa"/>
            <w:vAlign w:val="bottom"/>
            <w:gridSpan w:val="17"/>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2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Unregistered Sales of Equity Securities and Use of Proceeds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6"/>
          </w:tcPr>
          <w:p>
            <w:pPr>
              <w:spacing w:after="0"/>
              <w:rPr>
                <w:sz w:val="18"/>
                <w:szCs w:val="18"/>
                <w:color w:val="auto"/>
              </w:rPr>
            </w:pPr>
          </w:p>
        </w:tc>
        <w:tc>
          <w:tcPr>
            <w:tcW w:w="4860" w:type="dxa"/>
            <w:vAlign w:val="bottom"/>
            <w:gridSpan w:val="6"/>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00" w:type="dxa"/>
            <w:vAlign w:val="bottom"/>
            <w:gridSpan w:val="2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Mine Safety Disclosures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7440" w:type="dxa"/>
            <w:vAlign w:val="bottom"/>
            <w:gridSpan w:val="16"/>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Exhibits</w:t>
              </w:r>
            </w:hyperlink>
          </w:p>
        </w:tc>
        <w:tc>
          <w:tcPr>
            <w:tcW w:w="7900" w:type="dxa"/>
            <w:vAlign w:val="bottom"/>
            <w:gridSpan w:val="18"/>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0"/>
        </w:trPr>
        <w:tc>
          <w:tcPr>
            <w:tcW w:w="920" w:type="dxa"/>
            <w:vAlign w:val="bottom"/>
            <w:gridSpan w:val="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669"/>
        </w:trPr>
        <w:tc>
          <w:tcPr>
            <w:tcW w:w="7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gridSpan w:val="19"/>
          </w:tcPr>
          <w:p>
            <w:pPr>
              <w:ind w:left="4740"/>
              <w:spacing w:after="0"/>
              <w:rPr>
                <w:sz w:val="20"/>
                <w:szCs w:val="20"/>
                <w:color w:val="auto"/>
              </w:rPr>
            </w:pPr>
            <w:r>
              <w:rPr>
                <w:rFonts w:ascii="Arial" w:cs="Arial" w:eastAsia="Arial" w:hAnsi="Arial"/>
                <w:sz w:val="18"/>
                <w:szCs w:val="18"/>
                <w:color w:val="auto"/>
              </w:rPr>
              <w:t>2</w:t>
            </w:r>
          </w:p>
        </w:tc>
        <w:tc>
          <w:tcPr>
            <w:tcW w:w="1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189" w:lineRule="exact"/>
        <w:rPr>
          <w:sz w:val="20"/>
          <w:szCs w:val="20"/>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evolution of cancer therapies and market adoption of our services;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of our total addressable market, future revenue, expenses, capital requirements, and our needs for additional financing;</w:t>
      </w:r>
    </w:p>
    <w:p>
      <w:pPr>
        <w:spacing w:after="0" w:line="196" w:lineRule="exact"/>
        <w:rPr>
          <w:rFonts w:ascii="Arial" w:cs="Arial" w:eastAsia="Arial" w:hAnsi="Arial"/>
          <w:sz w:val="17"/>
          <w:szCs w:val="17"/>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infrastructure;</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manage and grow our business by expanding our sales to existing customers or introducing our products to new customers;</w:t>
      </w:r>
    </w:p>
    <w:p>
      <w:pPr>
        <w:spacing w:after="0" w:line="196" w:lineRule="exact"/>
        <w:rPr>
          <w:rFonts w:ascii="Arial" w:cs="Arial" w:eastAsia="Arial" w:hAnsi="Arial"/>
          <w:sz w:val="17"/>
          <w:szCs w:val="17"/>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our relationship with the U.S. Department of Veterans Affairs’ Million Veteran Program;</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claims of infringement;</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of extensive government regulation;</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in future offerings;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belief that approval of personalized cancer therapies by the Food and Drug Administration may drive benefits to our business; and</w:t>
      </w:r>
    </w:p>
    <w:p>
      <w:pPr>
        <w:spacing w:after="0" w:line="196" w:lineRule="exact"/>
        <w:rPr>
          <w:rFonts w:ascii="Arial" w:cs="Arial" w:eastAsia="Arial" w:hAnsi="Arial"/>
          <w:sz w:val="17"/>
          <w:szCs w:val="17"/>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regarding the time during which we will be an emerging growth company under the JOBS Act.</w:t>
      </w:r>
    </w:p>
    <w:p>
      <w:pPr>
        <w:spacing w:after="0" w:line="225" w:lineRule="exact"/>
        <w:rPr>
          <w:sz w:val="20"/>
          <w:szCs w:val="20"/>
          <w:color w:val="auto"/>
        </w:rPr>
      </w:pPr>
    </w:p>
    <w:p>
      <w:pPr>
        <w:jc w:val="both"/>
        <w:ind w:firstLine="761"/>
        <w:spacing w:after="0" w:line="253" w:lineRule="auto"/>
        <w:rPr>
          <w:sz w:val="20"/>
          <w:szCs w:val="20"/>
          <w:color w:val="auto"/>
        </w:rPr>
      </w:pPr>
      <w:r>
        <w:rPr>
          <w:rFonts w:ascii="Arial" w:cs="Arial" w:eastAsia="Arial" w:hAnsi="Arial"/>
          <w:sz w:val="18"/>
          <w:szCs w:val="18"/>
          <w:color w:val="auto"/>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57" w:lineRule="exact"/>
        <w:rPr>
          <w:sz w:val="20"/>
          <w:szCs w:val="20"/>
          <w:color w:val="auto"/>
        </w:rPr>
      </w:pPr>
    </w:p>
    <w:p>
      <w:pPr>
        <w:jc w:val="both"/>
        <w:ind w:firstLine="761"/>
        <w:spacing w:after="0" w:line="302"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54"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88"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i w:val="1"/>
          <w:iCs w:val="1"/>
          <w:color w:val="auto"/>
        </w:rPr>
        <w:t>Unless the context otherwise requires, references in this Quarterly Report on Form 10-Q to the “company,” “Personalis,” “we,” “us” and “our” refer to Personalis, Inc.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71"/>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41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2018</w:t>
            </w: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87,013</w:t>
            </w:r>
          </w:p>
        </w:tc>
        <w:tc>
          <w:tcPr>
            <w:tcW w:w="4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19,744</w:t>
            </w: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40,263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4,445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4,457</w:t>
            </w: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Inventory and other deferred costs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4,604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3,432</w:t>
            </w: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3,973</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1,926</w:t>
            </w:r>
          </w:p>
        </w:tc>
      </w:tr>
      <w:tr>
        <w:trPr>
          <w:trHeight w:val="223"/>
        </w:trPr>
        <w:tc>
          <w:tcPr>
            <w:tcW w:w="7740" w:type="dxa"/>
            <w:vAlign w:val="bottom"/>
          </w:tcPr>
          <w:p>
            <w:pPr>
              <w:ind w:left="74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140,298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29,559</w:t>
            </w: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15,215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11,452</w:t>
            </w: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2,154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659</w:t>
            </w:r>
          </w:p>
        </w:tc>
      </w:tr>
      <w:tr>
        <w:trPr>
          <w:trHeight w:val="263"/>
        </w:trPr>
        <w:tc>
          <w:tcPr>
            <w:tcW w:w="77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159,691</w:t>
            </w:r>
          </w:p>
        </w:tc>
        <w:tc>
          <w:tcPr>
            <w:tcW w:w="1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41,670</w:t>
            </w: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7,764</w:t>
            </w:r>
          </w:p>
        </w:tc>
        <w:tc>
          <w:tcPr>
            <w:tcW w:w="4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6,565</w:t>
            </w: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Accrued and other current liabilities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5,899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3,392</w:t>
            </w: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Contract liabilities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33,726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42,897</w:t>
            </w:r>
          </w:p>
        </w:tc>
      </w:tr>
      <w:tr>
        <w:trPr>
          <w:trHeight w:val="230"/>
        </w:trPr>
        <w:tc>
          <w:tcPr>
            <w:tcW w:w="7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Short-term debt</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4,996</w:t>
            </w:r>
          </w:p>
        </w:tc>
      </w:tr>
      <w:tr>
        <w:trPr>
          <w:trHeight w:val="223"/>
        </w:trPr>
        <w:tc>
          <w:tcPr>
            <w:tcW w:w="7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47,389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57,850</w:t>
            </w: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683</w:t>
            </w: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910</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121</w:t>
            </w:r>
          </w:p>
        </w:tc>
      </w:tr>
      <w:tr>
        <w:trPr>
          <w:trHeight w:val="263"/>
        </w:trPr>
        <w:tc>
          <w:tcPr>
            <w:tcW w:w="77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48,299</w:t>
            </w:r>
          </w:p>
        </w:tc>
        <w:tc>
          <w:tcPr>
            <w:tcW w:w="1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58,654</w:t>
            </w: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89,404</w:t>
            </w: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15"/>
        </w:trPr>
        <w:tc>
          <w:tcPr>
            <w:tcW w:w="7740" w:type="dxa"/>
            <w:vAlign w:val="bottom"/>
          </w:tcPr>
          <w:p>
            <w:pPr>
              <w:ind w:left="500"/>
              <w:spacing w:after="0"/>
              <w:rPr>
                <w:sz w:val="20"/>
                <w:szCs w:val="20"/>
                <w:color w:val="auto"/>
              </w:rPr>
            </w:pPr>
            <w:r>
              <w:rPr>
                <w:rFonts w:ascii="Arial" w:cs="Arial" w:eastAsia="Arial" w:hAnsi="Arial"/>
                <w:sz w:val="18"/>
                <w:szCs w:val="18"/>
                <w:color w:val="auto"/>
                <w:w w:val="90"/>
              </w:rPr>
              <w:t>Common stock, $0.0001 par value — 200,000,000 shares authorized and 31,142,643 shares issued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740" w:type="dxa"/>
            <w:vAlign w:val="bottom"/>
          </w:tcPr>
          <w:p>
            <w:pPr>
              <w:ind w:left="500"/>
              <w:spacing w:after="0"/>
              <w:rPr>
                <w:sz w:val="20"/>
                <w:szCs w:val="20"/>
                <w:color w:val="auto"/>
              </w:rPr>
            </w:pPr>
            <w:r>
              <w:rPr>
                <w:rFonts w:ascii="Arial" w:cs="Arial" w:eastAsia="Arial" w:hAnsi="Arial"/>
                <w:sz w:val="18"/>
                <w:szCs w:val="18"/>
                <w:color w:val="auto"/>
                <w:w w:val="92"/>
              </w:rPr>
              <w:t>and outstanding as of September 30, 2019; 102,700,000 shares authorized and 3,085,307 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7740" w:type="dxa"/>
            <w:vAlign w:val="bottom"/>
          </w:tcPr>
          <w:p>
            <w:pPr>
              <w:ind w:left="500"/>
              <w:spacing w:after="0"/>
              <w:rPr>
                <w:sz w:val="20"/>
                <w:szCs w:val="20"/>
                <w:color w:val="auto"/>
              </w:rPr>
            </w:pPr>
            <w:r>
              <w:rPr>
                <w:rFonts w:ascii="Arial" w:cs="Arial" w:eastAsia="Arial" w:hAnsi="Arial"/>
                <w:sz w:val="18"/>
                <w:szCs w:val="18"/>
                <w:color w:val="auto"/>
              </w:rPr>
              <w:t>issued and outstanding as of December 31, 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1</w:t>
            </w:r>
          </w:p>
        </w:tc>
      </w:tr>
      <w:tr>
        <w:trPr>
          <w:trHeight w:val="230"/>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Additional paid-in-capital</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245,362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9,131</w:t>
            </w:r>
          </w:p>
        </w:tc>
      </w:tr>
      <w:tr>
        <w:trPr>
          <w:trHeight w:val="230"/>
        </w:trPr>
        <w:tc>
          <w:tcPr>
            <w:tcW w:w="7740" w:type="dxa"/>
            <w:vAlign w:val="bottom"/>
          </w:tcPr>
          <w:p>
            <w:pPr>
              <w:ind w:left="50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(133,944)</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(115,505)</w:t>
            </w:r>
          </w:p>
        </w:tc>
      </w:tr>
      <w:tr>
        <w:trPr>
          <w:trHeight w:val="223"/>
        </w:trPr>
        <w:tc>
          <w:tcPr>
            <w:tcW w:w="77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111,392</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(106,388)</w:t>
            </w:r>
          </w:p>
        </w:tc>
      </w:tr>
      <w:tr>
        <w:trPr>
          <w:trHeight w:val="223"/>
        </w:trPr>
        <w:tc>
          <w:tcPr>
            <w:tcW w:w="77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w w:val="99"/>
              </w:rPr>
              <w:t>Total liabilities, redeemable convertible preferred stock, and stockholders’ equity (deficit)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159,691</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41,670</w:t>
            </w: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6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17,153</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11,654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47,053</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24,617</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of revenues</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11,524</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7,173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31,538</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17,641</w:t>
            </w: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5,303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3,574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15,045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10,023</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6,056</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2,658</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15,692</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7,575</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22,883</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13,405</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62,275</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35,239</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(5,730)</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(15,222)</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(10,622)</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756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1,040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Loss on debt extinguishment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(4,658)</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(6,884)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(18,434)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(16,326)</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(6,885)</w:t>
            </w:r>
          </w:p>
        </w:tc>
        <w:tc>
          <w:tcPr>
            <w:tcW w:w="14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(18,439)</w:t>
            </w:r>
          </w:p>
        </w:tc>
        <w:tc>
          <w:tcPr>
            <w:tcW w:w="1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(16,331)</w:t>
            </w: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9"/>
              </w:rPr>
              <w:t>31,133,683</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2"/>
              </w:rPr>
              <w:t>3,065,256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13,613,444</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4"/>
              </w:rPr>
              <w:t>3,062,464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8"/>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8"/>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(6,885)</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(18,439)</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(16,331)</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Change in unrealized loss on available-for-sale debt securities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(18,453)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(16,334)</w:t>
            </w: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(DEFICIT)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Redeemable convertible preferred stock</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redeemable convertible preferred stock, beginning balances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75,995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89,404</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75,995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Conversion of redeemable convertible preferred stock to common stock</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(89,404)</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w w:val="96"/>
              </w:rPr>
              <w:t>Convertible Notes conversion on September 20, 2018 (see Note 6), net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issuance cost</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13,409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13,409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redeemable convertible preferred stock, ending balances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89,404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89,404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 (deficit)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Common stock and additional paid-in capital:</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Beginning balances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244,092</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7,523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9,132</w:t>
            </w:r>
          </w:p>
        </w:tc>
        <w:tc>
          <w:tcPr>
            <w:tcW w:w="50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w w:val="95"/>
              </w:rPr>
              <w:t>Equity component credited to additional paid-in capital upon Convertible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w w:val="96"/>
              </w:rPr>
              <w:t>Notes modification on May 31, 2018 and August 20, 2018 (see Note 6)</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4"/>
              </w:rPr>
              <w:t>Conversion of Series A, B and C redeemable convertible preferred stock</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 common stock</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89,404</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Proceeds from initial public offering, net of expenses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139,828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Conversion of redeemable convertible preferred stock warrants to</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common stock warrants</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2,086</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Proceeds from exercise of common stock warrant</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Issuance of common stock warrants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572</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678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1,402</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3,657</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Ending balances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245,365</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8,676</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245,365</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8,676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Beginning balances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Unrealized loss on available-for-sale debt securities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Ending balances</w:t>
            </w: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Beginning balances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(127,059)</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(108,309)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(115,505)</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(6,885)</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(18,439)</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Ending balances</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(133,944)</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(111,950)</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(133,944)</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 (deficit), ending balances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111,392</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(103,287)</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111,392</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gridSpan w:val="3"/>
          </w:tcPr>
          <w:p>
            <w:pPr>
              <w:jc w:val="right"/>
              <w:ind w:right="25"/>
              <w:spacing w:after="0"/>
              <w:rPr>
                <w:sz w:val="20"/>
                <w:szCs w:val="20"/>
                <w:color w:val="auto"/>
              </w:rPr>
            </w:pPr>
            <w:r>
              <w:rPr>
                <w:rFonts w:ascii="Arial" w:cs="Arial" w:eastAsia="Arial" w:hAnsi="Arial"/>
                <w:sz w:val="14"/>
                <w:szCs w:val="14"/>
                <w:b w:val="1"/>
                <w:bCs w:val="1"/>
                <w:color w:val="auto"/>
              </w:rPr>
              <w:t>Nine Months Ended</w:t>
            </w:r>
          </w:p>
        </w:tc>
        <w:tc>
          <w:tcPr>
            <w:tcW w:w="1240" w:type="dxa"/>
            <w:vAlign w:val="bottom"/>
          </w:tcPr>
          <w:p>
            <w:pPr>
              <w:spacing w:after="0"/>
              <w:rPr>
                <w:sz w:val="14"/>
                <w:szCs w:val="14"/>
                <w:color w:val="auto"/>
              </w:rPr>
            </w:pPr>
          </w:p>
        </w:tc>
      </w:tr>
      <w:tr>
        <w:trPr>
          <w:trHeight w:val="171"/>
        </w:trPr>
        <w:tc>
          <w:tcPr>
            <w:tcW w:w="78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Borders>
              <w:bottom w:val="single" w:sz="8" w:color="auto"/>
            </w:tcBorders>
          </w:tcPr>
          <w:p>
            <w:pPr>
              <w:spacing w:after="0"/>
              <w:rPr>
                <w:sz w:val="14"/>
                <w:szCs w:val="14"/>
                <w:color w:val="auto"/>
              </w:rPr>
            </w:pPr>
          </w:p>
        </w:tc>
      </w:tr>
      <w:tr>
        <w:trPr>
          <w:trHeight w:val="156"/>
        </w:trPr>
        <w:tc>
          <w:tcPr>
            <w:tcW w:w="78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751"/>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7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(18,439)</w:t>
            </w:r>
          </w:p>
        </w:tc>
        <w:tc>
          <w:tcPr>
            <w:tcW w:w="180" w:type="dxa"/>
            <w:vAlign w:val="bottom"/>
          </w:tcPr>
          <w:p>
            <w:pPr>
              <w:spacing w:after="0"/>
              <w:rPr>
                <w:sz w:val="19"/>
                <w:szCs w:val="19"/>
                <w:color w:val="auto"/>
              </w:rPr>
            </w:pP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(16,331)</w:t>
            </w:r>
          </w:p>
        </w:tc>
      </w:tr>
      <w:tr>
        <w:trPr>
          <w:trHeight w:val="230"/>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30"/>
        </w:trPr>
        <w:tc>
          <w:tcPr>
            <w:tcW w:w="78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3,382</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2,050</w:t>
            </w:r>
          </w:p>
        </w:tc>
      </w:tr>
      <w:tr>
        <w:trPr>
          <w:trHeight w:val="230"/>
        </w:trPr>
        <w:tc>
          <w:tcPr>
            <w:tcW w:w="7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lease expense</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3,657</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924</w:t>
            </w:r>
          </w:p>
        </w:tc>
      </w:tr>
      <w:tr>
        <w:trPr>
          <w:trHeight w:val="230"/>
        </w:trPr>
        <w:tc>
          <w:tcPr>
            <w:tcW w:w="7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debt extinguishment</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1,704</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4,658</w:t>
            </w:r>
          </w:p>
        </w:tc>
      </w:tr>
      <w:tr>
        <w:trPr>
          <w:trHeight w:val="230"/>
        </w:trPr>
        <w:tc>
          <w:tcPr>
            <w:tcW w:w="7800" w:type="dxa"/>
            <w:vAlign w:val="bottom"/>
          </w:tcPr>
          <w:p>
            <w:pPr>
              <w:ind w:left="26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90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1,403</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166</w:t>
            </w:r>
          </w:p>
        </w:tc>
      </w:tr>
      <w:tr>
        <w:trPr>
          <w:trHeight w:val="230"/>
        </w:trPr>
        <w:tc>
          <w:tcPr>
            <w:tcW w:w="7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compound derivative instrument</w:t>
            </w:r>
          </w:p>
        </w:tc>
        <w:tc>
          <w:tcPr>
            <w:tcW w:w="9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7800" w:type="dxa"/>
            <w:vAlign w:val="bottom"/>
          </w:tcPr>
          <w:p>
            <w:pPr>
              <w:ind w:left="260"/>
              <w:spacing w:after="0"/>
              <w:rPr>
                <w:sz w:val="20"/>
                <w:szCs w:val="20"/>
                <w:color w:val="auto"/>
              </w:rPr>
            </w:pPr>
            <w:r>
              <w:rPr>
                <w:rFonts w:ascii="Arial" w:cs="Arial" w:eastAsia="Arial" w:hAnsi="Arial"/>
                <w:sz w:val="18"/>
                <w:szCs w:val="18"/>
                <w:color w:val="auto"/>
              </w:rPr>
              <w:t>Accretion of noncash interest and debt reduction</w:t>
            </w:r>
          </w:p>
        </w:tc>
        <w:tc>
          <w:tcPr>
            <w:tcW w:w="90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1,137</w:t>
            </w:r>
          </w:p>
        </w:tc>
      </w:tr>
      <w:tr>
        <w:trPr>
          <w:trHeight w:val="230"/>
        </w:trPr>
        <w:tc>
          <w:tcPr>
            <w:tcW w:w="7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80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8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w:t>
            </w:r>
          </w:p>
        </w:tc>
      </w:tr>
      <w:tr>
        <w:trPr>
          <w:trHeight w:val="230"/>
        </w:trPr>
        <w:tc>
          <w:tcPr>
            <w:tcW w:w="7800" w:type="dxa"/>
            <w:vAlign w:val="bottom"/>
          </w:tcPr>
          <w:p>
            <w:pPr>
              <w:ind w:left="740"/>
              <w:spacing w:after="0"/>
              <w:rPr>
                <w:sz w:val="20"/>
                <w:szCs w:val="20"/>
                <w:color w:val="auto"/>
              </w:rPr>
            </w:pPr>
            <w:r>
              <w:rPr>
                <w:rFonts w:ascii="Arial" w:cs="Arial" w:eastAsia="Arial" w:hAnsi="Arial"/>
                <w:sz w:val="18"/>
                <w:szCs w:val="18"/>
                <w:color w:val="auto"/>
              </w:rPr>
              <w:t>Inventories and other deferred costs</w:t>
            </w:r>
          </w:p>
        </w:tc>
        <w:tc>
          <w:tcPr>
            <w:tcW w:w="9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(1,173)</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(1,878)</w:t>
            </w:r>
          </w:p>
        </w:tc>
      </w:tr>
      <w:tr>
        <w:trPr>
          <w:trHeight w:val="230"/>
        </w:trPr>
        <w:tc>
          <w:tcPr>
            <w:tcW w:w="78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assets</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(3,410)</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r>
      <w:tr>
        <w:trPr>
          <w:trHeight w:val="230"/>
        </w:trPr>
        <w:tc>
          <w:tcPr>
            <w:tcW w:w="780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773</w:t>
            </w:r>
          </w:p>
        </w:tc>
      </w:tr>
      <w:tr>
        <w:trPr>
          <w:trHeight w:val="230"/>
        </w:trPr>
        <w:tc>
          <w:tcPr>
            <w:tcW w:w="78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and other current liabilities</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1,076</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542</w:t>
            </w:r>
          </w:p>
        </w:tc>
      </w:tr>
      <w:tr>
        <w:trPr>
          <w:trHeight w:val="230"/>
        </w:trPr>
        <w:tc>
          <w:tcPr>
            <w:tcW w:w="7800" w:type="dxa"/>
            <w:vAlign w:val="bottom"/>
          </w:tcPr>
          <w:p>
            <w:pPr>
              <w:ind w:left="740"/>
              <w:spacing w:after="0"/>
              <w:rPr>
                <w:sz w:val="20"/>
                <w:szCs w:val="20"/>
                <w:color w:val="auto"/>
              </w:rPr>
            </w:pPr>
            <w:r>
              <w:rPr>
                <w:rFonts w:ascii="Arial" w:cs="Arial" w:eastAsia="Arial" w:hAnsi="Arial"/>
                <w:sz w:val="18"/>
                <w:szCs w:val="18"/>
                <w:color w:val="auto"/>
              </w:rPr>
              <w:t>Contract liabilities</w:t>
            </w:r>
          </w:p>
        </w:tc>
        <w:tc>
          <w:tcPr>
            <w:tcW w:w="9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(9,170)</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12,955</w:t>
            </w:r>
          </w:p>
        </w:tc>
      </w:tr>
      <w:tr>
        <w:trPr>
          <w:trHeight w:val="230"/>
        </w:trPr>
        <w:tc>
          <w:tcPr>
            <w:tcW w:w="78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long-term liabilities</w:t>
            </w:r>
          </w:p>
        </w:tc>
        <w:tc>
          <w:tcPr>
            <w:tcW w:w="9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7800" w:type="dxa"/>
            <w:vAlign w:val="bottom"/>
            <w:tcBorders>
              <w:bottom w:val="single" w:sz="8" w:color="CFF0FC"/>
            </w:tcBorders>
          </w:tcPr>
          <w:p>
            <w:pPr>
              <w:ind w:left="1480"/>
              <w:spacing w:after="0"/>
              <w:rPr>
                <w:sz w:val="20"/>
                <w:szCs w:val="20"/>
                <w:color w:val="auto"/>
              </w:rPr>
            </w:pPr>
            <w:r>
              <w:rPr>
                <w:rFonts w:ascii="Arial" w:cs="Arial" w:eastAsia="Arial" w:hAnsi="Arial"/>
                <w:sz w:val="18"/>
                <w:szCs w:val="18"/>
                <w:color w:val="auto"/>
              </w:rPr>
              <w:t>Net cash (used in) provided by operating activities</w:t>
            </w:r>
          </w:p>
        </w:tc>
        <w:tc>
          <w:tcPr>
            <w:tcW w:w="9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(20,474)</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2,369</w:t>
            </w:r>
          </w:p>
        </w:tc>
      </w:tr>
      <w:tr>
        <w:trPr>
          <w:trHeight w:val="223"/>
        </w:trPr>
        <w:tc>
          <w:tcPr>
            <w:tcW w:w="7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Purchase of available-for-sale debt securities</w:t>
            </w:r>
          </w:p>
        </w:tc>
        <w:tc>
          <w:tcPr>
            <w:tcW w:w="9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(40,262)</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9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(6,469)</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(7,181)</w:t>
            </w:r>
          </w:p>
        </w:tc>
      </w:tr>
      <w:tr>
        <w:trPr>
          <w:trHeight w:val="223"/>
        </w:trPr>
        <w:tc>
          <w:tcPr>
            <w:tcW w:w="7800" w:type="dxa"/>
            <w:vAlign w:val="bottom"/>
            <w:tcBorders>
              <w:bottom w:val="single" w:sz="8" w:color="CFF0FC"/>
            </w:tcBorders>
          </w:tcPr>
          <w:p>
            <w:pPr>
              <w:ind w:left="148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(46,731)</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(7,181)</w:t>
            </w:r>
          </w:p>
        </w:tc>
      </w:tr>
      <w:tr>
        <w:trPr>
          <w:trHeight w:val="223"/>
        </w:trPr>
        <w:tc>
          <w:tcPr>
            <w:tcW w:w="7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Proceeds from initial public offering, net of underwriting discounts and commissions</w:t>
            </w:r>
          </w:p>
        </w:tc>
        <w:tc>
          <w:tcPr>
            <w:tcW w:w="90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144,025</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Payment of costs related to initial public offering</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(3,950)</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Proceeds from borrowings</w:t>
            </w:r>
          </w:p>
        </w:tc>
        <w:tc>
          <w:tcPr>
            <w:tcW w:w="90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Payment of costs related to issuance of Series C redeemable convertible preferred stock</w:t>
            </w:r>
          </w:p>
        </w:tc>
        <w:tc>
          <w:tcPr>
            <w:tcW w:w="9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Payments of borrowing costs</w:t>
            </w:r>
          </w:p>
        </w:tc>
        <w:tc>
          <w:tcPr>
            <w:tcW w:w="9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Repayments under borrowing arrangements</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(25,000)</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Debt extinguishment costs</w:t>
            </w:r>
          </w:p>
        </w:tc>
        <w:tc>
          <w:tcPr>
            <w:tcW w:w="9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(794)</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common stock warrants</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exercise of stock options</w:t>
            </w:r>
          </w:p>
        </w:tc>
        <w:tc>
          <w:tcPr>
            <w:tcW w:w="9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678</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34</w:t>
            </w:r>
          </w:p>
        </w:tc>
      </w:tr>
      <w:tr>
        <w:trPr>
          <w:trHeight w:val="223"/>
        </w:trPr>
        <w:tc>
          <w:tcPr>
            <w:tcW w:w="780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Net cash provided by (used in) financing activities</w:t>
            </w:r>
          </w:p>
        </w:tc>
        <w:tc>
          <w:tcPr>
            <w:tcW w:w="9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89"/>
              </w:rPr>
              <w:t>134,477</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w:t>
            </w: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Effect of exchange rates on cash flows and cash equivalents</w:t>
            </w:r>
          </w:p>
        </w:tc>
        <w:tc>
          <w:tcPr>
            <w:tcW w:w="9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67,269</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(5,442)</w:t>
            </w:r>
          </w:p>
        </w:tc>
      </w:tr>
      <w:tr>
        <w:trPr>
          <w:trHeight w:val="230"/>
        </w:trPr>
        <w:tc>
          <w:tcPr>
            <w:tcW w:w="7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9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19,744</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22,617</w:t>
            </w:r>
          </w:p>
        </w:tc>
      </w:tr>
      <w:tr>
        <w:trPr>
          <w:trHeight w:val="223"/>
        </w:trPr>
        <w:tc>
          <w:tcPr>
            <w:tcW w:w="7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900" w:type="dxa"/>
            <w:vAlign w:val="bottom"/>
            <w:tcBorders>
              <w:bottom w:val="single" w:sz="8" w:color="auto"/>
            </w:tcBorders>
            <w:shd w:val="clear" w:color="auto" w:fill="CFF0FC"/>
          </w:tcPr>
          <w:p>
            <w:pPr>
              <w:jc w:val="right"/>
              <w:ind w:right="7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87,013</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17,175</w:t>
            </w:r>
          </w:p>
        </w:tc>
      </w:tr>
      <w:tr>
        <w:trPr>
          <w:trHeight w:val="20"/>
        </w:trPr>
        <w:tc>
          <w:tcPr>
            <w:tcW w:w="7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Company and Nature of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98"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Personalis, Inc. (the “Company”) was incorporated in Delaware on February 21, 2011, and began operations in September 2011. The Company formed a wholly owned subsidiary, Personalis (UK) Ltd., in August 2013. The Company is a growing cancer genomics company transforming the development of next-generation therapies by providing more comprehensive molecular data about each patient’s cancer and immune response. The Company operates and manages its business as one reportable operating segment, which is the sale of sequencing and data analysis services.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85"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Company has incurred net operating losses and negative cash flows from operations every year. As of September 30, 2019, the Company had an accumulated deficit of $133.9 million.</w:t>
      </w:r>
    </w:p>
    <w:p>
      <w:pPr>
        <w:spacing w:after="0" w:line="143"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In June 2019, the Company completed an initial public offering (“IPO”) of its common stock and raised proceeds of $139.8 million, after deducting underwriting discounts, commissions and offering expenses. Management believes that these proceeds combined with existing sources of liquidity will be sufficient to fund operations for at least one year from the issuance of these unaudited condensed consolidated financial statements. However, there can be no assurance that additional financing will not be required or that the Company will be successful in raising additional capital on terms that are acceptable to the Company.</w:t>
      </w:r>
    </w:p>
    <w:p>
      <w:pPr>
        <w:spacing w:after="0" w:line="148"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If the Company requires but is unable to obtain additional funding, the Company could be required to modify, delay, or abandon some of its planned future expansion or expenditures or reduce some of its ongoing operating costs, which could harm its business, operating results, financial condition, and ability to achieve its intended business objectives.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Amended and Restated Certificate of Incorporation</w:t>
      </w:r>
    </w:p>
    <w:p>
      <w:pPr>
        <w:spacing w:after="0" w:line="198"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An amended and restated certificate of incorporation, which authorized 200,000,000 shares of common stock and 10,000,000 shares of preferred stock became effective in June 2019 in connection with the closing of the Company’s IPO. As of September 30, 2019 no shares of preferred stock are outstanding.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(“U.S. GAAP”) and the applicable rules and regulations of the Securities and Exchange Commission (“SEC”) regarding interim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Company’s final prospectus filed with the SEC pursuant to Rule 424(b) under the Securities Act of 1933, as amended, on June 20, 2019 (the “Prospectus”).</w:t>
      </w:r>
    </w:p>
    <w:p>
      <w:pPr>
        <w:spacing w:after="0" w:line="138"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condensed consolidated balance sheet as of December 31, 2018 included herein was derived from the audited financial statements as of that date, but does not include all disclosures, including notes required by U.S. GAAP.</w:t>
      </w:r>
    </w:p>
    <w:p>
      <w:pPr>
        <w:spacing w:after="0" w:line="130"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The condensed consolidated financial statements include the accounts of Personalis, Inc. and its wholly owned subsidiary, Personalis (UK) Ltd. All intercompany balances and transactions have been eliminated.</w:t>
      </w:r>
    </w:p>
    <w:p>
      <w:pPr>
        <w:spacing w:after="0" w:line="143" w:lineRule="exact"/>
        <w:rPr>
          <w:sz w:val="20"/>
          <w:szCs w:val="20"/>
          <w:color w:val="auto"/>
        </w:rPr>
      </w:pPr>
    </w:p>
    <w:p>
      <w:pPr>
        <w:jc w:val="both"/>
        <w:ind w:firstLine="761"/>
        <w:spacing w:after="0" w:line="308" w:lineRule="auto"/>
        <w:rPr>
          <w:sz w:val="20"/>
          <w:szCs w:val="20"/>
          <w:color w:val="auto"/>
        </w:rPr>
      </w:pPr>
      <w:r>
        <w:rPr>
          <w:rFonts w:ascii="Arial" w:cs="Arial" w:eastAsia="Arial" w:hAnsi="Arial"/>
          <w:sz w:val="17"/>
          <w:szCs w:val="17"/>
          <w:color w:val="auto"/>
        </w:rPr>
        <w:t>The accompanying condensed consolidated financial statements reflect all normal recurring adjustments that are necessary to present fairly the results for the interim periods presented. Interim results are not necessarily indicative of the results for the full year ending December 31, 2019.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 during the reporting period. The estimates include, but are not limited to, useful lives assigned to long-lived assets, the valuation of common and convertible redeemable preferred stock and related warrants and options, the valuation of the compound derivative instrument, the valuation of stock-based awards, and provisions for income taxes and contingencies. Actual results could differ from these estimates, and such differences could be material to the Company’s condensed consolidated financial position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85"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6"/>
          <w:szCs w:val="16"/>
          <w:color w:val="auto"/>
        </w:rPr>
        <w:t>On June 4, 2019, the Company filed an amendment to the Company’s amended and restated certificate of incorporation to effect a reverse split of shares of the Company’s common stock and redeemable convertible preferred stock on a four-for-one basis (the “Reverse Stock Split”). The par value of the common stock and redeemable convertible preferred stock was not adjusted as a result of the Reverse Stock Split. All references to common stock, options to purchase common stock, share data, per share data, redeemable convertible preferred stock and related information contained in these consolidated financial statements have been retrospectively adjusted to reflect the effect of the Reverse Stock Split for all periods presented.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85" w:lineRule="exact"/>
        <w:rPr>
          <w:sz w:val="20"/>
          <w:szCs w:val="20"/>
          <w:color w:val="auto"/>
        </w:rPr>
      </w:pPr>
    </w:p>
    <w:p>
      <w:pPr>
        <w:jc w:val="both"/>
        <w:ind w:firstLine="761"/>
        <w:spacing w:after="0" w:line="302" w:lineRule="auto"/>
        <w:rPr>
          <w:sz w:val="20"/>
          <w:szCs w:val="20"/>
          <w:color w:val="auto"/>
        </w:rPr>
      </w:pPr>
      <w:r>
        <w:rPr>
          <w:rFonts w:ascii="Arial" w:cs="Arial" w:eastAsia="Arial" w:hAnsi="Arial"/>
          <w:sz w:val="16"/>
          <w:szCs w:val="16"/>
          <w:color w:val="auto"/>
        </w:rPr>
        <w:t>On June 20, 2019, the Company completed an IPO in which it issued and sold 9,109,725 shares of its common stock at a public offering price of $17.00 per share. The Company received net proceeds of $139.8 million after deducting underwriting discounts, commissions and offering expenses. Offering expenses were $4.2 million and consisted of fees and expenses incurred in connection with the sale of the Company’s common stock in the IPO, including legal, accounting, printing, and other IPO-related costs. During the nine months ended September 30, 2019, $3.9 million of the offering expenses were paid.</w:t>
      </w:r>
    </w:p>
    <w:p>
      <w:pPr>
        <w:spacing w:after="0" w:line="114"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A warrant to purchase 188,643 shares of our common stock was exercised prior to completion of the IPO. In addition, in connection with the IPO, all shares of the Company’s then-outstanding redeemable convertible preferred stock were automatically converted into 18,474,703 shares of the Company’s common stock, and all then-outstanding warrants to purchase the Company’s convertible preferred stock were automatically converted into warrants to purchase 84,585 shares of the Company’s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85"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 The Company has not experienced any losses on its deposits of cash and cash equivalents.</w:t>
      </w:r>
    </w:p>
    <w:p>
      <w:pPr>
        <w:spacing w:after="0" w:line="146" w:lineRule="exact"/>
        <w:rPr>
          <w:sz w:val="20"/>
          <w:szCs w:val="20"/>
          <w:color w:val="auto"/>
        </w:rPr>
      </w:pPr>
    </w:p>
    <w:p>
      <w:pPr>
        <w:jc w:val="both"/>
        <w:ind w:firstLine="761"/>
        <w:spacing w:after="0" w:line="219" w:lineRule="exact"/>
        <w:rPr>
          <w:sz w:val="20"/>
          <w:szCs w:val="20"/>
          <w:color w:val="auto"/>
        </w:rPr>
      </w:pPr>
      <w:r>
        <w:rPr>
          <w:rFonts w:ascii="Arial" w:cs="Arial" w:eastAsia="Arial" w:hAnsi="Arial"/>
          <w:sz w:val="18"/>
          <w:szCs w:val="18"/>
          <w:color w:val="auto"/>
        </w:rPr>
        <w:t>The Company also invests in investment</w:t>
      </w:r>
      <w:r>
        <w:rPr>
          <w:rFonts w:ascii="MS PGothic" w:cs="MS PGothic" w:eastAsia="MS PGothic" w:hAnsi="MS PGothic"/>
          <w:sz w:val="18"/>
          <w:szCs w:val="18"/>
          <w:color w:val="auto"/>
        </w:rPr>
        <w:t>‑</w:t>
      </w:r>
      <w:r>
        <w:rPr>
          <w:rFonts w:ascii="Arial" w:cs="Arial" w:eastAsia="Arial" w:hAnsi="Arial"/>
          <w:sz w:val="18"/>
          <w:szCs w:val="18"/>
          <w:color w:val="auto"/>
        </w:rPr>
        <w: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w:t>
      </w:r>
      <w:r>
        <w:rPr>
          <w:rFonts w:ascii="MS PGothic" w:cs="MS PGothic" w:eastAsia="MS PGothic" w:hAnsi="MS PGothic"/>
          <w:sz w:val="18"/>
          <w:szCs w:val="18"/>
          <w:color w:val="auto"/>
        </w:rPr>
        <w:t>‑</w:t>
      </w:r>
      <w:r>
        <w:rPr>
          <w:rFonts w:ascii="Arial" w:cs="Arial" w:eastAsia="Arial" w:hAnsi="Arial"/>
          <w:sz w:val="18"/>
          <w:szCs w:val="18"/>
          <w:color w:val="auto"/>
        </w:rPr>
        <w:t>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spacing w:after="0" w:line="176"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spacing w:after="0" w:line="130"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The Company routinely assesses the creditworthiness of its customers and does not require collateral. The Company has not experienced any material losses related to receivables from individual customers, or groups of customers. The Company maintains an allowance for doubtful accounts, which was $0.1 million and zero as of September 30, 2019 and December 31, 2018, respectively. During the three and nine months ended September 30, 2019, bad debt expense was $0.1 million. The Company had no bad debt expense in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both"/>
        <w:ind w:firstLine="761"/>
        <w:spacing w:after="0" w:line="264" w:lineRule="auto"/>
        <w:rPr>
          <w:sz w:val="20"/>
          <w:szCs w:val="20"/>
          <w:color w:val="auto"/>
        </w:rPr>
      </w:pPr>
      <w:r>
        <w:rPr>
          <w:rFonts w:ascii="Arial" w:cs="Arial" w:eastAsia="Arial" w:hAnsi="Arial"/>
          <w:sz w:val="18"/>
          <w:szCs w:val="18"/>
          <w:color w:val="auto"/>
        </w:rPr>
        <w:t>Significant customers are those that represent more than 10% of the Company’s total revenues or accounts receivable balance at each respective condensed consolidated balance sheet date. For each significant customer, revenue as a percentage of total revenues and accounts receivable as a percentage of total accounts receivable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218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3"/>
              </w:rPr>
              <w:t>Revenue (unaudited)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Revenue (unaudited)</w:t>
            </w:r>
          </w:p>
        </w:tc>
        <w:tc>
          <w:tcPr>
            <w:tcW w:w="2720" w:type="dxa"/>
            <w:vAlign w:val="bottom"/>
            <w:gridSpan w:val="3"/>
          </w:tcPr>
          <w:p>
            <w:pPr>
              <w:jc w:val="right"/>
              <w:ind w:right="735"/>
              <w:spacing w:after="0"/>
              <w:rPr>
                <w:sz w:val="20"/>
                <w:szCs w:val="20"/>
                <w:color w:val="auto"/>
              </w:rPr>
            </w:pPr>
            <w:r>
              <w:rPr>
                <w:rFonts w:ascii="Arial" w:cs="Arial" w:eastAsia="Arial" w:hAnsi="Arial"/>
                <w:sz w:val="14"/>
                <w:szCs w:val="14"/>
                <w:b w:val="1"/>
                <w:bCs w:val="1"/>
                <w:color w:val="auto"/>
              </w:rPr>
              <w:t>Accounts Receivable</w:t>
            </w:r>
          </w:p>
        </w:tc>
      </w:tr>
      <w:tr>
        <w:trPr>
          <w:trHeight w:val="133"/>
        </w:trPr>
        <w:tc>
          <w:tcPr>
            <w:tcW w:w="3120" w:type="dxa"/>
            <w:vAlign w:val="bottom"/>
          </w:tcPr>
          <w:p>
            <w:pPr>
              <w:spacing w:after="0"/>
              <w:rPr>
                <w:sz w:val="11"/>
                <w:szCs w:val="11"/>
                <w:color w:val="auto"/>
              </w:rPr>
            </w:pPr>
          </w:p>
        </w:tc>
        <w:tc>
          <w:tcPr>
            <w:tcW w:w="2180" w:type="dxa"/>
            <w:vAlign w:val="bottom"/>
            <w:tcBorders>
              <w:top w:val="single" w:sz="8" w:color="auto"/>
            </w:tcBorders>
            <w:gridSpan w:val="4"/>
          </w:tcPr>
          <w:p>
            <w:pPr>
              <w:jc w:val="center"/>
              <w:ind w:left="208"/>
              <w:spacing w:after="0" w:line="133" w:lineRule="exact"/>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tcBorders>
              <w:top w:val="single" w:sz="8" w:color="auto"/>
            </w:tcBorders>
            <w:gridSpan w:val="4"/>
          </w:tcPr>
          <w:p>
            <w:pPr>
              <w:jc w:val="center"/>
              <w:ind w:right="113"/>
              <w:spacing w:after="0" w:line="133" w:lineRule="exact"/>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300" w:type="dxa"/>
            <w:vAlign w:val="bottom"/>
            <w:tcBorders>
              <w:top w:val="single" w:sz="8" w:color="auto"/>
            </w:tcBorders>
          </w:tcPr>
          <w:p>
            <w:pPr>
              <w:jc w:val="right"/>
              <w:ind w:right="235"/>
              <w:spacing w:after="0" w:line="133"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3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3"/>
              </w:rPr>
              <w:t>September 30</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658"/>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r>
      <w:tr>
        <w:trPr>
          <w:trHeight w:val="156"/>
        </w:trPr>
        <w:tc>
          <w:tcPr>
            <w:tcW w:w="3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44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51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jc w:val="right"/>
              <w:ind w:right="49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300" w:type="dxa"/>
            <w:vAlign w:val="bottom"/>
          </w:tcPr>
          <w:p>
            <w:pPr>
              <w:jc w:val="center"/>
              <w:ind w:right="98"/>
              <w:spacing w:after="0" w:line="155"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23"/>
        </w:trPr>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 MVP</w:t>
            </w:r>
          </w:p>
        </w:tc>
        <w:tc>
          <w:tcPr>
            <w:tcW w:w="7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ind w:right="95"/>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Merck &amp; Co., Inc.</w:t>
            </w:r>
          </w:p>
        </w:tc>
        <w:tc>
          <w:tcPr>
            <w:tcW w:w="52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28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30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Pfizer Inc.</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52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E</w:t>
            </w:r>
          </w:p>
        </w:tc>
        <w:tc>
          <w:tcPr>
            <w:tcW w:w="52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r>
    </w:tbl>
    <w:p>
      <w:pPr>
        <w:spacing w:after="0" w:line="170"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Less than 10% of revenue or accounts receivable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The Company applies the revenue recognition guidance in accordance with Financial Accounting Standards Board (“FASB”) Accounting Standards Codification (“ASC”) Topic 606, Revenue from Contracts with Customers (“Topic 606”).</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Revenue Recognition</w:t>
      </w:r>
    </w:p>
    <w:p>
      <w:pPr>
        <w:spacing w:after="0" w:line="198"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18"/>
          <w:szCs w:val="18"/>
          <w:color w:val="auto"/>
        </w:rPr>
        <w:t>The revenue guidance provides a five-step framework through which revenue is recognized when control of promised goods or services is transferred to a customer at an amount that reflects the consideration to which the entity expects to be entitled in exchange for those goods or services. To determine revenue recognition for arrangements that the Company concludes are within the scope of the new revenue recognition standard, management performs the following five steps: (i) identifies the contract(s) with a customer; (ii) identifies the performance obligations in the contract(s); (iii) determines the transaction price, including whether there are any constraints on variable consideration; (iv) allocates the transaction price to the performance obligations; and (v) recognizes revenue when (or as) the Company satisfies a performance obligation. At contract inception, once a contract is determined to be within the scope of the new revenue standard, the Company assesses whether individual goods or services promised within each contract are distinct and, therefore, represent separate performance obligation.</w:t>
      </w:r>
    </w:p>
    <w:p>
      <w:pPr>
        <w:spacing w:after="0" w:line="152"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The Company derives revenues from sequencing and data analysis services to support the development of personalized cancer vaccines and other next-generation cancer immunotherapies. The Company’s contracts are in the form of a combination of signed agreements, statements of work, and/or purchase orders. Under ASC Topic 606, the Company accounts for a contract with a customer when there is approval and commitment from both parties, the rights of the parties are identified, payment terms are identified, the contract has commercial substance, and it is probable that the Company will collect substantially all of the consideration to which it will be entitled.</w:t>
      </w:r>
    </w:p>
    <w:p>
      <w:pPr>
        <w:spacing w:after="0" w:line="148"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The sequencing and data analysis services are the only distinct services that meet the definition of a performance obligation and are accounted for as one performance obligation under ASC Topic 606. The Company recognizes revenue from such services at the point in time when control of the test results is transferred to the customer. The Company has elected to exclude all sales and value added taxes from the measurement of the transaction price. Sequencing and data analysis services are based on a fixed price per test.</w:t>
      </w:r>
    </w:p>
    <w:p>
      <w:pPr>
        <w:spacing w:after="0" w:line="160"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Payment terms and conditions vary by contract and customer. The Company’s standard payment terms are less than 90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 After assessing each of its revenue-generating arrangements to determine whether a significant financing component exists, the Company concluded that a significant financing component does not exist in any of its arrangements. The primary purpose of the Company’s invoicing terms is to provide customers with simplified and predictable ways of purchasing the Company’s services and to provide payment protection for the Company.</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Practical Expedients and Exemptions</w:t>
      </w:r>
    </w:p>
    <w:p>
      <w:pPr>
        <w:spacing w:after="0" w:line="185"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As a practical expedient, the Company recognizes the incremental costs of obtaining contracts, such as sales commissions, as an expense when incurred since the amortization period of the asset the Company otherwise would have recognized is one year or less. Sales commissions are recorded within selling, general, and administrative expenses in the consolidated statements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Costs of Revenues</w:t>
      </w:r>
    </w:p>
    <w:p>
      <w:pPr>
        <w:spacing w:after="0" w:line="198"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 Company’s costs of revenues primarily consist of production materials, personnel costs (e.g., salaries, bonuses, benefit, and stock-based compensation), cost of expensed equipment, consumables and laboratory supplies, information technology (“IT”) and facility costs, and depreciation and service maintenance contracts on capitalized equipment.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Cash equivalents consist of highly liquid investments with maturities at the time of purchase of three months or less. Cash equivalents include bank demand deposits and money market accounts that invest primarily in cash, U.S. Treasury bills, notes, and other obligations issued or guaranteed as to principal and interest by the U.S. Government, its agencies or instrumentalities, and repurchase agreements secured by such obligations or cash. Cash equivalents also include commercial paper, which are marketable debt securities recorded at fair value and accounted for in the same manner as other marketable debt securities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The Company’s investments in marketable debt securities are classified as available-for-sale and recorded at fair value.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 Short-term investments primarily consist of U.S. agency bonds, commercial paper, corporate bonds, and U.S. treasuries.</w:t>
      </w:r>
    </w:p>
    <w:p>
      <w:pPr>
        <w:spacing w:after="0" w:line="188"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Unrealized gains and losses are included in accumulated other comprehensive loss in stockholders’ equity (deficit). Any discount or premium arising at purchase is accreted or amortized to interest income or expense. Realized gains and losses and declines in fair value, if any, judged to be other than temporary are reported in other (expense) income, net. When securities are sold, any associated unrealized gain or loss initially recorded as a separate component of stockholders’ equity (deficit) is reclassified out of stockholders’ equity (deficit) on a specific-identification basis and recorded in earnings for the period.</w:t>
      </w:r>
    </w:p>
    <w:p>
      <w:pPr>
        <w:spacing w:after="0" w:line="188"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marketable security until a forecasted recovery occurs.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management’s strategy and intentions for holding the marketable security. To date, the Company has not recorded any impairment charges on its marketable securities related to other-than-temporary declines in market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Financial assets and liabilities are recorded at fair value. Fair value is defined as the price that would be received to sell an asset or paid to transfer a liability (an exit price) in an orderly transaction between market participants at the reporting date. The hierarchy below lists three levels of fair value based on the extent to which inputs used in measuring fair value are observable in the market. Observable inputs reflect market data obtained from independent sources while unobservable inputs reflect market assumptions made by the reporting entity.</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three-level hierarchy for the inputs to valuation techniques used to measure fair value is briefly summarized as follows:</w:t>
      </w:r>
    </w:p>
    <w:p>
      <w:pPr>
        <w:spacing w:after="0" w:line="198"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Level 1 — Unadjusted quoted prices in active markets that are accessible to the reporting entity at the measurement date for identical assets and liabilities.</w:t>
      </w:r>
    </w:p>
    <w:p>
      <w:pPr>
        <w:spacing w:after="0" w:line="130"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130" w:lineRule="exact"/>
        <w:rPr>
          <w:sz w:val="20"/>
          <w:szCs w:val="20"/>
          <w:color w:val="auto"/>
        </w:rPr>
      </w:pPr>
    </w:p>
    <w:p>
      <w:pPr>
        <w:ind w:left="1140" w:hanging="376"/>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similar assets and liabilities in active markets.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184"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Observable inputs other than quoted prices that are used in the valuation of the asset or liabilities (e.g., interest rate and yield curve quotes at commonly quoted intervals).</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that are derived principally from or are corroborated by observable market data by correlation or other means.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ind w:left="760"/>
        <w:spacing w:after="0" w:line="308" w:lineRule="auto"/>
        <w:rPr>
          <w:sz w:val="20"/>
          <w:szCs w:val="20"/>
          <w:color w:val="auto"/>
        </w:rPr>
      </w:pPr>
      <w:r>
        <w:rPr>
          <w:rFonts w:ascii="Arial" w:cs="Arial" w:eastAsia="Arial" w:hAnsi="Arial"/>
          <w:sz w:val="17"/>
          <w:szCs w:val="17"/>
          <w:color w:val="auto"/>
        </w:rPr>
        <w:t>Level 3 — Unobservable inputs for the assets or liabilities (i.e., supported by little or no market activity). Level 3 inputs include management’s own assumptions about the assumptions that market participants would use in pricing the asset or liability (including assumptions about risk).</w:t>
      </w:r>
    </w:p>
    <w:p>
      <w:pPr>
        <w:spacing w:after="0" w:line="120"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This hierarchy requires the Company to use observable market data, when available, and to minimize the use of unobservable inputs when determining fair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and Other Deferred Costs</w:t>
      </w:r>
    </w:p>
    <w:p>
      <w:pPr>
        <w:spacing w:after="0" w:line="185"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Inventories, consisting of supplies used in the Company’s genomic analysis contracts, are valued at the lower of cost or net realizable value. Cost is determined using actual costs, on a first-in, first-out basis.</w:t>
      </w:r>
    </w:p>
    <w:p>
      <w:pPr>
        <w:spacing w:after="0" w:line="143"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Other deferred costs relate to work in process for costs incurred on genomic analysis contracts that have not been completed or recognized as revenues. Other deferred costs represent materials used in sequencing services, labor, and overhead allocations.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85"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6"/>
          <w:szCs w:val="16"/>
          <w:color w:val="auto"/>
        </w:rPr>
        <w:t>Basic net loss per common share is calculated by dividing the net loss attributable to common stockholders by the weighted-average number of shares of common stock outstanding during the period, without consideration of potentially dilutive securities. Diluted net loss per share is computed by dividing the net loss attributable to common stockholders by the weighted-average number of shares of common stock and potentially dilutive securities outstanding for the period. For purposes of the diluted net loss per share calculation, the redeemable convertible preferred stock, convertible preferred stock warrants, common stock warrants, common stock subject to repurchase, and stock options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The Company’s participating securities do not have a contractual obligation to share in the Company’s losses. As such, the net loss is attributed entirely to common stockholders. Because the Company has reported a net loss for the reporting periods presented, the diluted net loss per common share is the same as basic net loss per common share for those periods.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85"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In May 2014, the FASB issued Accounting Standard Update (“ASU”) No. 2014-09, Revenue from Contracts with Customers (Topic 606) (“ASU No. 2014-09”). Subsequently, the FASB also issued ASU No. 2015-14, Revenue from Contracts with Customers (Topic 606), which adjusted the effective date of ASU No. 2014-09; ASU No. 2016-08, Revenue from Contracts with Customers (Topic 606): Principal versus Agent Considerations (Reporting Revenue Gross versus Net), which amends the principal-versus-agent implementation guidance and illustrations in ASU No. 2014-09; ASU No. 2016-10, Revenue from Contracts with Customers (Topic 606): Identifying Performance Obligations and Licensing, which clarifies identifying performance obligation and licensing implementation guidance and illustrations in ASU No. 2014-09; and ASU No. 2016-12, Revenue from Contracts with Customers (Topic 606): Narrow-Scope Improvements and Practical Expedients, which addresses implementation issues and is intended to reduce the cost and complexity of applying the new revenue standard in ASU No. 2014-09 (collectively, the “Revenue ASUs”).</w:t>
      </w:r>
    </w:p>
    <w:p>
      <w:pPr>
        <w:spacing w:after="0" w:line="152"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18"/>
          <w:szCs w:val="18"/>
          <w:color w:val="auto"/>
        </w:rPr>
        <w:t>The Revenue ASUs provide an accounting standard for a single comprehensive model for use in accounting for revenues arising from contracts with customers and supersedes most current revenue recognition guidance. The accounting standard is effective for interim and annual periods beginning after December 15, 2017. The guidance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 The Company performed a detailed review of its revenue agreements and assessed the differences in accounting for such contracts under this guidance compared with previous revenue accounting standards. On January 1, 2017, the Company early adopted ASU No. 2014-09 using the full retrospective method. The adoption of this standard did not have a material impact on the Company’s consolidated financial statements. Results for all periods presented are under ASC Topic 606.</w:t>
      </w:r>
    </w:p>
    <w:p>
      <w:pPr>
        <w:spacing w:after="0" w:line="152"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color w:val="auto"/>
        </w:rPr>
        <w:t>In June 2018, the FASB issued ASU No. 2018-07, Improvements to Nonemployee Share-Based Payment Accounting (“ASU No. 2018-07”). ASU No. 2018-07 simplifies the accounting for share-based payments to nonemployees by aligning it with the accounting for share-based payments to employees, with certain exceptions. For all entities, the amendments are effective for annual periods beginning after December 15, 2019, and interim periods within annual periods beginning after December 15, 2020. Early adoption is permitted for any entity in any interim or annual period for which consolidated financial statements have not been issued or made available for issuance, but not before an entity adopts ASC Topic 606. The Company early adopted this guidance on January 1, 2017, which did not result in a material impact on its consolidated financial statements and related disclosures.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both"/>
        <w:ind w:firstLine="761"/>
        <w:spacing w:after="0" w:line="254" w:lineRule="auto"/>
        <w:rPr>
          <w:sz w:val="20"/>
          <w:szCs w:val="20"/>
          <w:color w:val="auto"/>
        </w:rPr>
      </w:pPr>
      <w:r>
        <w:rPr>
          <w:rFonts w:ascii="Arial" w:cs="Arial" w:eastAsia="Arial" w:hAnsi="Arial"/>
          <w:sz w:val="18"/>
          <w:szCs w:val="18"/>
          <w:color w:val="auto"/>
        </w:rPr>
        <w:t>In February 2016, the FASB issued ASU No. 2016-02, Leases (Topic 842) (“ASU No. 2016-02”). In July 2018, the FASB issued ASU No. 2018-10, Codification Improvements to Topic 842, Leases, which provides clarification to ASU 2016-02. These ASUs (collectively, the “new lease standard”) require an entity to recognize a lease liability and a right-of-use (“ROU”) asset on the balance sheet for leases with lease terms of more than twelve months. Lessor accounting is largely unchanged, while lessees will no longer be provided with a source of off-balance sheet financing. This guidance is effective for fiscal years beginning after December 15, 2018, including interim periods within those fiscal years. In July 2018, the FASB issued ASU No. 2018-11, Leases (Topic 842) —Targeted Improvements, which allows entities to elect a modified retrospective transition method where entities may continue to apply the existing lease guidance during the comparative periods and apply the new lease requirements through a cumulative effect adjustment in the period of adoptions rather than in the earliest period presented.</w:t>
      </w:r>
    </w:p>
    <w:p>
      <w:pPr>
        <w:spacing w:after="0" w:line="165"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6"/>
          <w:szCs w:val="16"/>
          <w:color w:val="auto"/>
        </w:rPr>
        <w:t>On January 1, 2019, the Company adopted ASU No. 2016-02, and its associated amendments using the modified retrospective transition method by applying the new standard to all leases existing at the date of initial application and not restating comparative periods. There was no cumulative-effect adjustment recorded to retained earnings upon adoption. Under the standard, a lessee is required to recognize a lease liability and ROU asset for all leases. The new guidance also modified the classification criteria and requires additional disclosures to enable users of financial statements to understand the amount, timing, and uncertainty of cash flows arising from leases. Consistent with current guidance, a lessee’s recognition, measurement, and presentation of expenses and cash flows arising from a lease continues to depend primarily on its classification. The Company elected the package of practical expedients permitted under the transition guidance, which allowed the Company to carryforward its historical lease classification, its assessment as to whether a contract was or contains a lease, and its initial direct costs for any leases that existed prior to January 1, 2019. The Company also elected the practical expedient not to separate lease and non-lease components. In addition, the Company elected the short-term lease exception as a practical expedient.</w:t>
      </w:r>
    </w:p>
    <w:p>
      <w:pPr>
        <w:spacing w:after="0" w:line="126"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At the date of adoption, the Company derecognized a deferred rent liability in the amount of $0.3 million, and recognized a ROU asset and respective lease liability in the amount of $1.7 million and $2.0 million, respectively. As of September 30, 2019, lease liabilities in the amount of $1.4 million and $0.9 million are included in “Accrued and other current liabilities” and “Other long-term liabilities,”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98"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which amends the impairment model by requiring entities to use a forward-looking approach based on expected losses to estimate credit losses on certain types of financial instruments, including trade receivables and available-for-sale debt securities. The guidance is effective for the Company beginning in the first quarter of 2020. The Company is currently evaluating the impact of the new guidance on its condensed consolidated financial statements and related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85"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The Company has irrevocably elected not to avail itself of this exemption from new or revised accounting standards, and therefore, the Company will be subject to the same new or revised accounting standards as other public companies that are not emerging growth companies.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the Company’s revenues disaggregated by customer type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2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56"/>
        </w:trPr>
        <w:tc>
          <w:tcPr>
            <w:tcW w:w="59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VA MVP</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12,912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6,520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29,791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12,472</w:t>
            </w: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customers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4,241</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5,134</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17,262</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12,145</w:t>
            </w: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17,153</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11,654</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47,053</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24,617</w:t>
            </w: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Revenues from countries outside of the United States, based on the billing addresses of customers, represented 1% and 2% of the Company’s revenues for the three months ended September 30, 2019 and 2018, respectively, and 1% and 3% for the nine months ended September 30, 2019 and 2018,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had no contract assets as of September 30, 2019 and December 31, 2018, respectively.</w:t>
      </w:r>
    </w:p>
    <w:p>
      <w:pPr>
        <w:spacing w:after="0" w:line="185"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The Company’s contract liabilities consist of customer deposits in excess of revenues recognized and are presented as current liabilities in the condensed consolidated balance sheets.</w:t>
      </w:r>
    </w:p>
    <w:p>
      <w:pPr>
        <w:spacing w:after="0" w:line="130" w:lineRule="exact"/>
        <w:rPr>
          <w:sz w:val="20"/>
          <w:szCs w:val="20"/>
          <w:color w:val="auto"/>
        </w:rPr>
      </w:pPr>
    </w:p>
    <w:p>
      <w:pPr>
        <w:jc w:val="both"/>
        <w:ind w:right="20" w:firstLine="761"/>
        <w:spacing w:after="0" w:line="279" w:lineRule="auto"/>
        <w:rPr>
          <w:sz w:val="20"/>
          <w:szCs w:val="20"/>
          <w:color w:val="auto"/>
        </w:rPr>
      </w:pPr>
      <w:r>
        <w:rPr>
          <w:rFonts w:ascii="Arial" w:cs="Arial" w:eastAsia="Arial" w:hAnsi="Arial"/>
          <w:sz w:val="17"/>
          <w:szCs w:val="17"/>
          <w:color w:val="auto"/>
        </w:rPr>
        <w:t>The balance of contract liabilities was $33.7 million and $42.9 million as of September 30, 2019 and December 31, 2018, respectively. Revenues recognized for the three months ended September 30, 2019 and 2018 that were included in the contract liability balance at the beginning of each reporting period were $10.7 million and $4.8 million, respectively. Revenues recognized for the nine months ended September 30, 2019 and 2018 that were included in the contract liability balance at the beginning of each reporting period were $25.2 million and $6.3 million, respectively.</w:t>
      </w:r>
    </w:p>
    <w:p>
      <w:pPr>
        <w:spacing w:after="0" w:line="144" w:lineRule="exact"/>
        <w:rPr>
          <w:sz w:val="20"/>
          <w:szCs w:val="20"/>
          <w:color w:val="auto"/>
        </w:rPr>
      </w:pPr>
    </w:p>
    <w:p>
      <w:pPr>
        <w:jc w:val="both"/>
        <w:ind w:right="40" w:firstLine="761"/>
        <w:spacing w:after="0" w:line="286" w:lineRule="auto"/>
        <w:rPr>
          <w:sz w:val="20"/>
          <w:szCs w:val="20"/>
          <w:color w:val="auto"/>
        </w:rPr>
      </w:pPr>
      <w:r>
        <w:rPr>
          <w:rFonts w:ascii="Arial" w:cs="Arial" w:eastAsia="Arial" w:hAnsi="Arial"/>
          <w:sz w:val="17"/>
          <w:szCs w:val="17"/>
          <w:color w:val="auto"/>
        </w:rPr>
        <w:t>Revenues allocated to remaining performance obligations represent contracted revenues that have not yet been recognized (“contracted not recognized revenues”), which include VA MVP contract liabilities and amounts that will be invoiced and recognized as revenues in future periods. Contracted not recognized revenues were $82.5 million as of September 30, 2019, which we expect to recognize as revenues over the next 18 months.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Details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Inventory and other deferred costs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77"/>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417"/>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8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2018</w:t>
            </w: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1,969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2,134</w:t>
            </w: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deferred costs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2,635</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1,298</w:t>
            </w:r>
          </w:p>
        </w:tc>
      </w:tr>
      <w:tr>
        <w:trPr>
          <w:trHeight w:val="223"/>
        </w:trPr>
        <w:tc>
          <w:tcPr>
            <w:tcW w:w="7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inventory and other deferred costs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4,604</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3,432</w:t>
            </w: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761"/>
        <w:spacing w:after="0" w:line="286" w:lineRule="auto"/>
        <w:rPr>
          <w:sz w:val="20"/>
          <w:szCs w:val="20"/>
          <w:color w:val="auto"/>
        </w:rPr>
      </w:pPr>
      <w:r>
        <w:rPr>
          <w:rFonts w:ascii="Arial" w:cs="Arial" w:eastAsia="Arial" w:hAnsi="Arial"/>
          <w:sz w:val="17"/>
          <w:szCs w:val="17"/>
          <w:i w:val="1"/>
          <w:iCs w:val="1"/>
          <w:color w:val="auto"/>
        </w:rPr>
        <w:t xml:space="preserve">Property and equipment. </w:t>
      </w:r>
      <w:r>
        <w:rPr>
          <w:rFonts w:ascii="Arial" w:cs="Arial" w:eastAsia="Arial" w:hAnsi="Arial"/>
          <w:sz w:val="17"/>
          <w:szCs w:val="17"/>
          <w:color w:val="auto"/>
        </w:rPr>
        <w:t>Depreciation and amortization expense for the three months ended September 30, 2019 and 2018 was $1.2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$0.9 million, respectively, and for the nine months ended September 30, 2019 and 2018 was $3.4 million and $2.1 million, respectively. Accumulated depreciation and amortization was $8.6 million and $5.2 million as of September 30, 2019 and December 31, 2018, respectively.</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74"/>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414"/>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tcBorders>
              <w:bottom w:val="single" w:sz="8" w:color="CFF0FC"/>
            </w:tcBorders>
          </w:tcPr>
          <w:p>
            <w:pPr>
              <w:spacing w:after="0"/>
              <w:rPr>
                <w:sz w:val="14"/>
                <w:szCs w:val="14"/>
                <w:color w:val="auto"/>
              </w:rPr>
            </w:pPr>
          </w:p>
        </w:tc>
        <w:tc>
          <w:tcPr>
            <w:tcW w:w="34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34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3,052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2,843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Operating lease right-of-use liabilities</w:t>
            </w:r>
          </w:p>
        </w:tc>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1,421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Accrued taxes</w:t>
            </w:r>
          </w:p>
        </w:tc>
        <w:tc>
          <w:tcPr>
            <w:tcW w:w="3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431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Accrued liabilities</w:t>
            </w:r>
          </w:p>
        </w:tc>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4"/>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3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Deferred rent</w:t>
            </w:r>
          </w:p>
        </w:tc>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4"/>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3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643</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60"/>
              <w:spacing w:after="0"/>
              <w:rPr>
                <w:sz w:val="20"/>
                <w:szCs w:val="20"/>
                <w:color w:val="auto"/>
              </w:rPr>
            </w:pPr>
            <w:r>
              <w:rPr>
                <w:rFonts w:ascii="Arial" w:cs="Arial" w:eastAsia="Arial" w:hAnsi="Arial"/>
                <w:sz w:val="18"/>
                <w:szCs w:val="18"/>
                <w:color w:val="auto"/>
              </w:rPr>
              <w:t>Total accrued and other current liabilities</w:t>
            </w:r>
          </w:p>
        </w:tc>
        <w:tc>
          <w:tcPr>
            <w:tcW w:w="34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5,899</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3,392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440" w:type="dxa"/>
            <w:vAlign w:val="bottom"/>
            <w:vMerge w:val="restart"/>
          </w:tcPr>
          <w:p>
            <w:pPr>
              <w:jc w:val="right"/>
              <w:ind w:right="197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2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189"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following tables show the Company’s financial assets and liabilities measured at fair value on a recurring basis and the level of inputs used in such measurements as of September 30, 2019 and December 31, 2018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gridSpan w:val="7"/>
          </w:tcPr>
          <w:p>
            <w:pPr>
              <w:jc w:val="right"/>
              <w:spacing w:after="0"/>
              <w:rPr>
                <w:sz w:val="20"/>
                <w:szCs w:val="20"/>
                <w:color w:val="auto"/>
              </w:rPr>
            </w:pPr>
            <w:r>
              <w:rPr>
                <w:rFonts w:ascii="Arial" w:cs="Arial" w:eastAsia="Arial" w:hAnsi="Arial"/>
                <w:sz w:val="14"/>
                <w:szCs w:val="14"/>
                <w:b w:val="1"/>
                <w:bCs w:val="1"/>
                <w:color w:val="auto"/>
                <w:w w:val="91"/>
              </w:rPr>
              <w:t>As of September 30, 2019</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Adjusted Cost</w:t>
            </w:r>
          </w:p>
        </w:tc>
        <w:tc>
          <w:tcPr>
            <w:tcW w:w="120" w:type="dxa"/>
            <w:vAlign w:val="bottom"/>
          </w:tcPr>
          <w:p>
            <w:pPr>
              <w:spacing w:after="0"/>
              <w:rPr>
                <w:sz w:val="11"/>
                <w:szCs w:val="11"/>
                <w:color w:val="auto"/>
              </w:rPr>
            </w:pPr>
          </w:p>
        </w:tc>
        <w:tc>
          <w:tcPr>
            <w:tcW w:w="90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 Level</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1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45,013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45,013</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1</w:t>
            </w: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39,762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39,758</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7,164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7,163</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securities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1</w:t>
            </w: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4,804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9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26,291</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26,283</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23"/>
        </w:trPr>
        <w:tc>
          <w:tcPr>
            <w:tcW w:w="4380" w:type="dxa"/>
            <w:vAlign w:val="bottom"/>
          </w:tcPr>
          <w:p>
            <w:pPr>
              <w:ind w:left="500"/>
              <w:spacing w:after="0"/>
              <w:rPr>
                <w:sz w:val="20"/>
                <w:szCs w:val="20"/>
                <w:color w:val="auto"/>
              </w:rPr>
            </w:pPr>
            <w:r>
              <w:rPr>
                <w:rFonts w:ascii="Arial" w:cs="Arial" w:eastAsia="Arial" w:hAnsi="Arial"/>
                <w:sz w:val="18"/>
                <w:szCs w:val="18"/>
                <w:color w:val="auto"/>
              </w:rPr>
              <w:t>Total assets measured at fair value</w:t>
            </w: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125,046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125,034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4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gridSpan w:val="7"/>
          </w:tcPr>
          <w:p>
            <w:pPr>
              <w:jc w:val="right"/>
              <w:ind w:right="10"/>
              <w:spacing w:after="0"/>
              <w:rPr>
                <w:sz w:val="20"/>
                <w:szCs w:val="20"/>
                <w:color w:val="auto"/>
              </w:rPr>
            </w:pPr>
            <w:r>
              <w:rPr>
                <w:rFonts w:ascii="Arial" w:cs="Arial" w:eastAsia="Arial" w:hAnsi="Arial"/>
                <w:sz w:val="14"/>
                <w:szCs w:val="14"/>
                <w:b w:val="1"/>
                <w:bCs w:val="1"/>
                <w:color w:val="auto"/>
                <w:w w:val="93"/>
              </w:rPr>
              <w:t>As of December 31, 2018</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Adjusted Cost</w:t>
            </w:r>
          </w:p>
        </w:tc>
        <w:tc>
          <w:tcPr>
            <w:tcW w:w="120" w:type="dxa"/>
            <w:vAlign w:val="bottom"/>
          </w:tcPr>
          <w:p>
            <w:pPr>
              <w:spacing w:after="0"/>
              <w:rPr>
                <w:sz w:val="11"/>
                <w:szCs w:val="11"/>
                <w:color w:val="auto"/>
              </w:rPr>
            </w:pPr>
          </w:p>
        </w:tc>
        <w:tc>
          <w:tcPr>
            <w:tcW w:w="90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 Level</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1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18,142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18,142</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1</w:t>
            </w:r>
          </w:p>
        </w:tc>
        <w:tc>
          <w:tcPr>
            <w:tcW w:w="0" w:type="dxa"/>
            <w:vAlign w:val="bottom"/>
          </w:tcPr>
          <w:p>
            <w:pPr>
              <w:spacing w:after="0"/>
              <w:rPr>
                <w:sz w:val="1"/>
                <w:szCs w:val="1"/>
                <w:color w:val="auto"/>
              </w:rPr>
            </w:pPr>
          </w:p>
        </w:tc>
      </w:tr>
      <w:tr>
        <w:trPr>
          <w:trHeight w:val="263"/>
        </w:trPr>
        <w:tc>
          <w:tcPr>
            <w:tcW w:w="43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 measured at fair value</w:t>
            </w:r>
          </w:p>
        </w:tc>
        <w:tc>
          <w:tcPr>
            <w:tcW w:w="9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18,142</w:t>
            </w:r>
          </w:p>
        </w:tc>
        <w:tc>
          <w:tcPr>
            <w:tcW w:w="1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18,142</w:t>
            </w:r>
          </w:p>
        </w:tc>
        <w:tc>
          <w:tcPr>
            <w:tcW w:w="100" w:type="dxa"/>
            <w:vAlign w:val="bottom"/>
            <w:tcBorders>
              <w:bottom w:val="single" w:sz="8" w:color="CFF0FC"/>
            </w:tcBorders>
          </w:tcPr>
          <w:p>
            <w:pPr>
              <w:spacing w:after="0"/>
              <w:rPr>
                <w:sz w:val="22"/>
                <w:szCs w:val="22"/>
                <w:color w:val="auto"/>
              </w:rPr>
            </w:pPr>
          </w:p>
        </w:tc>
        <w:tc>
          <w:tcPr>
            <w:tcW w:w="11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Long-term liabilities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Convertible preferred stock warrants liability</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3</w:t>
            </w:r>
          </w:p>
        </w:tc>
        <w:tc>
          <w:tcPr>
            <w:tcW w:w="0" w:type="dxa"/>
            <w:vAlign w:val="bottom"/>
          </w:tcPr>
          <w:p>
            <w:pPr>
              <w:spacing w:after="0"/>
              <w:rPr>
                <w:sz w:val="1"/>
                <w:szCs w:val="1"/>
                <w:color w:val="auto"/>
              </w:rPr>
            </w:pPr>
          </w:p>
        </w:tc>
      </w:tr>
      <w:tr>
        <w:trPr>
          <w:trHeight w:val="223"/>
        </w:trPr>
        <w:tc>
          <w:tcPr>
            <w:tcW w:w="4380" w:type="dxa"/>
            <w:vAlign w:val="bottom"/>
          </w:tcPr>
          <w:p>
            <w:pPr>
              <w:ind w:left="500"/>
              <w:spacing w:after="0"/>
              <w:rPr>
                <w:sz w:val="20"/>
                <w:szCs w:val="20"/>
                <w:color w:val="auto"/>
              </w:rPr>
            </w:pPr>
            <w:r>
              <w:rPr>
                <w:rFonts w:ascii="Arial" w:cs="Arial" w:eastAsia="Arial" w:hAnsi="Arial"/>
                <w:sz w:val="18"/>
                <w:szCs w:val="18"/>
                <w:color w:val="auto"/>
              </w:rPr>
              <w:t>Total liabilities measured at fair value</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There have been no realized gains or losses on sales of marketable securities for the periods presented. The Company began investing in marketable debt securities during the current quarter and, therefore, no security has been in an unrealized loss position for 12 months or greater. The Company determined that it did have the ability and intent to hold all marketable securities that have been in a continuous loss position until maturity or recovery. As of September 30, 2019, the Company does not consider any of its marketable debt securities to be other than temporarily impaired.</w:t>
      </w:r>
    </w:p>
    <w:p>
      <w:pPr>
        <w:spacing w:after="0" w:line="171"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The Company’s marketable debt securities at September 30, 2019 have maturities due in one year or less, except for debt securities with an aggregate cost basis and fair value of $3.9 million that have maturities ranging from 13 to 15 months.</w:t>
      </w:r>
    </w:p>
    <w:p>
      <w:pPr>
        <w:spacing w:after="0" w:line="170"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The Black-Scholes option-pricing model was used to estimate the fair value of the convertible preferred stock warrants at the date of issuance and at each subsequent consolidated balance sheet date. The fair value of the convertible preferred stock warrants was also estimated at the time of conversion to common stock warrants (see Note 10). Under this option-pricing model, convertible preferred stock warrants were valued by creating a series of call options with exercise prices based on the liquidation preferences and conversion terms of each equity class. The values of the redeemable convertible preferred stock and common stock are inferred by analyzing these options.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jc w:val="both"/>
        <w:ind w:right="20" w:firstLine="761"/>
        <w:spacing w:after="0" w:line="273" w:lineRule="auto"/>
        <w:rPr>
          <w:sz w:val="20"/>
          <w:szCs w:val="20"/>
          <w:color w:val="auto"/>
        </w:rPr>
      </w:pPr>
      <w:r>
        <w:rPr>
          <w:rFonts w:ascii="Arial" w:cs="Arial" w:eastAsia="Arial" w:hAnsi="Arial"/>
          <w:sz w:val="17"/>
          <w:szCs w:val="17"/>
          <w:color w:val="auto"/>
        </w:rPr>
        <w:t>The fair value of each convertible preferred stock warrant was estimated using the Black-Scholes option-pricing model with the assumptions described below. Upon conversion to common stock warrants in the second quarter of 2019 (see Note 10), no further fair value measurements were made. Therefore, there is no activity with respect to periods after the second quarter of 2019. For the periods indicated the Company has limited historical volatility information available, and the expected volatility was based on actual volatility for comparable public companies projected over the expected terms of the warrants. The Company did not apply a forfeiture rate to the warrants as there is not enough historical information available to estimate such a rate. The risk-free interest rate was based on the U.S. Treasury yield curve over the expected term of the warrants.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2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194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7420" w:type="dxa"/>
            <w:vAlign w:val="bottom"/>
          </w:tcPr>
          <w:p>
            <w:pPr>
              <w:spacing w:after="0"/>
              <w:rPr>
                <w:sz w:val="12"/>
                <w:szCs w:val="12"/>
                <w:color w:val="auto"/>
              </w:rPr>
            </w:pPr>
          </w:p>
        </w:tc>
        <w:tc>
          <w:tcPr>
            <w:tcW w:w="2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June 30,</w:t>
            </w:r>
          </w:p>
        </w:tc>
        <w:tc>
          <w:tcPr>
            <w:tcW w:w="1940" w:type="dxa"/>
            <w:vAlign w:val="bottom"/>
            <w:gridSpan w:val="2"/>
          </w:tcPr>
          <w:p>
            <w:pPr>
              <w:jc w:val="center"/>
              <w:ind w:right="5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7420" w:type="dxa"/>
            <w:vAlign w:val="bottom"/>
            <w:tcBorders>
              <w:bottom w:val="single" w:sz="8" w:color="CFF0FC"/>
            </w:tcBorders>
          </w:tcPr>
          <w:p>
            <w:pPr>
              <w:spacing w:after="0"/>
              <w:rPr>
                <w:sz w:val="14"/>
                <w:szCs w:val="14"/>
                <w:color w:val="auto"/>
              </w:rPr>
            </w:pPr>
          </w:p>
        </w:tc>
        <w:tc>
          <w:tcPr>
            <w:tcW w:w="190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CFF0FC"/>
            </w:tcBorders>
          </w:tcPr>
          <w:p>
            <w:pPr>
              <w:spacing w:after="0"/>
              <w:rPr>
                <w:sz w:val="14"/>
                <w:szCs w:val="14"/>
                <w:color w:val="auto"/>
              </w:rPr>
            </w:pPr>
          </w:p>
        </w:tc>
        <w:tc>
          <w:tcPr>
            <w:tcW w:w="1940" w:type="dxa"/>
            <w:vAlign w:val="bottom"/>
            <w:tcBorders>
              <w:bottom w:val="single" w:sz="8" w:color="auto"/>
            </w:tcBorders>
            <w:gridSpan w:val="2"/>
          </w:tcPr>
          <w:p>
            <w:pPr>
              <w:jc w:val="right"/>
              <w:ind w:right="790"/>
              <w:spacing w:after="0"/>
              <w:rPr>
                <w:sz w:val="20"/>
                <w:szCs w:val="20"/>
                <w:color w:val="auto"/>
              </w:rPr>
            </w:pPr>
            <w:r>
              <w:rPr>
                <w:rFonts w:ascii="Arial" w:cs="Arial" w:eastAsia="Arial" w:hAnsi="Arial"/>
                <w:sz w:val="14"/>
                <w:szCs w:val="14"/>
                <w:b w:val="1"/>
                <w:bCs w:val="1"/>
                <w:color w:val="auto"/>
              </w:rPr>
              <w:t>2018</w:t>
            </w:r>
          </w:p>
        </w:tc>
      </w:tr>
      <w:tr>
        <w:trPr>
          <w:trHeight w:val="223"/>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1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- 5.26</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- 7.00</w:t>
            </w: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Volatility</w:t>
            </w:r>
          </w:p>
        </w:tc>
        <w:tc>
          <w:tcPr>
            <w:tcW w:w="840" w:type="dxa"/>
            <w:vAlign w:val="bottom"/>
          </w:tcPr>
          <w:p>
            <w:pPr>
              <w:jc w:val="right"/>
              <w:spacing w:after="0"/>
              <w:rPr>
                <w:sz w:val="20"/>
                <w:szCs w:val="20"/>
                <w:color w:val="auto"/>
              </w:rPr>
            </w:pPr>
            <w:r>
              <w:rPr>
                <w:rFonts w:ascii="Arial" w:cs="Arial" w:eastAsia="Arial" w:hAnsi="Arial"/>
                <w:sz w:val="18"/>
                <w:szCs w:val="18"/>
                <w:color w:val="auto"/>
              </w:rPr>
              <w:t>57.20%</w:t>
            </w:r>
          </w:p>
        </w:tc>
        <w:tc>
          <w:tcPr>
            <w:tcW w:w="1060" w:type="dxa"/>
            <w:vAlign w:val="bottom"/>
          </w:tcPr>
          <w:p>
            <w:pPr>
              <w:ind w:left="20"/>
              <w:spacing w:after="0"/>
              <w:rPr>
                <w:sz w:val="20"/>
                <w:szCs w:val="20"/>
                <w:color w:val="auto"/>
              </w:rPr>
            </w:pPr>
            <w:r>
              <w:rPr>
                <w:rFonts w:ascii="Arial" w:cs="Arial" w:eastAsia="Arial" w:hAnsi="Arial"/>
                <w:sz w:val="18"/>
                <w:szCs w:val="18"/>
                <w:color w:val="auto"/>
              </w:rPr>
              <w:t>- 57.24%</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55.56%</w:t>
            </w:r>
          </w:p>
        </w:tc>
        <w:tc>
          <w:tcPr>
            <w:tcW w:w="1080" w:type="dxa"/>
            <w:vAlign w:val="bottom"/>
          </w:tcPr>
          <w:p>
            <w:pPr>
              <w:ind w:left="20"/>
              <w:spacing w:after="0"/>
              <w:rPr>
                <w:sz w:val="20"/>
                <w:szCs w:val="20"/>
                <w:color w:val="auto"/>
              </w:rPr>
            </w:pPr>
            <w:r>
              <w:rPr>
                <w:rFonts w:ascii="Arial" w:cs="Arial" w:eastAsia="Arial" w:hAnsi="Arial"/>
                <w:sz w:val="18"/>
                <w:szCs w:val="18"/>
                <w:color w:val="auto"/>
              </w:rPr>
              <w:t>- 56.42%</w:t>
            </w: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900" w:type="dxa"/>
            <w:vAlign w:val="bottom"/>
            <w:gridSpan w:val="2"/>
            <w:shd w:val="clear" w:color="auto" w:fill="CFF0FC"/>
          </w:tcPr>
          <w:p>
            <w:pPr>
              <w:jc w:val="center"/>
              <w:ind w:right="30"/>
              <w:spacing w:after="0"/>
              <w:rPr>
                <w:sz w:val="20"/>
                <w:szCs w:val="20"/>
                <w:color w:val="auto"/>
              </w:rPr>
            </w:pPr>
            <w:r>
              <w:rPr>
                <w:rFonts w:ascii="Arial" w:cs="Arial" w:eastAsia="Arial" w:hAnsi="Arial"/>
                <w:sz w:val="18"/>
                <w:szCs w:val="18"/>
                <w:color w:val="auto"/>
                <w:w w:val="90"/>
              </w:rPr>
              <w:t>1.75%</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- 3.01%</w:t>
            </w: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Dividend yield</w:t>
            </w:r>
          </w:p>
        </w:tc>
        <w:tc>
          <w:tcPr>
            <w:tcW w:w="1900" w:type="dxa"/>
            <w:vAlign w:val="bottom"/>
            <w:gridSpan w:val="2"/>
          </w:tcPr>
          <w:p>
            <w:pPr>
              <w:jc w:val="center"/>
              <w:ind w:right="10"/>
              <w:spacing w:after="0"/>
              <w:rPr>
                <w:sz w:val="20"/>
                <w:szCs w:val="20"/>
                <w:color w:val="auto"/>
              </w:rPr>
            </w:pPr>
            <w:r>
              <w:rPr>
                <w:rFonts w:ascii="Arial" w:cs="Arial" w:eastAsia="Arial" w:hAnsi="Arial"/>
                <w:sz w:val="18"/>
                <w:szCs w:val="18"/>
                <w:color w:val="auto"/>
                <w:w w:val="92"/>
              </w:rPr>
              <w:t>0%</w:t>
            </w:r>
          </w:p>
        </w:tc>
        <w:tc>
          <w:tcPr>
            <w:tcW w:w="160" w:type="dxa"/>
            <w:vAlign w:val="bottom"/>
          </w:tcPr>
          <w:p>
            <w:pPr>
              <w:spacing w:after="0"/>
              <w:rPr>
                <w:sz w:val="20"/>
                <w:szCs w:val="20"/>
                <w:color w:val="auto"/>
              </w:rPr>
            </w:pPr>
          </w:p>
        </w:tc>
        <w:tc>
          <w:tcPr>
            <w:tcW w:w="1940" w:type="dxa"/>
            <w:vAlign w:val="bottom"/>
            <w:gridSpan w:val="2"/>
          </w:tcPr>
          <w:p>
            <w:pPr>
              <w:jc w:val="right"/>
              <w:ind w:right="830"/>
              <w:spacing w:after="0"/>
              <w:rPr>
                <w:sz w:val="20"/>
                <w:szCs w:val="20"/>
                <w:color w:val="auto"/>
              </w:rPr>
            </w:pPr>
            <w:r>
              <w:rPr>
                <w:rFonts w:ascii="Arial" w:cs="Arial" w:eastAsia="Arial" w:hAnsi="Arial"/>
                <w:sz w:val="18"/>
                <w:szCs w:val="18"/>
                <w:color w:val="auto"/>
              </w:rPr>
              <w:t>0%</w:t>
            </w:r>
          </w:p>
        </w:tc>
      </w:tr>
    </w:tbl>
    <w:p>
      <w:pPr>
        <w:spacing w:after="0" w:line="201" w:lineRule="exact"/>
        <w:rPr>
          <w:sz w:val="20"/>
          <w:szCs w:val="20"/>
          <w:color w:val="auto"/>
        </w:rPr>
      </w:pPr>
    </w:p>
    <w:p>
      <w:pPr>
        <w:jc w:val="both"/>
        <w:ind w:right="20" w:firstLine="761"/>
        <w:spacing w:after="0" w:line="255" w:lineRule="auto"/>
        <w:rPr>
          <w:sz w:val="20"/>
          <w:szCs w:val="20"/>
          <w:color w:val="auto"/>
        </w:rPr>
      </w:pPr>
      <w:r>
        <w:rPr>
          <w:rFonts w:ascii="Arial" w:cs="Arial" w:eastAsia="Arial" w:hAnsi="Arial"/>
          <w:sz w:val="18"/>
          <w:szCs w:val="18"/>
          <w:color w:val="auto"/>
        </w:rPr>
        <w:t>The fair value of the compound derivative instrument was estimated at the date of inception in June 2017 and at each subsequent consolidated balance sheet date using a hybrid method that combines probability-weighted and with-or-without methods using unobservable inputs, which are classified as Level 3 within the fair value hierarchy. The primary inputs for this approach included the probability of achieving various settlement scenarios that provide the lenders the right or the obligation to receive cash or a variable number of shares upon the completion of a capital transaction. The probability assumptions related to estimating various settlement scenarios as of December 31, 2017 and 2018, and the inception date ranged between 0.2% and 70%, and a discount rate of 35.1% was applied to estimated future cash flows. After the initial measurement, changes in the fair value of this compound derivative were recorded in other income (expense), net.</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sets forth a summary of the changes in the fair value of the Company’s Level 3 financial instruments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434"/>
              <w:spacing w:after="0"/>
              <w:rPr>
                <w:sz w:val="20"/>
                <w:szCs w:val="20"/>
                <w:color w:val="auto"/>
              </w:rPr>
            </w:pPr>
            <w:r>
              <w:rPr>
                <w:rFonts w:ascii="Arial" w:cs="Arial" w:eastAsia="Arial" w:hAnsi="Arial"/>
                <w:sz w:val="14"/>
                <w:szCs w:val="14"/>
                <w:b w:val="1"/>
                <w:bCs w:val="1"/>
                <w:color w:val="auto"/>
              </w:rPr>
              <w:t>Warrant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Derivative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Derivative</w:t>
            </w:r>
          </w:p>
        </w:tc>
      </w:tr>
      <w:tr>
        <w:trPr>
          <w:trHeight w:val="171"/>
        </w:trPr>
        <w:tc>
          <w:tcPr>
            <w:tcW w:w="6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434"/>
              <w:spacing w:after="0"/>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Asset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434"/>
              <w:spacing w:after="0"/>
              <w:rPr>
                <w:sz w:val="20"/>
                <w:szCs w:val="20"/>
                <w:color w:val="auto"/>
              </w:rPr>
            </w:pPr>
            <w:r>
              <w:rPr>
                <w:rFonts w:ascii="Arial" w:cs="Arial" w:eastAsia="Arial" w:hAnsi="Arial"/>
                <w:sz w:val="14"/>
                <w:szCs w:val="14"/>
                <w:b w:val="1"/>
                <w:bCs w:val="1"/>
                <w:color w:val="auto"/>
              </w:rPr>
              <w:t>Liability</w:t>
            </w: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2017</w:t>
            </w:r>
          </w:p>
        </w:tc>
        <w:tc>
          <w:tcPr>
            <w:tcW w:w="5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292</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671</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Initial fair value of derivative asset</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391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r>
      <w:tr>
        <w:trPr>
          <w:trHeight w:val="230"/>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Elimination as a result of debt extinguishment</w:t>
            </w:r>
          </w:p>
        </w:tc>
        <w:tc>
          <w:tcPr>
            <w:tcW w:w="5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Balance — December 31, 2018</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683</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Change in fair value</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1,403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warrant liability to additional paid in capital on conversion</w:t>
            </w:r>
          </w:p>
        </w:tc>
        <w:tc>
          <w:tcPr>
            <w:tcW w:w="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(2,086)</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Balance — September 30, 2019</w:t>
            </w:r>
          </w:p>
        </w:tc>
        <w:tc>
          <w:tcPr>
            <w:tcW w:w="5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0"/>
        </w:trPr>
        <w:tc>
          <w:tcPr>
            <w:tcW w:w="6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Amounts outstanding under the Company’s financing arrangements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554"/>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80" w:type="dxa"/>
            <w:vAlign w:val="bottom"/>
            <w:tcBorders>
              <w:bottom w:val="single" w:sz="8" w:color="CFF0FC"/>
            </w:tcBorders>
          </w:tcPr>
          <w:p>
            <w:pPr>
              <w:spacing w:after="0"/>
              <w:rPr>
                <w:sz w:val="14"/>
                <w:szCs w:val="14"/>
                <w:color w:val="auto"/>
              </w:rPr>
            </w:pPr>
          </w:p>
        </w:tc>
        <w:tc>
          <w:tcPr>
            <w:tcW w:w="54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Credit agreement</w:t>
            </w:r>
          </w:p>
        </w:tc>
        <w:tc>
          <w:tcPr>
            <w:tcW w:w="5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60"/>
              <w:spacing w:after="0"/>
              <w:rPr>
                <w:sz w:val="20"/>
                <w:szCs w:val="20"/>
                <w:color w:val="auto"/>
              </w:rPr>
            </w:pPr>
            <w:r>
              <w:rPr>
                <w:rFonts w:ascii="Arial" w:cs="Arial" w:eastAsia="Arial" w:hAnsi="Arial"/>
                <w:sz w:val="18"/>
                <w:szCs w:val="18"/>
                <w:color w:val="auto"/>
              </w:rPr>
              <w:t>Revolving Loan</w:t>
            </w:r>
          </w:p>
        </w:tc>
        <w:tc>
          <w:tcPr>
            <w:tcW w:w="5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principal payments due</w:t>
            </w:r>
          </w:p>
        </w:tc>
        <w:tc>
          <w:tcPr>
            <w:tcW w:w="54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reduction in carrying value</w:t>
            </w:r>
          </w:p>
        </w:tc>
        <w:tc>
          <w:tcPr>
            <w:tcW w:w="54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Total amounts outstanding</w:t>
            </w:r>
          </w:p>
        </w:tc>
        <w:tc>
          <w:tcPr>
            <w:tcW w:w="5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portion</w:t>
            </w:r>
          </w:p>
        </w:tc>
        <w:tc>
          <w:tcPr>
            <w:tcW w:w="54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portion</w:t>
            </w:r>
          </w:p>
        </w:tc>
        <w:tc>
          <w:tcPr>
            <w:tcW w:w="54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5420" w:type="dxa"/>
            <w:vAlign w:val="bottom"/>
            <w:vMerge w:val="restart"/>
          </w:tcPr>
          <w:p>
            <w:pPr>
              <w:jc w:val="right"/>
              <w:ind w:right="3510"/>
              <w:spacing w:after="0"/>
              <w:rPr>
                <w:sz w:val="20"/>
                <w:szCs w:val="20"/>
                <w:color w:val="auto"/>
              </w:rPr>
            </w:pPr>
            <w:r>
              <w:rPr>
                <w:rFonts w:ascii="Arial" w:cs="Arial" w:eastAsia="Arial" w:hAnsi="Arial"/>
                <w:sz w:val="18"/>
                <w:szCs w:val="18"/>
                <w:color w:val="auto"/>
              </w:rPr>
              <w:t>17</w:t>
            </w: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8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Term Loan</w:t>
      </w:r>
    </w:p>
    <w:p>
      <w:pPr>
        <w:spacing w:after="0" w:line="185"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In September 2014, the Company entered into a loan and security agreement with Silicon Valley Bank to borrow up to $3.0 million under an equipment loan to be secured with the equipment financed (the “Term Loan”). On October 3, 2014, the Company borrowed $2.4 million under the Term Loan. The Term Loan required 12 interest-only payments, followed by 36 equal monthly installments of principal, plus interest, which began on October 3, 2015.</w:t>
      </w:r>
    </w:p>
    <w:p>
      <w:pPr>
        <w:spacing w:after="0" w:line="160" w:lineRule="exact"/>
        <w:rPr>
          <w:sz w:val="20"/>
          <w:szCs w:val="20"/>
          <w:color w:val="auto"/>
        </w:rPr>
      </w:pPr>
    </w:p>
    <w:p>
      <w:pPr>
        <w:jc w:val="both"/>
        <w:ind w:firstLine="761"/>
        <w:spacing w:after="0" w:line="308" w:lineRule="auto"/>
        <w:rPr>
          <w:sz w:val="20"/>
          <w:szCs w:val="20"/>
          <w:color w:val="auto"/>
        </w:rPr>
      </w:pPr>
      <w:r>
        <w:rPr>
          <w:rFonts w:ascii="Arial" w:cs="Arial" w:eastAsia="Arial" w:hAnsi="Arial"/>
          <w:sz w:val="17"/>
          <w:szCs w:val="17"/>
          <w:color w:val="auto"/>
        </w:rPr>
        <w:t>In connection with the Term Loan, the Company issued to the bank a warrant exercisable for ten years from the date of grant to purchase 22,489 shares of the Company’s Series B redeemable convertible preferred stock at an exercise price of $4.60 per share (see Note 10).</w:t>
      </w:r>
    </w:p>
    <w:p>
      <w:pPr>
        <w:spacing w:after="0" w:line="106"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color w:val="auto"/>
        </w:rPr>
        <w:t>The estimated fair value of the warrants upon draw down of $0.1 million was based on the Black-Scholes option-pricing model. The Company recorded the fair value of the warrant at issuance as a reduction in the debt-carrying value and as a warrant liability. The debt-carrying value reduction was accreted using the effective interest method as additional interest expense over the contractual period of four years for the Term Loan.</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September 30, 2018, the Term Loan was repaid in full.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Loan</w:t>
      </w:r>
    </w:p>
    <w:p>
      <w:pPr>
        <w:spacing w:after="0" w:line="18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In June 2017, the Company entered into a $10.0 million revolving loan and security agreement (the “Revolving Loan”) with TriplePoint Capital LLC (“TriplePoint”). Borrowings under the Revolving Loan bear an interest rate of prime, plus 6.75%. The Revolving Loan also has a 5.5% end of term loan payment on the highest outstanding principal amount. The Revolving Loan requires monthly interest-only payments until the maturity date. The Revolving Loan’s original maturity date was December 31, 2018, and in December 2018 the maturity date was further extended until March 22, 2019. Upon determining that the change in cash flows between the previous and current credit facility was not greater than 10%, the Company accounted for the transaction as a debt modification.</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As of December 31, 2018, the Company’s outstanding principal under the Revolving Loan was $5.0 million and $5.0 million was available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borrow.</w:t>
      </w:r>
    </w:p>
    <w:p>
      <w:pPr>
        <w:spacing w:after="0" w:line="184"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In connection with the Revolving Loan, the Company issued to TriplePoint a warrant to purchase up to 62,096 shares of the Company’s Series C redeemable convertible preferred stock at an exercise price of $8.052 per share (see Note 10).</w:t>
      </w:r>
    </w:p>
    <w:p>
      <w:pPr>
        <w:spacing w:after="0" w:line="130"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color w:val="auto"/>
        </w:rPr>
        <w:t>The estimated fair value of the warrant upon draw down of $0.1 million was based on the Black-Scholes option-pricing model. The Company recorded the fair value of the warrant at issuance as a reduction in the debt-carrying value and as a warrant liability. The debt-carrying value reduction was accreted using the effective interest method as additional interest expense over the contractual period of 1.5 years for the Revolving Loan.</w:t>
      </w:r>
    </w:p>
    <w:p>
      <w:pPr>
        <w:spacing w:after="0" w:line="125"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 Revolving Loan had an effective interest rate of 19.22% per year. The Revolving Loan interest expense for the three and nine months ended September 30, 2018 was $0.2 million and $0.7 million, respectively. Interest expense for the three and nine months ended September 30, 2019 was not significant.</w:t>
      </w:r>
    </w:p>
    <w:p>
      <w:pPr>
        <w:spacing w:after="0" w:line="154"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Company accrued $0.2 million as of December 31, 2018 related to accretion of final payment due at maturity per the agreement using the effective interest rate method.</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March 22, 2019, this Revolving Loan was repaid in full.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Capital Loan</w:t>
      </w:r>
    </w:p>
    <w:p>
      <w:pPr>
        <w:spacing w:after="0" w:line="198"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On March 22, 2019, the Company entered into a growth capital loan (the “Growth Capital Loan”) with TriplePoint to provide for a $20.0 million growth capital loan facility and as of June 30, 2019, had drawn down the full $20.0 million available under the facility. The Company used $5.3 million of the Growth Capital Loan to repay, in its entirety, all amounts outstanding under the Revolving Loan. Borrowings under the Growth Capital Loan bore interest at a floating rate of prime rate plus 5.00% for borrowings up to $15.0 million and the prime rate plus 6.50% for borrowing greater than $15.0 million. Under the agreement, the Company was required to make monthly interest-only payments through April 1, 2020 and was required to make 36 equal monthly payments of principal, plus accrued interest, from April 1, 2020 through March 1, 2023, when all unpaid principal and interest was to become due and payable. The agreement allowed voluntarily prepayment of all, but not part, of the outstanding principal at any time prior to the maturity date, subject to a prepayment fee of 1.00% of the outstanding balance if prepaid in months one through 12 of the loan term. In addition to the final payment, the Company paid an amount equal to 2.75% of each principal amount drawn under this growth capital loan facility.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jc w:val="both"/>
        <w:ind w:firstLine="761"/>
        <w:spacing w:after="0" w:line="286" w:lineRule="auto"/>
        <w:rPr>
          <w:sz w:val="20"/>
          <w:szCs w:val="20"/>
          <w:color w:val="auto"/>
        </w:rPr>
      </w:pPr>
      <w:r>
        <w:rPr>
          <w:rFonts w:ascii="Arial" w:cs="Arial" w:eastAsia="Arial" w:hAnsi="Arial"/>
          <w:sz w:val="17"/>
          <w:szCs w:val="17"/>
          <w:color w:val="auto"/>
        </w:rPr>
        <w:t>In connection with the Growth Capital Loan, the Company issued a warrant to purchase 65,502 shares of common stock to TriplePoint at an exercise price of $9.16 per share. The Company recorded the issuance-date fair value of the warrant of $0.6 million and fees paid to TriplePoint of $0.3 million as a debt discount, which was amortized over the term of the Growth Capital Loan using the effective interest rate method.</w:t>
      </w:r>
    </w:p>
    <w:p>
      <w:pPr>
        <w:spacing w:after="0" w:line="139"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Upon issuance, the Growth Capital Loan had an effective interest rate of 15.23% per year. Interest expense for the three and nine months ended September 30, 2019 was $0.3 million and $1.0 million, respectively.</w:t>
      </w:r>
    </w:p>
    <w:p>
      <w:pPr>
        <w:spacing w:after="0" w:line="130"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On August 14, 2019 the Company paid off the Growth Capital Loan in its entirety. In connection with this debt repayment, the Company recorded a $1.7 million loss on extinguishment of debt in the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98"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On June 29, 2017, the Company entered into a convertible promissory note agreement with certain existing redeemable convertible preferred stockholders and third parties (collectively, the “Investors”) for the issuance of convertible promissory notes with a face value of $12.2 million (the “Convertible Notes”). Under the terms of the Convertible Notes agreement, the Convertible Notes bear interest of 8.00% per annum, with a maturity date of June 28, 2018. In the event that the Company issued and sold shares of its equity securities (the “Equity Securities”) to Investors on or before the maturity date in an equity financing with total proceeds to the Company of not less than $10 million (including the conversion of the Convertible Notes or other convertible securities issued for capital raising purposes) (a “Qualified Financing”), then the outstanding principal amount of the Convertible Notes and any unpaid accrued interest would have automatically converted in whole without any further action by the holder into such Equity Securities sold in the Qualified Financing at a conversion price equal to the price paid per share for Equity Securities by the Investors in the Qualified Financing multiplied by 0.8. If the Company consummated a change of control while the Convertible Notes remained outstanding, the Company would have repaid the holders in cash an amount equal to 150% of the outstanding principal amount of the Convertible Notes, plus any unpaid accrued interest on the original principal. The Convertible Notes had customary events of default.</w:t>
      </w:r>
    </w:p>
    <w:p>
      <w:pPr>
        <w:spacing w:after="0" w:line="142"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Certain conversion and redemption features of the Convertible Notes met the requirements for separate accounting and were accounted for as a single, compound derivative instrument. The compound derivative instrument was recorded at fair value at inception and was subject to remeasurement to fair value at each consolidated balance sheet date, with any changes in fair value recognized in the consolidated statements of operations as other income (expense). The estimated fair value of the compound derivative instrument was $0.5 million at issuance and was recorded as a reduction in the carrying value of the Convertible Notes and as a single compound derivative liability. The Convertible Notes carrying value reduction was accreted using the effective interest method as interest expense over the Convertible Notes contractual period of one year. The Convertible Notes had an effective interest rate of 12.69% per year.</w:t>
      </w:r>
    </w:p>
    <w:p>
      <w:pPr>
        <w:spacing w:after="0" w:line="149"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 xml:space="preserve">On May 31, 2018, the original maturity date for the Convertible Notes was extended to June 28, 2019 (previously June 28, 2018). The maturity date extension was deemed substantial and was accounted for as a debt extinguishment under ASC 470, </w:t>
      </w:r>
      <w:r>
        <w:rPr>
          <w:rFonts w:ascii="Arial" w:cs="Arial" w:eastAsia="Arial" w:hAnsi="Arial"/>
          <w:sz w:val="18"/>
          <w:szCs w:val="18"/>
          <w:i w:val="1"/>
          <w:iCs w:val="1"/>
          <w:color w:val="auto"/>
        </w:rPr>
        <w:t>Debt</w:t>
      </w:r>
      <w:r>
        <w:rPr>
          <w:rFonts w:ascii="Arial" w:cs="Arial" w:eastAsia="Arial" w:hAnsi="Arial"/>
          <w:sz w:val="18"/>
          <w:szCs w:val="18"/>
          <w:color w:val="auto"/>
        </w:rPr>
        <w:t>. In connection with the debt extinguishment on May 31, 2018, the fair value of the Convertible Notes was allocated between the carrying amount of the Convertible Notes and accrued interested of $13.1 million, a compound derivative asset of $0.6 million, and an equity component of $3.9 million, which was credited to additional paid-in capital within the consolidated statements of redeemable convertible preferred stock and stockholders’ equity (deficit). A $3.3 million loss on debt extinguishment was also recorded in the consolidated statements of operations. The new carrying value of the Convertible Notes was accreted using the effective interest method as interest expense over the new contractual period of 1.1 years.</w:t>
      </w:r>
    </w:p>
    <w:p>
      <w:pPr>
        <w:spacing w:after="0" w:line="162"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color w:val="auto"/>
        </w:rPr>
        <w:t>On August 20, 2018, the maturity date for the Convertible Notes was changed to September 20, 2018 (previously June 28, 2019). The term change was deemed substantial and was accounted for as a debt extinguishment under ASC 470. In connection with the debt extinguishment on August 20, 2018, the fair value of the Convertible Notes was allocated between the new carrying amount of the Convertible Notes and accrued interest of $13.4 million, and an equity component of $0.8 million, which resulted in an additional credit to additional paid-in capital. Upon modification, the compound derivative asset was eliminated. A $0.8 million loss on debt extinguishment was also recorded in the consolidated statements of operations. The new carrying value of Convertible Notes was accreted using the effective interest method as interest expense over the new contractual period of one month.</w:t>
      </w:r>
    </w:p>
    <w:p>
      <w:pPr>
        <w:spacing w:after="0" w:line="124" w:lineRule="exact"/>
        <w:rPr>
          <w:sz w:val="20"/>
          <w:szCs w:val="20"/>
          <w:color w:val="auto"/>
        </w:rPr>
      </w:pPr>
    </w:p>
    <w:p>
      <w:pPr>
        <w:jc w:val="both"/>
        <w:ind w:right="20" w:firstLine="761"/>
        <w:spacing w:after="0" w:line="264" w:lineRule="auto"/>
        <w:rPr>
          <w:sz w:val="20"/>
          <w:szCs w:val="20"/>
          <w:color w:val="auto"/>
        </w:rPr>
      </w:pPr>
      <w:r>
        <w:rPr>
          <w:rFonts w:ascii="Arial" w:cs="Arial" w:eastAsia="Arial" w:hAnsi="Arial"/>
          <w:sz w:val="18"/>
          <w:szCs w:val="18"/>
          <w:color w:val="auto"/>
        </w:rPr>
        <w:t>On September 20, 2018, upon the maturity of the Convertible Notes, the carrying amount, including accrued interest of $13.4 million was converted into 1,667,997 shares of the Company’s Series C redeemable convertible preferred stock at a conversion price equal to $8.052 per share. No gain or loss was recorded on the conversion.</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Interest expense on the Convertible Notes for the three and nine months ended September 30, 2018 was $0.2 million and $0.9 million, respectively.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7. Leases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Obligations</w:t>
      </w:r>
    </w:p>
    <w:p>
      <w:pPr>
        <w:spacing w:after="0" w:line="185" w:lineRule="exact"/>
        <w:rPr>
          <w:sz w:val="20"/>
          <w:szCs w:val="20"/>
          <w:color w:val="auto"/>
        </w:rPr>
      </w:pPr>
    </w:p>
    <w:p>
      <w:pPr>
        <w:jc w:val="both"/>
        <w:ind w:right="20" w:firstLine="761"/>
        <w:spacing w:after="0" w:line="264" w:lineRule="auto"/>
        <w:rPr>
          <w:sz w:val="20"/>
          <w:szCs w:val="20"/>
          <w:color w:val="auto"/>
        </w:rPr>
      </w:pPr>
      <w:r>
        <w:rPr>
          <w:rFonts w:ascii="Arial" w:cs="Arial" w:eastAsia="Arial" w:hAnsi="Arial"/>
          <w:sz w:val="18"/>
          <w:szCs w:val="18"/>
          <w:color w:val="auto"/>
        </w:rPr>
        <w:t>In February 2015, the Company entered into a noncancelable operating lease for approximately 31,280 square feet of space used for its current laboratory and office space. The lease expires on November 30, 2020 and includes an option to extend the term for a period of three years immediately following the expiration of the term with rent payments equal to then current fair market rental for the space.</w:t>
      </w:r>
    </w:p>
    <w:p>
      <w:pPr>
        <w:spacing w:after="0" w:line="141"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For the 2018 periods presented, the Company recognized rent expense on a straight-line basis over the noncancelable lease term. The Company’s rent expense was $0.2 million and $0.7 million for the three and nine months ended September 30, 2018, respectively.</w:t>
      </w:r>
    </w:p>
    <w:p>
      <w:pPr>
        <w:spacing w:after="0" w:line="143" w:lineRule="exact"/>
        <w:rPr>
          <w:sz w:val="20"/>
          <w:szCs w:val="20"/>
          <w:color w:val="auto"/>
        </w:rPr>
      </w:pPr>
    </w:p>
    <w:p>
      <w:pPr>
        <w:jc w:val="both"/>
        <w:ind w:right="20" w:firstLine="761"/>
        <w:spacing w:after="0" w:line="264" w:lineRule="auto"/>
        <w:rPr>
          <w:sz w:val="20"/>
          <w:szCs w:val="20"/>
          <w:color w:val="auto"/>
        </w:rPr>
      </w:pPr>
      <w:r>
        <w:rPr>
          <w:rFonts w:ascii="Arial" w:cs="Arial" w:eastAsia="Arial" w:hAnsi="Arial"/>
          <w:sz w:val="18"/>
          <w:szCs w:val="18"/>
          <w:color w:val="auto"/>
        </w:rPr>
        <w:t>In August 2019, the Company entered into a noncancelable operating lease for a co-located data center space. The lease expires on September 1, 2022 and includes an option to extend the term for a period of three years immediately following the expiration of the term with rent payments to be negotiated upon such a renewal.</w:t>
      </w:r>
    </w:p>
    <w:p>
      <w:pPr>
        <w:spacing w:after="0" w:line="141" w:lineRule="exact"/>
        <w:rPr>
          <w:sz w:val="20"/>
          <w:szCs w:val="20"/>
          <w:color w:val="auto"/>
        </w:rPr>
      </w:pPr>
    </w:p>
    <w:p>
      <w:pPr>
        <w:jc w:val="both"/>
        <w:ind w:right="20" w:firstLine="761"/>
        <w:spacing w:after="0" w:line="271" w:lineRule="auto"/>
        <w:rPr>
          <w:sz w:val="20"/>
          <w:szCs w:val="20"/>
          <w:color w:val="auto"/>
        </w:rPr>
      </w:pPr>
      <w:r>
        <w:rPr>
          <w:rFonts w:ascii="Arial" w:cs="Arial" w:eastAsia="Arial" w:hAnsi="Arial"/>
          <w:sz w:val="17"/>
          <w:szCs w:val="17"/>
          <w:color w:val="auto"/>
        </w:rPr>
        <w:t>The Company adopted ASC 842 as of January 1, 2019. In determining the present value of lease payments, the Company uses its incremental borrowing rate based on the information available at the lease commencement date if the rate implicit in the lease is not readily determinable. At the date of adoption of ASC 842, the Company determined the amounts of lease liability using a discount rate of 8.0%, which represents the Company’s incremental borrowing rate. The Company determines its incremental borrowing rate for lease liability using its current borrowing rate, adjusted for various factors including level of collateralization and term. With respect to the lease for co-located data center space, the Company determined the amounts of lease liability using a discount rate of 6.6%, and the Company recognized a $1.1 million operating lease right-of-use asset and lease liability on the lease commencement date in September 2019. The optional renewal periods for both leases were not recognized as part of the right-of-use asset or lease liability as a result of the renewal option assessment at the lease commencement dates.</w:t>
      </w:r>
    </w:p>
    <w:p>
      <w:pPr>
        <w:spacing w:after="0" w:line="138" w:lineRule="exact"/>
        <w:rPr>
          <w:sz w:val="20"/>
          <w:szCs w:val="20"/>
          <w:color w:val="auto"/>
        </w:rPr>
      </w:pPr>
    </w:p>
    <w:p>
      <w:pPr>
        <w:jc w:val="both"/>
        <w:ind w:right="20" w:firstLine="761"/>
        <w:spacing w:after="0" w:line="259" w:lineRule="auto"/>
        <w:rPr>
          <w:sz w:val="20"/>
          <w:szCs w:val="20"/>
          <w:color w:val="auto"/>
        </w:rPr>
      </w:pPr>
      <w:r>
        <w:rPr>
          <w:rFonts w:ascii="Arial" w:cs="Arial" w:eastAsia="Arial" w:hAnsi="Arial"/>
          <w:sz w:val="18"/>
          <w:szCs w:val="18"/>
          <w:color w:val="auto"/>
        </w:rPr>
        <w:t>Operating lease cost for the three and nine months ended September 30, 2019 was $0.3 million and $0.8 million, respectively. Cash paid for operating lease liabilities, included in cash flow from operating activities in the Condensed Consolidated Statement of Cash Flows was $0.8 million for the nine months period ended September 30, 2019. As of September 30, 2019, the weighted average remaining lease term for the operating leases was 2.0 years and the weighted average incremental borrowing rate was 7.3%.</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Future minimum lease payments at December 31, 2018 under the noncancelable operating lease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Borders>
              <w:bottom w:val="single" w:sz="8" w:color="CFF0FC"/>
            </w:tcBorders>
          </w:tcPr>
          <w:p>
            <w:pPr>
              <w:spacing w:after="0"/>
              <w:rPr>
                <w:sz w:val="14"/>
                <w:szCs w:val="14"/>
                <w:color w:val="auto"/>
              </w:rPr>
            </w:pPr>
          </w:p>
        </w:tc>
        <w:tc>
          <w:tcPr>
            <w:tcW w:w="472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47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2020</w:t>
            </w:r>
          </w:p>
        </w:tc>
        <w:tc>
          <w:tcPr>
            <w:tcW w:w="47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future minimum lease payments</w:t>
            </w:r>
          </w:p>
        </w:tc>
        <w:tc>
          <w:tcPr>
            <w:tcW w:w="47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960" w:type="dxa"/>
            <w:vAlign w:val="bottom"/>
            <w:gridSpan w:val="3"/>
          </w:tcPr>
          <w:p>
            <w:pPr>
              <w:ind w:left="760"/>
              <w:spacing w:after="0"/>
              <w:rPr>
                <w:sz w:val="20"/>
                <w:szCs w:val="20"/>
                <w:color w:val="auto"/>
              </w:rPr>
            </w:pPr>
            <w:r>
              <w:rPr>
                <w:rFonts w:ascii="Arial" w:cs="Arial" w:eastAsia="Arial" w:hAnsi="Arial"/>
                <w:sz w:val="18"/>
                <w:szCs w:val="18"/>
                <w:color w:val="auto"/>
                <w:w w:val="90"/>
              </w:rPr>
              <w:t>Future minimum lease payments at September 30, 2019 under noncancelable operating leases were as follows (in thousands):</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680" w:type="dxa"/>
            <w:vAlign w:val="bottom"/>
            <w:tcBorders>
              <w:bottom w:val="single" w:sz="8" w:color="CFF0FC"/>
            </w:tcBorders>
          </w:tcPr>
          <w:p>
            <w:pPr>
              <w:spacing w:after="0"/>
              <w:rPr>
                <w:sz w:val="24"/>
                <w:szCs w:val="24"/>
                <w:color w:val="auto"/>
              </w:rPr>
            </w:pPr>
          </w:p>
        </w:tc>
        <w:tc>
          <w:tcPr>
            <w:tcW w:w="4720" w:type="dxa"/>
            <w:vAlign w:val="bottom"/>
            <w:tcBorders>
              <w:bottom w:val="single" w:sz="8" w:color="CFF0FC"/>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2019 (remaining three months)</w:t>
            </w:r>
          </w:p>
        </w:tc>
        <w:tc>
          <w:tcPr>
            <w:tcW w:w="47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2020</w:t>
            </w:r>
          </w:p>
        </w:tc>
        <w:tc>
          <w:tcPr>
            <w:tcW w:w="4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7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47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Total future minimum lease payments</w:t>
            </w:r>
          </w:p>
        </w:tc>
        <w:tc>
          <w:tcPr>
            <w:tcW w:w="47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Less: Imputed interest</w:t>
            </w:r>
          </w:p>
        </w:tc>
        <w:tc>
          <w:tcPr>
            <w:tcW w:w="47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Present value of future minimum lease payments</w:t>
            </w:r>
          </w:p>
        </w:tc>
        <w:tc>
          <w:tcPr>
            <w:tcW w:w="47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Less: Current portion of operating lease liability</w:t>
            </w:r>
          </w:p>
        </w:tc>
        <w:tc>
          <w:tcPr>
            <w:tcW w:w="47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liabilities - noncurrent</w:t>
            </w:r>
          </w:p>
        </w:tc>
        <w:tc>
          <w:tcPr>
            <w:tcW w:w="47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720" w:type="dxa"/>
            <w:vAlign w:val="bottom"/>
            <w:vMerge w:val="restart"/>
          </w:tcPr>
          <w:p>
            <w:pPr>
              <w:jc w:val="right"/>
              <w:ind w:right="3510"/>
              <w:spacing w:after="0"/>
              <w:rPr>
                <w:sz w:val="20"/>
                <w:szCs w:val="20"/>
                <w:color w:val="auto"/>
              </w:rPr>
            </w:pPr>
            <w:r>
              <w:rPr>
                <w:rFonts w:ascii="Arial" w:cs="Arial" w:eastAsia="Arial" w:hAnsi="Arial"/>
                <w:sz w:val="18"/>
                <w:szCs w:val="18"/>
                <w:color w:val="auto"/>
              </w:rPr>
              <w:t>20</w:t>
            </w: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68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8. Redeemable Convertible Preferred Stock</w:t>
      </w:r>
    </w:p>
    <w:p>
      <w:pPr>
        <w:spacing w:after="0" w:line="229"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Series A redeemable convertible preferred stock, Series B redeemable convertible preferred stock and Series C redeemable convertible preferred stock (collectively the “Redeemable Convertible Preferred Stock”) outstanding consisted of the following as of December 31, 2018 and as of immediately prior to the automatic conversion of the Redeemable Convertible Preferred Stock into common stock:</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gridSpan w:val="5"/>
          </w:tcPr>
          <w:p>
            <w:pPr>
              <w:ind w:left="70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9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960" w:type="dxa"/>
            <w:vAlign w:val="bottom"/>
          </w:tcPr>
          <w:p>
            <w:pPr>
              <w:spacing w:after="0"/>
              <w:rPr>
                <w:sz w:val="11"/>
                <w:szCs w:val="11"/>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4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8"/>
              </w:rPr>
              <w:t>Shares Issued</w:t>
            </w:r>
          </w:p>
        </w:tc>
        <w:tc>
          <w:tcPr>
            <w:tcW w:w="160" w:type="dxa"/>
            <w:vAlign w:val="bottom"/>
          </w:tcPr>
          <w:p>
            <w:pPr>
              <w:spacing w:after="0"/>
              <w:rPr>
                <w:sz w:val="11"/>
                <w:szCs w:val="11"/>
                <w:color w:val="auto"/>
              </w:rPr>
            </w:pPr>
          </w:p>
        </w:tc>
        <w:tc>
          <w:tcPr>
            <w:tcW w:w="126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Aggregate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Authorized</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Preference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43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8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520" w:type="dxa"/>
            <w:vAlign w:val="bottom"/>
            <w:tcBorders>
              <w:top w:val="single" w:sz="8" w:color="auto"/>
              <w:bottom w:val="single" w:sz="8" w:color="auto"/>
            </w:tcBorders>
            <w:gridSpan w:val="5"/>
          </w:tcPr>
          <w:p>
            <w:pPr>
              <w:jc w:val="right"/>
              <w:ind w:right="876"/>
              <w:spacing w:after="0" w:line="155"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Series A</w:t>
            </w:r>
          </w:p>
        </w:tc>
        <w:tc>
          <w:tcPr>
            <w:tcW w:w="1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31,250,000</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7,812,497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20,500</w:t>
            </w:r>
          </w:p>
        </w:tc>
        <w:tc>
          <w:tcPr>
            <w:tcW w:w="14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20,261</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Series B</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19,288,150</w:t>
            </w:r>
          </w:p>
        </w:tc>
        <w:tc>
          <w:tcPr>
            <w:tcW w:w="14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8"/>
                <w:szCs w:val="18"/>
                <w:color w:val="auto"/>
              </w:rPr>
              <w:t>4,799,548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22,078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22,047</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Series C</w:t>
            </w:r>
          </w:p>
        </w:tc>
        <w:tc>
          <w:tcPr>
            <w:tcW w:w="12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24,700,000</w:t>
            </w:r>
          </w:p>
        </w:tc>
        <w:tc>
          <w:tcPr>
            <w:tcW w:w="14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5,862,697</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47,206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47,096</w:t>
            </w:r>
          </w:p>
        </w:tc>
        <w:tc>
          <w:tcPr>
            <w:tcW w:w="0" w:type="dxa"/>
            <w:vAlign w:val="bottom"/>
          </w:tcPr>
          <w:p>
            <w:pPr>
              <w:spacing w:after="0"/>
              <w:rPr>
                <w:sz w:val="1"/>
                <w:szCs w:val="1"/>
                <w:color w:val="auto"/>
              </w:rPr>
            </w:pP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Total redeemable convertible preferred stock</w:t>
            </w: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75,238,150</w:t>
            </w:r>
          </w:p>
        </w:tc>
        <w:tc>
          <w:tcPr>
            <w:tcW w:w="140" w:type="dxa"/>
            <w:vAlign w:val="bottom"/>
          </w:tcPr>
          <w:p>
            <w:pPr>
              <w:spacing w:after="0"/>
              <w:rPr>
                <w:sz w:val="19"/>
                <w:szCs w:val="19"/>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18,474,742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89,784</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89,404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Immediately prior to the closing of the Company’s IPO, all shares of the Company’s then-outstanding Redeemable Convertible Preferred Stock, as shown in the table above, automatically converted on a one-for-one basis into an aggregate of 18,474,703 shares of common stock. The Reverse Stock Split was effected on a holder-by-holder basis with no fractional shares issued, which resulted in 39 fewer shares of common stock issued as compared to the amounts shown in the above 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Equity Incentive Plan and 2019 Equity Incentive Plan</w:t>
      </w:r>
    </w:p>
    <w:p>
      <w:pPr>
        <w:spacing w:after="0" w:line="198"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color w:val="auto"/>
        </w:rPr>
        <w:t>In 2011, the Company established its 2011 Equity Incentive Plan (the “2011 Plan”) that provided for the granting of stock options to employees and nonemployees of the Company. Under the 2011 Plan, the Company had the ability to issue incentive stock options (“ISOs”), nonstatutory stock options (“NSOs”), stock appreciation rights, restricted stock awards, and restricted stock unit awards. Options under the 2011 Plan could be granted for periods of up to 10 years. The ISOs could be granted at a price per share not less than the fair value at the date of grant. The exercise price of an ISO granted to a 10% stockholder was not less than 110% of the estimated fair value of the shares on the date of grant, as determined by the board of directors (the “Board”). Options granted to new hires generally vested over a four-year period, with 25% vesting at the end of one year and the remaining vesting monthly thereafter; options granted as merit awards generally vested monthly over a four-year period.</w:t>
      </w:r>
    </w:p>
    <w:p>
      <w:pPr>
        <w:spacing w:after="0" w:line="137" w:lineRule="exact"/>
        <w:rPr>
          <w:sz w:val="20"/>
          <w:szCs w:val="20"/>
          <w:color w:val="auto"/>
        </w:rPr>
      </w:pPr>
    </w:p>
    <w:p>
      <w:pPr>
        <w:jc w:val="both"/>
        <w:ind w:firstLine="761"/>
        <w:spacing w:after="0" w:line="302" w:lineRule="auto"/>
        <w:rPr>
          <w:sz w:val="20"/>
          <w:szCs w:val="20"/>
          <w:color w:val="auto"/>
        </w:rPr>
      </w:pPr>
      <w:r>
        <w:rPr>
          <w:rFonts w:ascii="Arial" w:cs="Arial" w:eastAsia="Arial" w:hAnsi="Arial"/>
          <w:sz w:val="16"/>
          <w:szCs w:val="16"/>
          <w:color w:val="auto"/>
        </w:rPr>
        <w:t>For stock option grants issued prior to December 31, 2015, the Company allowed employees to exercise options granted under the 2011 Plan prior to vesting (early exercise of stock options). The unvested shares are subject to the Company’s repurchase rights at the original purchase price. Initially, the proceeds were recorded as an accrued liability from the early exercise of stock options and reclassified to common stock as the Company’s repurchase rights lapse. There were 262 and 78 unvested shares subject to the Company’s repurchase rights as of December 31, 2018 and September 30, 2019, respectively.</w:t>
      </w:r>
    </w:p>
    <w:p>
      <w:pPr>
        <w:spacing w:after="0" w:line="114" w:lineRule="exact"/>
        <w:rPr>
          <w:sz w:val="20"/>
          <w:szCs w:val="20"/>
          <w:color w:val="auto"/>
        </w:rPr>
      </w:pPr>
    </w:p>
    <w:p>
      <w:pPr>
        <w:jc w:val="both"/>
        <w:ind w:firstLine="761"/>
        <w:spacing w:after="0" w:line="312" w:lineRule="auto"/>
        <w:rPr>
          <w:sz w:val="20"/>
          <w:szCs w:val="20"/>
          <w:color w:val="auto"/>
        </w:rPr>
      </w:pPr>
      <w:r>
        <w:rPr>
          <w:rFonts w:ascii="Arial" w:cs="Arial" w:eastAsia="Arial" w:hAnsi="Arial"/>
          <w:sz w:val="16"/>
          <w:szCs w:val="16"/>
          <w:color w:val="auto"/>
        </w:rPr>
        <w:t>The Company’s Board adopted and the Company’s stockholders approved the Company’s 2019 Equity Incentive Plan (the “2019 Plan”) in May 2019 and June 2019, respectively. The 2019 Plan became effective in June 2019 in connection with the Company’s IPO, and no further grants will be made under the 2011 Plan. Shares reserved and remaining available for issuance under the 2011 Plan were added to the 2019 Plan reserve upon its effectiveness.</w:t>
      </w:r>
    </w:p>
    <w:p>
      <w:pPr>
        <w:spacing w:after="0" w:line="120"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The 2019 Plan provides for the grant of ISOs, NSOs, stock appreciation rights, restricted stock awards, restricted stock unit awards, performance-based stock awards, and other forms of equity compensation. Additionally, the 2019 Plan provides for the grant of performance cash awards. ISOs may be granted only to the Company’s employees and to any of the Company’s parent or subsidiary corporation’s employees. All other awards may be granted to employees, including officers, and to non-employee directors and consultants of the Company and any of the Company’s affiliates. The exercise price of a stock option generally cannot be less than 100% of the fair market value of our common stock on the date of grant. Options under the 2019 Plan may be granted for periods of up to 10 years.</w:t>
      </w:r>
    </w:p>
    <w:p>
      <w:pPr>
        <w:spacing w:after="0" w:line="153" w:lineRule="exact"/>
        <w:rPr>
          <w:sz w:val="20"/>
          <w:szCs w:val="20"/>
          <w:color w:val="auto"/>
        </w:rPr>
      </w:pPr>
    </w:p>
    <w:p>
      <w:pPr>
        <w:ind w:right="20" w:firstLine="761"/>
        <w:spacing w:after="0" w:line="308" w:lineRule="auto"/>
        <w:rPr>
          <w:sz w:val="20"/>
          <w:szCs w:val="20"/>
          <w:color w:val="auto"/>
        </w:rPr>
      </w:pPr>
      <w:r>
        <w:rPr>
          <w:rFonts w:ascii="Arial" w:cs="Arial" w:eastAsia="Arial" w:hAnsi="Arial"/>
          <w:sz w:val="17"/>
          <w:szCs w:val="17"/>
          <w:color w:val="auto"/>
        </w:rPr>
        <w:t>At December 31, 2018 there were 4,647,839 shares of common stock available for issuance under the 2011 Plan. At September 30, 2019 there were 4,508,463 shares of common stock available for issuance under the 2011 Plan and 2,758,017 available for issuance under the 2019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Stock Option Activity</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 summary of the Company’s stock option activity under the 2011 Plan and 2019 Plan for the nine months ended September 30, 2019 is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Outstanding Options</w:t>
            </w: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left="268"/>
              <w:spacing w:after="0" w:line="133" w:lineRule="exact"/>
              <w:rPr>
                <w:sz w:val="20"/>
                <w:szCs w:val="20"/>
                <w:color w:val="auto"/>
              </w:rPr>
            </w:pPr>
            <w:r>
              <w:rPr>
                <w:rFonts w:ascii="Arial" w:cs="Arial" w:eastAsia="Arial" w:hAnsi="Arial"/>
                <w:sz w:val="14"/>
                <w:szCs w:val="14"/>
                <w:b w:val="1"/>
                <w:bCs w:val="1"/>
                <w:color w:val="auto"/>
                <w:w w:val="91"/>
              </w:rPr>
              <w:t>Weighted-</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Weighted-</w:t>
            </w:r>
          </w:p>
        </w:tc>
        <w:tc>
          <w:tcPr>
            <w:tcW w:w="11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2"/>
              </w:rPr>
              <w:t>Remaining</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vMerge w:val="restart"/>
          </w:tcPr>
          <w:p>
            <w:pPr>
              <w:jc w:val="center"/>
              <w:ind w:right="297"/>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1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7"/>
              </w:rPr>
              <w:t>Term (in</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297"/>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20"/>
                <w:szCs w:val="20"/>
                <w:color w:val="auto"/>
              </w:rPr>
            </w:pPr>
            <w:r>
              <w:rPr>
                <w:rFonts w:ascii="Arial" w:cs="Arial" w:eastAsia="Arial" w:hAnsi="Arial"/>
                <w:sz w:val="14"/>
                <w:szCs w:val="14"/>
                <w:color w:val="auto"/>
              </w:rPr>
              <w:t>(in thousands, except share and per share data)</w:t>
            </w:r>
          </w:p>
        </w:tc>
        <w:tc>
          <w:tcPr>
            <w:tcW w:w="1600" w:type="dxa"/>
            <w:vAlign w:val="bottom"/>
          </w:tcPr>
          <w:p>
            <w:pPr>
              <w:jc w:val="right"/>
              <w:ind w:right="575"/>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Exercise Price</w:t>
            </w:r>
          </w:p>
        </w:tc>
        <w:tc>
          <w:tcPr>
            <w:tcW w:w="1160" w:type="dxa"/>
            <w:vAlign w:val="bottom"/>
          </w:tcPr>
          <w:p>
            <w:pPr>
              <w:jc w:val="center"/>
              <w:ind w:left="268"/>
              <w:spacing w:after="0"/>
              <w:rPr>
                <w:sz w:val="20"/>
                <w:szCs w:val="20"/>
                <w:color w:val="auto"/>
              </w:rPr>
            </w:pPr>
            <w:r>
              <w:rPr>
                <w:rFonts w:ascii="Arial" w:cs="Arial" w:eastAsia="Arial" w:hAnsi="Arial"/>
                <w:sz w:val="14"/>
                <w:szCs w:val="14"/>
                <w:b w:val="1"/>
                <w:bCs w:val="1"/>
                <w:color w:val="auto"/>
                <w:w w:val="92"/>
              </w:rPr>
              <w:t>years)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center"/>
              <w:ind w:right="29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Balance—December 31, 2018</w:t>
            </w:r>
          </w:p>
        </w:tc>
        <w:tc>
          <w:tcPr>
            <w:tcW w:w="16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4,110,130</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3.16</w:t>
            </w:r>
          </w:p>
        </w:tc>
        <w:tc>
          <w:tcPr>
            <w:tcW w:w="1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1"/>
              </w:rPr>
              <w:t>6.94</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24,716</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Options granted</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897,913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11.95</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(265,230)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Options cancelled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(64,637)</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tcPr>
          <w:p>
            <w:pPr>
              <w:jc w:val="right"/>
              <w:ind w:right="38"/>
              <w:spacing w:after="0"/>
              <w:rPr>
                <w:sz w:val="20"/>
                <w:szCs w:val="20"/>
                <w:color w:val="auto"/>
              </w:rPr>
            </w:pPr>
            <w:r>
              <w:rPr>
                <w:rFonts w:ascii="Arial" w:cs="Arial" w:eastAsia="Arial" w:hAnsi="Arial"/>
                <w:sz w:val="18"/>
                <w:szCs w:val="18"/>
                <w:color w:val="auto"/>
              </w:rPr>
              <w:t>6.34</w:t>
            </w:r>
          </w:p>
        </w:tc>
        <w:tc>
          <w:tcPr>
            <w:tcW w:w="14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Balance—September 30, 2019</w:t>
            </w:r>
          </w:p>
        </w:tc>
        <w:tc>
          <w:tcPr>
            <w:tcW w:w="16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4,678,176</w:t>
            </w:r>
          </w:p>
        </w:tc>
        <w:tc>
          <w:tcPr>
            <w:tcW w:w="340" w:type="dxa"/>
            <w:vAlign w:val="bottom"/>
            <w:tcBorders>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4.83</w:t>
            </w:r>
          </w:p>
        </w:tc>
        <w:tc>
          <w:tcPr>
            <w:tcW w:w="1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1"/>
              </w:rPr>
              <w:t>6.79</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46,163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 aggregate intrinsic value of unexercised stock options is calculated as the difference between the closing price of the Company’s common stock of $14.68 on September 30, 2019 (the last trading day of the quarter) and the exercise prices of the underlying stock options. Out-of-the money stock options are excluded from the aggregate intrinsic value.</w:t>
      </w:r>
    </w:p>
    <w:p>
      <w:pPr>
        <w:spacing w:after="0" w:line="181"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The weighted-average grant date fair value of options granted was $8.81 and $4.44 per share for the three months ended September 30, 2019 and 2018, respectively, and $8.19 and $3.44 per share for the nine months ended September 30, 2019 and 2018, respectively. As of September 30, 2019, the unrecognized stock-based compensation of unvested options was $10.2 million, which is expected to be recognized over a weighted-average period of 3.0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Stock Options</w:t>
      </w:r>
    </w:p>
    <w:p>
      <w:pPr>
        <w:spacing w:after="0" w:line="185"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The Company estimated the fair value of stock options using the Black-Scholes option-pricing model. The fair value of stock options is recognized on a straight-line basis over the requisite service periods of the awards.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fair value of stock options was estimated using the following weighted-average assumptions: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350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 September 30,</w:t>
            </w:r>
          </w:p>
        </w:tc>
        <w:tc>
          <w:tcPr>
            <w:tcW w:w="3380" w:type="dxa"/>
            <w:vAlign w:val="bottom"/>
            <w:gridSpan w:val="5"/>
          </w:tcPr>
          <w:p>
            <w:pPr>
              <w:ind w:left="62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454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center"/>
              <w:ind w:right="594"/>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top w:val="single" w:sz="8" w:color="auto"/>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center"/>
              <w:ind w:right="574"/>
              <w:spacing w:after="0" w:line="155"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center"/>
              <w:ind w:right="574"/>
              <w:spacing w:after="0" w:line="155"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Borders>
              <w:top w:val="single" w:sz="8" w:color="auto"/>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center"/>
              <w:ind w:right="594"/>
              <w:spacing w:after="0" w:line="155" w:lineRule="exact"/>
              <w:rPr>
                <w:sz w:val="20"/>
                <w:szCs w:val="20"/>
                <w:color w:val="auto"/>
              </w:rPr>
            </w:pPr>
            <w:r>
              <w:rPr>
                <w:rFonts w:ascii="Arial" w:cs="Arial" w:eastAsia="Arial" w:hAnsi="Arial"/>
                <w:sz w:val="14"/>
                <w:szCs w:val="14"/>
                <w:b w:val="1"/>
                <w:bCs w:val="1"/>
                <w:color w:val="auto"/>
                <w:w w:val="89"/>
              </w:rPr>
              <w:t>2018</w:t>
            </w: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6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6.00 - 6.08</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1.50 - 5.98</w:t>
            </w: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5.00 - 6.87</w:t>
            </w: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1.50 - 5.99</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Volatility</w:t>
            </w:r>
          </w:p>
        </w:tc>
        <w:tc>
          <w:tcPr>
            <w:tcW w:w="660" w:type="dxa"/>
            <w:vAlign w:val="bottom"/>
          </w:tcPr>
          <w:p>
            <w:pPr>
              <w:jc w:val="right"/>
              <w:spacing w:after="0"/>
              <w:rPr>
                <w:sz w:val="20"/>
                <w:szCs w:val="20"/>
                <w:color w:val="auto"/>
              </w:rPr>
            </w:pPr>
            <w:r>
              <w:rPr>
                <w:rFonts w:ascii="Arial" w:cs="Arial" w:eastAsia="Arial" w:hAnsi="Arial"/>
                <w:sz w:val="18"/>
                <w:szCs w:val="18"/>
                <w:color w:val="auto"/>
              </w:rPr>
              <w:t>62.28</w:t>
            </w:r>
          </w:p>
        </w:tc>
        <w:tc>
          <w:tcPr>
            <w:tcW w:w="960" w:type="dxa"/>
            <w:vAlign w:val="bottom"/>
          </w:tcPr>
          <w:p>
            <w:pPr>
              <w:ind w:left="40"/>
              <w:spacing w:after="0"/>
              <w:rPr>
                <w:sz w:val="20"/>
                <w:szCs w:val="20"/>
                <w:color w:val="auto"/>
              </w:rPr>
            </w:pPr>
            <w:r>
              <w:rPr>
                <w:rFonts w:ascii="Arial" w:cs="Arial" w:eastAsia="Arial" w:hAnsi="Arial"/>
                <w:sz w:val="18"/>
                <w:szCs w:val="18"/>
                <w:color w:val="auto"/>
              </w:rPr>
              <w:t>- 63.08%</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52.19</w:t>
            </w:r>
          </w:p>
        </w:tc>
        <w:tc>
          <w:tcPr>
            <w:tcW w:w="960" w:type="dxa"/>
            <w:vAlign w:val="bottom"/>
          </w:tcPr>
          <w:p>
            <w:pPr>
              <w:ind w:left="40"/>
              <w:spacing w:after="0"/>
              <w:rPr>
                <w:sz w:val="20"/>
                <w:szCs w:val="20"/>
                <w:color w:val="auto"/>
              </w:rPr>
            </w:pPr>
            <w:r>
              <w:rPr>
                <w:rFonts w:ascii="Arial" w:cs="Arial" w:eastAsia="Arial" w:hAnsi="Arial"/>
                <w:sz w:val="18"/>
                <w:szCs w:val="18"/>
                <w:color w:val="auto"/>
              </w:rPr>
              <w:t>- 56.20%</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56.20</w:t>
            </w:r>
          </w:p>
        </w:tc>
        <w:tc>
          <w:tcPr>
            <w:tcW w:w="960" w:type="dxa"/>
            <w:vAlign w:val="bottom"/>
          </w:tcPr>
          <w:p>
            <w:pPr>
              <w:ind w:left="40"/>
              <w:spacing w:after="0"/>
              <w:rPr>
                <w:sz w:val="20"/>
                <w:szCs w:val="20"/>
                <w:color w:val="auto"/>
              </w:rPr>
            </w:pPr>
            <w:r>
              <w:rPr>
                <w:rFonts w:ascii="Arial" w:cs="Arial" w:eastAsia="Arial" w:hAnsi="Arial"/>
                <w:sz w:val="18"/>
                <w:szCs w:val="18"/>
                <w:color w:val="auto"/>
              </w:rPr>
              <w:t>- 63.08%</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52.19</w:t>
            </w:r>
          </w:p>
        </w:tc>
        <w:tc>
          <w:tcPr>
            <w:tcW w:w="960" w:type="dxa"/>
            <w:vAlign w:val="bottom"/>
          </w:tcPr>
          <w:p>
            <w:pPr>
              <w:ind w:left="40"/>
              <w:spacing w:after="0"/>
              <w:rPr>
                <w:sz w:val="20"/>
                <w:szCs w:val="20"/>
                <w:color w:val="auto"/>
              </w:rPr>
            </w:pPr>
            <w:r>
              <w:rPr>
                <w:rFonts w:ascii="Arial" w:cs="Arial" w:eastAsia="Arial" w:hAnsi="Arial"/>
                <w:sz w:val="18"/>
                <w:szCs w:val="18"/>
                <w:color w:val="auto"/>
              </w:rPr>
              <w:t>- 56.20%</w:t>
            </w: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- 1.73%</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- 2.87%</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- 2.52%</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- 2.88%</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Dividend yield</w:t>
            </w:r>
          </w:p>
        </w:tc>
        <w:tc>
          <w:tcPr>
            <w:tcW w:w="660" w:type="dxa"/>
            <w:vAlign w:val="bottom"/>
          </w:tcPr>
          <w:p>
            <w:pPr>
              <w:spacing w:after="0"/>
              <w:rPr>
                <w:sz w:val="20"/>
                <w:szCs w:val="20"/>
                <w:color w:val="auto"/>
              </w:rPr>
            </w:pPr>
          </w:p>
        </w:tc>
        <w:tc>
          <w:tcPr>
            <w:tcW w:w="960" w:type="dxa"/>
            <w:vAlign w:val="bottom"/>
          </w:tcPr>
          <w:p>
            <w:pPr>
              <w:jc w:val="center"/>
              <w:ind w:right="594"/>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jc w:val="center"/>
              <w:ind w:right="554"/>
              <w:spacing w:after="0"/>
              <w:rPr>
                <w:sz w:val="20"/>
                <w:szCs w:val="20"/>
                <w:color w:val="auto"/>
              </w:rPr>
            </w:pPr>
            <w:r>
              <w:rPr>
                <w:rFonts w:ascii="Arial" w:cs="Arial" w:eastAsia="Arial" w:hAnsi="Arial"/>
                <w:sz w:val="18"/>
                <w:szCs w:val="18"/>
                <w:color w:val="auto"/>
                <w:w w:val="92"/>
              </w:rPr>
              <w:t>0%</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jc w:val="center"/>
              <w:ind w:right="594"/>
              <w:spacing w:after="0"/>
              <w:rPr>
                <w:sz w:val="20"/>
                <w:szCs w:val="20"/>
                <w:color w:val="auto"/>
              </w:rPr>
            </w:pPr>
            <w:r>
              <w:rPr>
                <w:rFonts w:ascii="Arial" w:cs="Arial" w:eastAsia="Arial" w:hAnsi="Arial"/>
                <w:sz w:val="18"/>
                <w:szCs w:val="18"/>
                <w:color w:val="auto"/>
                <w:w w:val="92"/>
              </w:rPr>
              <w:t>0%</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jc w:val="center"/>
              <w:ind w:right="594"/>
              <w:spacing w:after="0"/>
              <w:rPr>
                <w:sz w:val="20"/>
                <w:szCs w:val="20"/>
                <w:color w:val="auto"/>
              </w:rPr>
            </w:pPr>
            <w:r>
              <w:rPr>
                <w:rFonts w:ascii="Arial" w:cs="Arial" w:eastAsia="Arial" w:hAnsi="Arial"/>
                <w:sz w:val="18"/>
                <w:szCs w:val="18"/>
                <w:color w:val="auto"/>
                <w:w w:val="92"/>
              </w:rPr>
              <w:t>0%</w:t>
            </w:r>
          </w:p>
        </w:tc>
      </w:tr>
    </w:tbl>
    <w:p>
      <w:pPr>
        <w:spacing w:after="0" w:line="201"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is calculated using the simplified method, which is available if there is insufficient historical data about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patterns and post-vesting employment termination behavior. The simplified method is based on the vesting period and the contractual term for each grant, or for each vesting tranche for awards with graded vesting. The midpoint of the vesting date and the maximum contractual expiration date is used as the expected term under this method. For awards with multiple vesting tranches, the times from grant until the midpoints for each of the tranches may be averaged to provide an overall expected term.</w:t>
      </w:r>
    </w:p>
    <w:p>
      <w:pPr>
        <w:spacing w:after="0" w:line="148"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Company used an average historical stock price volatility of a peer group of publicly traded companies to be representative</w:t>
      </w:r>
      <w:r>
        <w:rPr>
          <w:rFonts w:ascii="Arial" w:cs="Arial" w:eastAsia="Arial" w:hAnsi="Arial"/>
          <w:sz w:val="18"/>
          <w:szCs w:val="18"/>
          <w:i w:val="1"/>
          <w:iCs w:val="1"/>
          <w:color w:val="auto"/>
        </w:rPr>
        <w:t xml:space="preserve"> </w:t>
      </w:r>
      <w:r>
        <w:rPr>
          <w:rFonts w:ascii="Arial" w:cs="Arial" w:eastAsia="Arial" w:hAnsi="Arial"/>
          <w:sz w:val="18"/>
          <w:szCs w:val="18"/>
          <w:color w:val="auto"/>
        </w:rPr>
        <w:t>of its expected future stock price volatility, as the Company did not have sufficient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146"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implied yield currently available on U.S. Treasury zero-coupon issues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terms equivalent to the expected term of a stock award.</w:t>
      </w:r>
    </w:p>
    <w:p>
      <w:pPr>
        <w:spacing w:after="0" w:line="143"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i w:val="1"/>
          <w:iCs w:val="1"/>
          <w:color w:val="auto"/>
        </w:rPr>
        <w:t xml:space="preserve">Expected Dividend Rate. </w:t>
      </w:r>
      <w:r>
        <w:rPr>
          <w:rFonts w:ascii="Arial" w:cs="Arial" w:eastAsia="Arial" w:hAnsi="Arial"/>
          <w:sz w:val="18"/>
          <w:szCs w:val="18"/>
          <w:color w:val="auto"/>
        </w:rPr>
        <w:t>The Company has not paid and does not anticipate paying any dividends in the near future. Accordingly,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the dividend yield to be zero.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2019 Employee Stock Purchase Plan</w:t>
      </w:r>
    </w:p>
    <w:p>
      <w:pPr>
        <w:spacing w:after="0" w:line="198"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In May 2019, the Board adopted the 2019 Employee Stock Purchase Plan (the “ESPP”), which was approved by the Company’s stockholders in June 2019. A total of 250,000 shares of common stock are initially reserved for issuance under the ESPP. The number of shares may be increased in accordance with the terms of the ESPP.</w:t>
      </w:r>
    </w:p>
    <w:p>
      <w:pPr>
        <w:spacing w:after="0" w:line="141"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Subject to any plan limitations, the ESPP allows eligible employees to contribute, normally through payroll deductions, up to 15% of their earnings for the purchase of the Company’s common stock at a discounted price per share. The price at which common stock is purchased under the ESPP is equal to 85% of the fair market value of the Company’s common stock on the first or last day of the offering period, whichever is lower. Except for the initial offering period, the ESPP provides for separate six-month offering periods beginning on May 1 and November 1 of each year. The initial offering period runs from June 20, 2019 through October 31, 2019.</w:t>
      </w:r>
    </w:p>
    <w:p>
      <w:pPr>
        <w:spacing w:after="0" w:line="148"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During the nine months ended September 30, 2019, no shares of common stock were purchased under the ESPP. The total compensation expense related to the ESPP for the three and nine months ended September 30, 2019 was $0.2 million. The following assumptions were used to calculate the stock-based compensation for each stock purchase right granted under the ESPP: a weighted-average expected life of 0.37 years; expected volatility of 59.1%; a risk-free interest rate of 2.1%; and a zero dividend yield.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summary of stock-based compensation expense by function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4560" w:type="dxa"/>
            <w:vAlign w:val="bottom"/>
          </w:tcPr>
          <w:p>
            <w:pPr>
              <w:spacing w:after="0"/>
              <w:rPr>
                <w:sz w:val="13"/>
                <w:szCs w:val="13"/>
                <w:color w:val="auto"/>
              </w:rPr>
            </w:pPr>
          </w:p>
        </w:tc>
        <w:tc>
          <w:tcPr>
            <w:tcW w:w="980" w:type="dxa"/>
            <w:vAlign w:val="bottom"/>
          </w:tcPr>
          <w:p>
            <w:pPr>
              <w:jc w:val="right"/>
              <w:ind w:right="27"/>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1240" w:type="dxa"/>
            <w:vAlign w:val="bottom"/>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jc w:val="right"/>
              <w:ind w:right="636"/>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ind w:right="634"/>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Costs of revenues</w:t>
            </w:r>
          </w:p>
        </w:tc>
        <w:tc>
          <w:tcPr>
            <w:tcW w:w="980" w:type="dxa"/>
            <w:vAlign w:val="bottom"/>
            <w:tcBorders>
              <w:top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149</w:t>
            </w:r>
          </w:p>
        </w:tc>
        <w:tc>
          <w:tcPr>
            <w:tcW w:w="1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339</w:t>
            </w: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116</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647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288</w:t>
            </w: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963</w:t>
            </w:r>
          </w:p>
        </w:tc>
        <w:tc>
          <w:tcPr>
            <w:tcW w:w="14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2,671</w:t>
            </w: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520</w:t>
            </w: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1,402</w:t>
            </w:r>
          </w:p>
        </w:tc>
        <w:tc>
          <w:tcPr>
            <w:tcW w:w="14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3,657</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924</w:t>
            </w:r>
          </w:p>
        </w:tc>
      </w:tr>
      <w:tr>
        <w:trPr>
          <w:trHeight w:val="20"/>
        </w:trPr>
        <w:tc>
          <w:tcPr>
            <w:tcW w:w="45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During the three months ended September 30, 2019, no shares with performance conditions vested. During the nine months ended September 30, 2019, 67,418 shares with performance conditions vested. The awards were subject to two vesting criteria: (i) a time-based service criterion, and (ii) a performance criterion of an initial public offering, which were met in connection with our June 20, 2019 IPO. The Company recognized $0.3 million of stock-based compensation expense for all such awards. During the three and nine months ended September 30, 2018, no shares with performance conditions vested and no stock-based compensation expense was recognized related to shares with performance conditions.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Redeemable Convertible Preferred Stock Warrants</w:t>
      </w:r>
    </w:p>
    <w:p>
      <w:pPr>
        <w:spacing w:after="0" w:line="189"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In September 2014, in connection with the Term Loan (see Note 6), the Company issued a warrant to purchase 22,489 shares of its Series B redeemable convertible preferred stock at an exercise price of $4.60 per share. The estimated fair value of the Series B convertible preferred stock warrant on the date of issuance of $0.1 million was recorded as a debt reduction. As of the issuance date, the fair value of the Series B convertible preferred stock warrant was calculated using the Black-Scholes option-pricing model and was based on a contractual term of ten years, a risk-free interest rate of 2.52%, expected volatility of 66.53%, and 0% expected dividend yield.</w:t>
      </w:r>
    </w:p>
    <w:p>
      <w:pPr>
        <w:spacing w:after="0" w:line="148"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In June 2017, as additional consideration for the Revolving Loan (see Note 6), the Company issued a warrant to purchase up to 62,096 shares of its Series C redeemable convertible preferred stock at an exercise price of $8.052, subject to certain adjustments, such as any stock splits, stock dividends, recapitalizations, reclassifications, combinations, or similar transactions. The remaining term of the Series C convertible preferred stock warrant is seven years from June 28, 2017.</w:t>
      </w:r>
    </w:p>
    <w:p>
      <w:pPr>
        <w:spacing w:after="0" w:line="160" w:lineRule="exact"/>
        <w:rPr>
          <w:sz w:val="20"/>
          <w:szCs w:val="20"/>
          <w:color w:val="auto"/>
        </w:rPr>
      </w:pPr>
    </w:p>
    <w:p>
      <w:pPr>
        <w:jc w:val="both"/>
        <w:ind w:right="20" w:firstLine="761"/>
        <w:spacing w:after="0" w:line="312" w:lineRule="auto"/>
        <w:rPr>
          <w:sz w:val="20"/>
          <w:szCs w:val="20"/>
          <w:color w:val="auto"/>
        </w:rPr>
      </w:pPr>
      <w:r>
        <w:rPr>
          <w:rFonts w:ascii="Arial" w:cs="Arial" w:eastAsia="Arial" w:hAnsi="Arial"/>
          <w:sz w:val="16"/>
          <w:szCs w:val="16"/>
          <w:color w:val="auto"/>
        </w:rPr>
        <w:t>The estimated fair value of the Series C convertible preferred stock warrant on the date of issuance of $0.1 million was recorded as a debt reduction. As of the issuance date, the fair value of the Series C convertible preferred stock warrant was calculated using the Black-Scholes option-pricing model and was based on a contractual term of seven years, a risk-free interest rate of 1.97%, expected volatility of 64.33%, and 0% expected dividend yield.</w:t>
      </w:r>
    </w:p>
    <w:p>
      <w:pPr>
        <w:spacing w:after="0" w:line="106"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At initial recognition, the convertible preferred stock warrants were recorded at their estimated fair values and were subject to remeasurement at each consolidated balance sheet date, with changes in fair value recognized as a component of net income. As of December 31, 2018, the fair values of the convertible preferred stock warrants were calculated to be $0.7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jc w:val="both"/>
        <w:ind w:firstLine="761"/>
        <w:spacing w:after="0" w:line="276" w:lineRule="auto"/>
        <w:rPr>
          <w:sz w:val="20"/>
          <w:szCs w:val="20"/>
          <w:color w:val="auto"/>
        </w:rPr>
      </w:pPr>
      <w:r>
        <w:rPr>
          <w:rFonts w:ascii="Arial" w:cs="Arial" w:eastAsia="Arial" w:hAnsi="Arial"/>
          <w:sz w:val="17"/>
          <w:szCs w:val="17"/>
          <w:color w:val="auto"/>
        </w:rPr>
        <w:t>Immediately prior to the closing of the Company’s IPO, the redeemable convertible preferred stock warrants automatically converted to common stock warrants, and were reclassified as common stock warrants. As a result of the automatic conversion of the redeemable convertible preferred stock warrants to common stock warrants, the Company revalued the redeemable convertible preferred stock warrants as of the completion of the IPO and reclassified the outstanding preferred stock warrant liability balance to additional paid-in capital with no further remeasurements as the common stock warrants are now deemed permanent equity. The fair value transferred to additional paid-in capital was $2.1 million.</w:t>
      </w:r>
    </w:p>
    <w:p>
      <w:pPr>
        <w:spacing w:after="0" w:line="146"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Subsequent to the conversion to a common stock warrant and before the end of the Company’s second quarter ended June 30, 2019, the common stock warrant for 22,489 shares was exercised. As a result, the Company issued 19,069 shares of common stock as the contract allows a net share settlement. As of September 30, 2019, the common stock warrant for 62,096 shares was still outstanding.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Common Stock Warrants</w:t>
      </w:r>
    </w:p>
    <w:p>
      <w:pPr>
        <w:spacing w:after="0" w:line="189" w:lineRule="exact"/>
        <w:rPr>
          <w:sz w:val="20"/>
          <w:szCs w:val="20"/>
          <w:color w:val="auto"/>
        </w:rPr>
      </w:pPr>
    </w:p>
    <w:p>
      <w:pPr>
        <w:jc w:val="both"/>
        <w:ind w:firstLine="761"/>
        <w:spacing w:after="0" w:line="302" w:lineRule="auto"/>
        <w:rPr>
          <w:sz w:val="20"/>
          <w:szCs w:val="20"/>
          <w:color w:val="auto"/>
        </w:rPr>
      </w:pPr>
      <w:r>
        <w:rPr>
          <w:rFonts w:ascii="Arial" w:cs="Arial" w:eastAsia="Arial" w:hAnsi="Arial"/>
          <w:sz w:val="16"/>
          <w:szCs w:val="16"/>
          <w:color w:val="auto"/>
        </w:rPr>
        <w:t>In connection with the sale of Series A redeemable convertible preferred stock in August 2011, the Company issued a warrant to purchase 188,643 shares of common stock to an investor who purchased Series A redeemable convertible preferred stock in August 2011 at an exercise price of $0.04 per share. The Company recorded the issuance-date fair value of the warrant of $0.1 million in equity as the warrant met all criteria for equity classification. The common stock warrant was exercised in June 2019 prior to the Company’s IPO and is no longer outstanding as of September 30, 2019.</w:t>
      </w:r>
    </w:p>
    <w:p>
      <w:pPr>
        <w:spacing w:after="0" w:line="127"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In connection with the Growth Capital Loan agreement (see Note 6), the Company issued a warrant to purchase 65,502 shares of common stock to the lender at an exercise price of $9.16 per share. The Company recorded the issuance-date fair value of the warrant of $0.6 million in equity as the warrant met all criteria for equity classification. The warrant is still outstanding as of September 30,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85" w:lineRule="exact"/>
        <w:rPr>
          <w:sz w:val="20"/>
          <w:szCs w:val="20"/>
          <w:color w:val="auto"/>
        </w:rPr>
      </w:pPr>
    </w:p>
    <w:p>
      <w:pPr>
        <w:jc w:val="both"/>
        <w:ind w:firstLine="761"/>
        <w:spacing w:after="0" w:line="290" w:lineRule="auto"/>
        <w:rPr>
          <w:sz w:val="20"/>
          <w:szCs w:val="20"/>
          <w:color w:val="auto"/>
        </w:rPr>
      </w:pPr>
      <w:r>
        <w:rPr>
          <w:rFonts w:ascii="Arial" w:cs="Arial" w:eastAsia="Arial" w:hAnsi="Arial"/>
          <w:sz w:val="16"/>
          <w:szCs w:val="16"/>
          <w:color w:val="auto"/>
        </w:rPr>
        <w:t>The Company is subject to claims and assessments from time to time in the ordinary course of business. Accruals for litigation and contingencies are reflected in the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As of December 31, 2018 and September 30, 2019, the Company was not involved in any material legal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85"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13. Net Loss per Share Attributable to Common Stockholders</w:t>
      </w:r>
    </w:p>
    <w:p>
      <w:pPr>
        <w:spacing w:after="0" w:line="189" w:lineRule="exact"/>
        <w:rPr>
          <w:sz w:val="20"/>
          <w:szCs w:val="20"/>
          <w:color w:val="auto"/>
        </w:rPr>
      </w:pPr>
    </w:p>
    <w:p>
      <w:pPr>
        <w:jc w:val="both"/>
        <w:ind w:right="20" w:firstLine="761"/>
        <w:spacing w:after="0" w:line="259" w:lineRule="auto"/>
        <w:rPr>
          <w:sz w:val="20"/>
          <w:szCs w:val="20"/>
          <w:color w:val="auto"/>
        </w:rPr>
      </w:pPr>
      <w:r>
        <w:rPr>
          <w:rFonts w:ascii="Arial" w:cs="Arial" w:eastAsia="Arial" w:hAnsi="Arial"/>
          <w:sz w:val="18"/>
          <w:szCs w:val="18"/>
          <w:color w:val="auto"/>
        </w:rPr>
        <w:t>Basic net loss per share is computed by dividing the net loss by the weighted-average number of common shares outstanding for the period. Because the Company reported a net loss for the three and nine months ended September 30, 2019 and 2018, the number of shares used to calculate diluted net loss per common share is the same as the number of shares used to calculate basic net loss per common share for those periods presented because the potentially dilutive shares would have been antidilutive if included in the calculation.</w:t>
      </w:r>
    </w:p>
    <w:p>
      <w:pPr>
        <w:spacing w:after="0" w:line="160"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2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56"/>
        </w:trPr>
        <w:tc>
          <w:tcPr>
            <w:tcW w:w="59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(6,885)</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(3,641)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(18,439)</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(16,331)</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Weighted-average shares outstanding</w:t>
            </w:r>
          </w:p>
        </w:tc>
        <w:tc>
          <w:tcPr>
            <w:tcW w:w="1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31,134,009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3,065,386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13,614,087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3,063,418</w:t>
            </w: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weighted-average shares subject to repurchase</w:t>
            </w: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w:t>
            </w:r>
          </w:p>
        </w:tc>
      </w:tr>
      <w:tr>
        <w:trPr>
          <w:trHeight w:val="209"/>
        </w:trPr>
        <w:tc>
          <w:tcPr>
            <w:tcW w:w="5960" w:type="dxa"/>
            <w:vAlign w:val="bottom"/>
          </w:tcPr>
          <w:p>
            <w:pPr>
              <w:ind w:left="260"/>
              <w:spacing w:after="0"/>
              <w:rPr>
                <w:sz w:val="20"/>
                <w:szCs w:val="20"/>
                <w:color w:val="auto"/>
              </w:rPr>
            </w:pPr>
            <w:r>
              <w:rPr>
                <w:rFonts w:ascii="Arial" w:cs="Arial" w:eastAsia="Arial" w:hAnsi="Arial"/>
                <w:sz w:val="18"/>
                <w:szCs w:val="18"/>
                <w:color w:val="auto"/>
                <w:w w:val="94"/>
              </w:rPr>
              <w:t>Weighted-average shares outstanding used in computing net loss per share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attributable to common stockholders — basic and diluted</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31,133,683</w:t>
            </w:r>
          </w:p>
        </w:tc>
        <w:tc>
          <w:tcPr>
            <w:tcW w:w="1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3,065,256</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13,613,444</w:t>
            </w:r>
          </w:p>
        </w:tc>
        <w:tc>
          <w:tcPr>
            <w:tcW w:w="1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3,062,464</w:t>
            </w: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Net loss per share attributable to common stockholders — basic and diluted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78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8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60" w:type="dxa"/>
            <w:vAlign w:val="bottom"/>
            <w:tcBorders>
              <w:bottom w:val="single" w:sz="8" w:color="CFF0FC"/>
            </w:tcBorders>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14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18,474,742</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18,474,742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Common stock warrants</w:t>
            </w:r>
          </w:p>
        </w:tc>
        <w:tc>
          <w:tcPr>
            <w:tcW w:w="2640" w:type="dxa"/>
            <w:vAlign w:val="bottom"/>
            <w:gridSpan w:val="2"/>
          </w:tcPr>
          <w:p>
            <w:pPr>
              <w:jc w:val="right"/>
              <w:ind w:right="36"/>
              <w:spacing w:after="0"/>
              <w:rPr>
                <w:sz w:val="20"/>
                <w:szCs w:val="20"/>
                <w:color w:val="auto"/>
              </w:rPr>
            </w:pPr>
            <w:r>
              <w:rPr>
                <w:rFonts w:ascii="Arial" w:cs="Arial" w:eastAsia="Arial" w:hAnsi="Arial"/>
                <w:sz w:val="18"/>
                <w:szCs w:val="18"/>
                <w:color w:val="auto"/>
              </w:rPr>
              <w:t>127,598</w:t>
            </w:r>
          </w:p>
        </w:tc>
        <w:tc>
          <w:tcPr>
            <w:tcW w:w="140" w:type="dxa"/>
            <w:vAlign w:val="bottom"/>
          </w:tcPr>
          <w:p>
            <w:pPr>
              <w:spacing w:after="0"/>
              <w:rPr>
                <w:sz w:val="19"/>
                <w:szCs w:val="19"/>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188,643</w:t>
            </w:r>
          </w:p>
        </w:tc>
        <w:tc>
          <w:tcPr>
            <w:tcW w:w="12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127,598</w:t>
            </w:r>
          </w:p>
        </w:tc>
        <w:tc>
          <w:tcPr>
            <w:tcW w:w="14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188,643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Series B preferred stock warrant</w:t>
            </w:r>
          </w:p>
        </w:tc>
        <w:tc>
          <w:tcPr>
            <w:tcW w:w="14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22,489</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Series C preferred stock warrant</w:t>
            </w:r>
          </w:p>
        </w:tc>
        <w:tc>
          <w:tcPr>
            <w:tcW w:w="140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31,048</w:t>
            </w:r>
          </w:p>
        </w:tc>
        <w:tc>
          <w:tcPr>
            <w:tcW w:w="12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31,048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264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4,678,176</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3,423,123</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4,678,176</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3,423,123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Unvested early exercised common stock options</w:t>
            </w:r>
          </w:p>
        </w:tc>
        <w:tc>
          <w:tcPr>
            <w:tcW w:w="2640" w:type="dxa"/>
            <w:vAlign w:val="bottom"/>
            <w:gridSpan w:val="2"/>
          </w:tcPr>
          <w:p>
            <w:pPr>
              <w:jc w:val="right"/>
              <w:ind w:right="36"/>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264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55,110</w:t>
            </w: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55,110</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4,860,962</w:t>
            </w:r>
          </w:p>
        </w:tc>
        <w:tc>
          <w:tcPr>
            <w:tcW w:w="1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22,140,045</w:t>
            </w: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4,860,962</w:t>
            </w:r>
          </w:p>
        </w:tc>
        <w:tc>
          <w:tcPr>
            <w:tcW w:w="1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22,140,045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00" w:type="dxa"/>
            <w:vAlign w:val="bottom"/>
            <w:vMerge w:val="restart"/>
          </w:tcPr>
          <w:p>
            <w:pPr>
              <w:jc w:val="right"/>
              <w:ind w:right="70"/>
              <w:spacing w:after="0"/>
              <w:rPr>
                <w:sz w:val="20"/>
                <w:szCs w:val="20"/>
                <w:color w:val="auto"/>
              </w:rPr>
            </w:pPr>
            <w:r>
              <w:rPr>
                <w:rFonts w:ascii="Arial" w:cs="Arial" w:eastAsia="Arial" w:hAnsi="Arial"/>
                <w:sz w:val="18"/>
                <w:szCs w:val="18"/>
                <w:color w:val="auto"/>
              </w:rPr>
              <w:t>25</w:t>
            </w: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6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ind w:firstLine="761"/>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elsewhere in this Quarterly Report on Form 10-Q and our final prospectus filed with the Securities and Exchange Commission (the “SEC”) pursuant to Rule 424(b) under the Securities Act of 1933, as amended, on June 20, 2019 (the “Prospectus”).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“Special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 and in our Prospectus.</w:t>
      </w:r>
    </w:p>
    <w:p>
      <w:pPr>
        <w:spacing w:after="0" w:line="139"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i w:val="1"/>
          <w:iCs w:val="1"/>
          <w:color w:val="auto"/>
        </w:rPr>
        <w:t>This Quarterly Report on Form 10-Q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Quarterly Report on Form 10-Q is also based on our internal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761"/>
        <w:spacing w:after="0" w:line="288" w:lineRule="auto"/>
        <w:rPr>
          <w:sz w:val="20"/>
          <w:szCs w:val="20"/>
          <w:color w:val="auto"/>
        </w:rPr>
      </w:pPr>
      <w:r>
        <w:rPr>
          <w:rFonts w:ascii="Arial" w:cs="Arial" w:eastAsia="Arial" w:hAnsi="Arial"/>
          <w:sz w:val="16"/>
          <w:szCs w:val="16"/>
          <w:color w:val="auto"/>
        </w:rPr>
        <w:t>We are a growing cancer genomics company transforming the development of next-generation therapies by providing more comprehensive molecular data about each patient’s cancer and immune response. We designed our NeXT Platform to adapt to the complex and evolving understanding of cancer, providing our biopharmaceutical customers with information on all of the approximately 20,000 human genes, together with the immune system, in contrast to many cancer panels that cover roughly 50 to 500 genes. We are also developing a complementary liquid biopsy assay that analyzes all human genes versus the more narrowly focused liquid biopsy assays that are currently available. By combining technological innovation, operational scale, and regulatory differentiation, our NeXT Platform is designed to help our customers obtain new insights into the mechanisms of response and resistance to therapy as well as new potential therapeutic targets. Our platform enhances the ability of biopharmaceutical companies to unlock the potential of conducting translational research in the clinic rather than with pre-clinical animal models or cancer cell lines. We are also planning to release a diagnostic based on our NeXT Platform that we envision being used initially by biopharmaceutical customers and clinical collaborators. Since inception, we have provided our services to more than 47 biopharmaceutical customers, including several of the largest pharmaceutical companies in the world.</w:t>
      </w:r>
    </w:p>
    <w:p>
      <w:pPr>
        <w:spacing w:after="0" w:line="142"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We have focused on human genome sequencing since our inception in 2011. In 2013, we introduced our patented ACE Exome technology, providing enhanced and more complete coverage over all of the approximately 20,000 human genes. The superior performance of ACE Exome technology compared to other exomes was described in Genome Medicine and Nature Review publications.</w:t>
      </w:r>
    </w:p>
    <w:p>
      <w:pPr>
        <w:spacing w:after="0" w:line="141"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In November 2016, we launched our ACE ImmunoID product, the first generation of our immuno-oncology genomics platform that combined our ACE exome and transcriptome technology with analytics to provide a more comprehensive tumor profiling solution for biopharma customers conducting cancer clinical trials and translational research. With ACE ImmunoID for Personalized Cancer Therapy, we further enhanced the platform for personalized cancer therapy customers with additional neoantigen analytics, improved turnaround times, and access to a Device Master File that we filed with the U.S. Food and Drug Administration. With the ACE ImmunoID for Biomarkers, we extended the platform further with ImmunogenomicsID, a broad immunogenomics biomarker analysis engine. In November 2018, we announced ImmunoID NeXT, our universal cancer immunogenomics platform, which is the first technology to enable comprehensive analysis of both a tumor and its immune microenvironment from a single sample and provides utility across immuno-oncology, targeted, and personalized therapies. We are currently commercializing ImmunoID NeXT.</w:t>
      </w:r>
    </w:p>
    <w:p>
      <w:pPr>
        <w:spacing w:after="0" w:line="138"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In parallel with the work described above, we also developed multiple clinical diagnostic tests. Clinical diagnostic testing has remained a small portion of our business, primarily because we have elected not to expend the time and resources necessary to secure third-party reimbursement, choosing instead to pursue more immediate revenue opportunities. Nevertheless, it has helped us to develop important capabilities that do not depend on third-party reimbursement. In June 2015, we launched our ACE CancerPlus Test based on a 1,400-gene panel. We plan to build on this experience in 2019 by introducing a clinical diagnostic test based on our ImmunoID NeXT Platform, which will include all of the approximately 20,000 human genes and will be targeted initially to biopharmaceutical customers.</w:t>
      </w:r>
    </w:p>
    <w:p>
      <w:pPr>
        <w:spacing w:after="0" w:line="166"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In parallel with the development of our platform technology, we have also provided DNA sequencing and analysis services under contract with the U.S. Department of Veterans Affairs (the “VA”) Million Veteran Program (the “VA MVP”), beginning in 2012. This relationship with the VA MVP has enabled us to innovate, scale our operational infrastructure, and achieve greater efficiencies in our lab. Our customers include large-cap pharmaceutical companies, emerging biotechnology companies, universities, non-profit medical research institutes, and government entities. In September 2019, we announced receipt of a new $38.1 million task order from the VA MVP.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sets forth, for the periods presented, certain unaudited condensed consolidated statements of operations information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6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17,153</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11,654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47,053</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24,617</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of revenues</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11,524</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7,173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31,538</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17,641</w:t>
            </w: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5,303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3,574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15,045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10,023</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6,056</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2,658</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15,692</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7,575</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22,883</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13,405</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62,275</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35,239</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(5,730)</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(15,222)</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(10,622)</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756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1,040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Loss on debt extinguishment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(4,658)</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(6,884)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(18,434)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(16,326)</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(6,885)</w:t>
            </w:r>
          </w:p>
        </w:tc>
        <w:tc>
          <w:tcPr>
            <w:tcW w:w="14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(18,439)</w:t>
            </w:r>
          </w:p>
        </w:tc>
        <w:tc>
          <w:tcPr>
            <w:tcW w:w="1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(16,331)</w:t>
            </w: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9"/>
              </w:rPr>
              <w:t>31,133,683</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2"/>
              </w:rPr>
              <w:t>3,065,256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13,613,444</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4"/>
              </w:rPr>
              <w:t>3,062,464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2019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Comparison of the Three Months Ended September 30, 2019 and 2018</w:t>
      </w:r>
    </w:p>
    <w:p>
      <w:pPr>
        <w:spacing w:after="0" w:line="22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Revenues were $17.2 million for the three months ended September 30, 2019 compared to $11.7 million for the three months ended September 30, 2018, an increase of $5.5 million, or 47%. This increase was primarily due to an increase in revenues from the VA MVP, which increased $6.4 million, or 98%, and was partially offset by a decrease of $0.9 million in revenues from all other customers, when compared to the three months ended September 30, 2018. The increase in revenues from the VA MVP was driven by an increase in the volume of samples we tested in the three months ended September 30, 2019, partially offset by lower prices per sample. The decrease in revenues from all other customers in the third quarter of 2019 was primarily driven by the receipt of relatively large orders from pharmaceutical customers in early 2018 that were fulfilled beginning around the second quarter of 2018 through the second quarter of 2019.</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Comparison of the Nine Months Ended September 30, 2019 and 2018</w:t>
      </w:r>
    </w:p>
    <w:p>
      <w:pPr>
        <w:spacing w:after="0" w:line="225"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Revenues were $47.0 million for the nine months ended September 30, 2019 compared to $24.6 million for the nine months ended September 30, 2018, an increase of $22.5 million, or 91%. This increase was primarily due to an increase in revenues from the VA MVP, which increased $17.3 million, or 139%, when compared to the nine months ended September 30, 2018. Revenues from all other customers increased $5.1 million, or 42%, when compared to the nine months ended September 30, 2018. The increase in revenues from the VA MVP was driven by an increase in the volume of samples we tested in the period, partially offset by lower prices per sample. The increase in revenues from all other customers was primarily due to an increase in the volume of samples we tested in relation to the sequencing and data analysis services we provided to our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Comparison of the Three Months Ended September 30, 2019 and 2018</w:t>
      </w:r>
    </w:p>
    <w:p>
      <w:pPr>
        <w:spacing w:after="0" w:line="22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Costs of revenues were $11.5 million for the three months ended September 30, 2019 compared to $7.2 million for the three months ended September 30, 2018, an increase of $4.3 million, or 60%. This increase was primarily due to the increase in revenues discussed above. The cost components related to the increase in costs of revenues were an increase in production materials of $3.0 million, an increase related to personnel costs including salaries, bonuses, benefits, and stock-based compensation expenses of $0.5 million, an increase in depreciation, service maintenance on capitalized equipment, and the cost of expensed equipment of $0.4 million, an increase in the consumption cost of consumables and laboratory supplies of $0.2 million, and an increase in IT and facility costs of $0.2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ind w:left="760"/>
        <w:spacing w:after="0"/>
        <w:rPr>
          <w:sz w:val="20"/>
          <w:szCs w:val="20"/>
          <w:color w:val="auto"/>
        </w:rPr>
      </w:pPr>
      <w:r>
        <w:rPr>
          <w:rFonts w:ascii="Arial" w:cs="Arial" w:eastAsia="Arial" w:hAnsi="Arial"/>
          <w:sz w:val="18"/>
          <w:szCs w:val="18"/>
          <w:i w:val="1"/>
          <w:iCs w:val="1"/>
          <w:color w:val="auto"/>
        </w:rPr>
        <w:t>Comparison of the Nine Months Ended September 30, 2019 and 2018</w:t>
      </w:r>
    </w:p>
    <w:p>
      <w:pPr>
        <w:spacing w:after="0" w:line="22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Costs of revenues were $31.5 million for the nine months ended September 30, 2019 compared to $17.6 million for the nine months ended September 30, 2018, an increase of $13.9 million, or 79%. This increase was primarily due to the increase in revenues discussed above. The cost components related to the increase in costs of revenues were an increase in production materials of $9.2 million, an increase related to personnel costs including salaries, bonuses, benefits, and stock-based compensation expenses of $1.8 million, an increase in depreciation, service maintenance on capitalized equipment, and the cost of expensed equipment of $1.5 million, an increase in the consumption cost of consumables and laboratory supplies of $0.7 million, and an increase in IT and facility costs of $0.7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Comparison of the Three Months Ended September 30, 2019 and 2018</w:t>
      </w:r>
    </w:p>
    <w:p>
      <w:pPr>
        <w:spacing w:after="0" w:line="225"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Research and development expenses were $5.3 million for the three months ended September 30, 2019 compared to $3.6 million for the three months ended September 30, 2018, an increase of $1.7 million, or 47%. This was primarily due to increased development activities for new product offerings, lab and automation development costs, and IT and facility costs. Research and development expenses increased due to an increase of $0.9 million in personnel-related expenses, including salaries, bonuses, benefits, and stock-based compensation expenses, a $0.6 million increase in laboratory and automation supplies consumed and equipment, and $0.2 million increase in other costs.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Comparison of the Nine Months Ended September 30, 2019 and 2018</w:t>
      </w:r>
    </w:p>
    <w:p>
      <w:pPr>
        <w:spacing w:after="0" w:line="22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Research and development expenses were $15.0 million for the nine months ended September 30, 2019 compared to $10.0 million for the nine months ended September 30, 2018, an increase of $5.0 million, or 50%. This was primarily due to increased development activities for new product offerings, lab and automation development costs, and IT and facility costs. Research and development expenses increased due to an increase of $2.5 million in personnel-related expenses, including salaries, bonuses, benefits, and stock-based compensation expenses, a $1.6 million increase in laboratory and automation supplies consumed, a $0.8 million increase in depreciation, service maintenance on capitalized equipment, and cost of expensed equipment, and $0.1 million increase in other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Comparison of the Three Months Ended September 30, 2019 and 2018</w:t>
      </w:r>
    </w:p>
    <w:p>
      <w:pPr>
        <w:spacing w:after="0" w:line="225" w:lineRule="exact"/>
        <w:rPr>
          <w:sz w:val="20"/>
          <w:szCs w:val="20"/>
          <w:color w:val="auto"/>
        </w:rPr>
      </w:pPr>
    </w:p>
    <w:p>
      <w:pPr>
        <w:jc w:val="both"/>
        <w:ind w:firstLine="761"/>
        <w:spacing w:after="0" w:line="302" w:lineRule="auto"/>
        <w:rPr>
          <w:sz w:val="20"/>
          <w:szCs w:val="20"/>
          <w:color w:val="auto"/>
        </w:rPr>
      </w:pPr>
      <w:r>
        <w:rPr>
          <w:rFonts w:ascii="Arial" w:cs="Arial" w:eastAsia="Arial" w:hAnsi="Arial"/>
          <w:sz w:val="16"/>
          <w:szCs w:val="16"/>
          <w:color w:val="auto"/>
        </w:rPr>
        <w:t>Selling, general, and administrative expenses were $6.1 million for the three months ended September 30, 2019 compared to $2.7 million for the three months ended September 30, 2018, an increase of $3.4 million, or 126%. Selling, general, and administrative expenses increased due to a $2.0 million increase in personnel-related expenses including salaries, bonuses, benefits, and stock-based compensation expenses primarily related to increased headcount, a $1.1 million increase in professional services primarily related to public company-related costs, and a $0.3 million increase in other costs.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Comparison of the Nine Months Ended September 30, 2019 and 2018</w:t>
      </w:r>
    </w:p>
    <w:p>
      <w:pPr>
        <w:spacing w:after="0" w:line="225" w:lineRule="exact"/>
        <w:rPr>
          <w:sz w:val="20"/>
          <w:szCs w:val="20"/>
          <w:color w:val="auto"/>
        </w:rPr>
      </w:pPr>
    </w:p>
    <w:p>
      <w:pPr>
        <w:jc w:val="both"/>
        <w:ind w:firstLine="761"/>
        <w:spacing w:after="0" w:line="302" w:lineRule="auto"/>
        <w:rPr>
          <w:sz w:val="20"/>
          <w:szCs w:val="20"/>
          <w:color w:val="auto"/>
        </w:rPr>
      </w:pPr>
      <w:r>
        <w:rPr>
          <w:rFonts w:ascii="Arial" w:cs="Arial" w:eastAsia="Arial" w:hAnsi="Arial"/>
          <w:sz w:val="16"/>
          <w:szCs w:val="16"/>
          <w:color w:val="auto"/>
        </w:rPr>
        <w:t>Selling, general, and administrative expenses were $15.7 million for the nine months ended September 30, 2019 compared to $7.6 million for the nine months ended September 30, 2018, an increase of $8.1 million, or 107%. Selling, general, and administrative expenses increased due to a $5.0 million increase in personnel-related expenses including salaries, bonuses, benefits, and stock-based compensation expenses primarily related to increased headcount, a $2.4 million increase in professional services primarily related to public company-related costs, and a $0.7 million increase in other costs.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1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gridSpan w:val="5"/>
          </w:tcPr>
          <w:p>
            <w:pPr>
              <w:jc w:val="right"/>
              <w:ind w:right="694"/>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w w:val="96"/>
              </w:rPr>
              <w:t>September 30,</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8"/>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2018</w:t>
            </w:r>
          </w:p>
        </w:tc>
      </w:tr>
      <w:tr>
        <w:trPr>
          <w:trHeight w:val="156"/>
        </w:trPr>
        <w:tc>
          <w:tcPr>
            <w:tcW w:w="5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15"/>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Changes in fair values of warrants for Series B and Series C convertible</w:t>
            </w: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w:t>
            </w: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2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Changes in fair value of the compound derivative instrument</w:t>
            </w:r>
          </w:p>
        </w:tc>
        <w:tc>
          <w:tcPr>
            <w:tcW w:w="76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574</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Total other (expense) income, net</w:t>
            </w:r>
          </w:p>
        </w:tc>
        <w:tc>
          <w:tcPr>
            <w:tcW w:w="7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389</w:t>
            </w:r>
          </w:p>
        </w:tc>
      </w:tr>
      <w:tr>
        <w:trPr>
          <w:trHeight w:val="20"/>
        </w:trPr>
        <w:tc>
          <w:tcPr>
            <w:tcW w:w="5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Comparison of the Three Months Ended September 30, 2019 and 2018</w:t>
      </w:r>
    </w:p>
    <w:p>
      <w:pPr>
        <w:spacing w:after="0" w:line="225"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Our other expenses, net for the three months ended September 30, 2019 was not significant, compared to other expenses, net of $0.2 million for the three months ended September 30, 2018. Other expenses, net in the three months ended September 30, 2018 was primarily comprised of a $0.2 million increase in the fair values of warrants for Series B and Series C redeemable convertible preferred stock.</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Comparison of the Nine Months Ended September 30, 2019 and 2018</w:t>
      </w:r>
    </w:p>
    <w:p>
      <w:pPr>
        <w:spacing w:after="0" w:line="225"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We had other expenses, net of $1.4 million for the nine months ended September 30, 2019, compared to other income, net of $0.4 million for the nine months ended September 30, 2018. Other expenses, net in the nine months ended September 30, 2019 were primarily comprised of a $1.4 million increase in the fair values of warrants for Series B and Series C redeemable convertible preferred stock. Other income, net in the nine months ended September 30, 2018 was primarily comprised of a $0.6 million decrease in fair value of the compound derivative instrument, partially offset by a $0.2 million increase in the fair values of warrants for Series B and Series C redeemable convertible preferred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From our inception through September 30, 2019, we have funded our operations primarily from the issuance of redeemable convertible preferred stock, cash from operations, debt financing, and proceeds from our initial public offering (“IPO”). On March 22, 2019, we received $20.0 million in gross cash proceeds from a growth capital loan described below. On June 24, 2019, we closed our IPO, whereby we sold 9,109,725 shares of common stock at a price of $17.00 per share. The shares began trading on the Nasdaq Global Market on June 20, 2019. The net proceeds received by us from the IPO were $144.0 million, net of underwriting discounts and commissions. We incurred $4.2 million in costs directly related to the offering, $3.9 million of which was paid during the nine months ended September 30, 2019. As of September 30, 2019, we had cash and cash equivalents and marketable securities in the amount of $127.3 million.</w:t>
      </w:r>
    </w:p>
    <w:p>
      <w:pPr>
        <w:spacing w:after="0" w:line="189"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We anticipate that our current cash and cash equivalents and marketable securities, together with cash provided by operating activities are sufficient to fund our near-term capital and operating needs for at least the next 12 months.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In September 2014, we entered into a loan and security agreement with a bank to borrow up to $3.0 million under an equipment loan secured by the equipment financed (the “Term Loan”). On October 3, 2014, we borrowed $2.4 million under the Term Loan. The Term Loan required 12 interest-only payments, followed by 36 equal monthly installments of principal, plus interest, which began on October 3, 2015.</w:t>
      </w:r>
    </w:p>
    <w:p>
      <w:pPr>
        <w:spacing w:after="0" w:line="181" w:lineRule="exact"/>
        <w:rPr>
          <w:sz w:val="20"/>
          <w:szCs w:val="20"/>
          <w:color w:val="auto"/>
        </w:rPr>
      </w:pPr>
    </w:p>
    <w:p>
      <w:pPr>
        <w:jc w:val="both"/>
        <w:ind w:firstLine="761"/>
        <w:spacing w:after="0" w:line="342" w:lineRule="auto"/>
        <w:rPr>
          <w:sz w:val="20"/>
          <w:szCs w:val="20"/>
          <w:color w:val="auto"/>
        </w:rPr>
      </w:pPr>
      <w:r>
        <w:rPr>
          <w:rFonts w:ascii="Arial" w:cs="Arial" w:eastAsia="Arial" w:hAnsi="Arial"/>
          <w:sz w:val="16"/>
          <w:szCs w:val="16"/>
          <w:color w:val="auto"/>
        </w:rPr>
        <w:t>In connection with the Term Loan, we issued a warrant exercisable for ten years to purchase 22,489 shares of our Series B redeemable convertible preferred stock at an exercise price of $4.60 per share. The warrant was exercised in full during our second quarter of 2019 and is no longer outstanding.</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September 30, 2018, the Term Loan was repaid in full.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Revolving Loan</w:t>
      </w:r>
    </w:p>
    <w:p>
      <w:pPr>
        <w:spacing w:after="0" w:line="225" w:lineRule="exact"/>
        <w:rPr>
          <w:sz w:val="20"/>
          <w:szCs w:val="20"/>
          <w:color w:val="auto"/>
        </w:rPr>
      </w:pPr>
    </w:p>
    <w:p>
      <w:pPr>
        <w:jc w:val="both"/>
        <w:ind w:firstLine="761"/>
        <w:spacing w:after="0" w:line="305" w:lineRule="auto"/>
        <w:rPr>
          <w:sz w:val="20"/>
          <w:szCs w:val="20"/>
          <w:color w:val="auto"/>
        </w:rPr>
      </w:pPr>
      <w:r>
        <w:rPr>
          <w:rFonts w:ascii="Arial" w:cs="Arial" w:eastAsia="Arial" w:hAnsi="Arial"/>
          <w:sz w:val="16"/>
          <w:szCs w:val="16"/>
          <w:color w:val="auto"/>
        </w:rPr>
        <w:t>In June 2017, we entered into a $10.0 million revolving loan and security agreement (the “Revolving Loan”) with TriplePoint Capital LLC (“TriplePoint”). Borrowings under the Revolving Loan had an interest rate of prime, plus 6.75%. The Revolving Loan also had a 5.5% end of term loan payment on the highest outstanding principal amount. The Revolving Loan required monthly interest-only payments until the maturity date. The Revolving Loan’s original maturity date was December 31, 2018, and in December 2018, the maturity date was further extended until March 22, 2019. The maturity date of the extension of the Revolving Loan was not deemed substantial; therefore, we accounted for the transaction as a debt modification.</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As of December 31, 2018, our outstanding principal under the Revolving Loan was $5.0 million and $5.0 million was available to borrow.</w:t>
      </w:r>
    </w:p>
    <w:p>
      <w:pPr>
        <w:spacing w:after="0" w:line="237"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In connection with the Revolving Loan, we issued a warrant to purchase up to 62,096 shares of our Series C redeemable convertible preferred stock at an exercise price of $8.052 per share, which was still outstanding as of September 30, 2019.</w:t>
      </w:r>
    </w:p>
    <w:p>
      <w:pPr>
        <w:spacing w:after="0" w:line="170"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 Revolving Loan had an effective interest rate of 19.22% per year. The Revolving Loan interest expense for the three and nine months ended September 30, 2018 was $0.2 million and $0.7 million, respectively. Interest expense for the three and nine months ended September 30, 2019 was not significant.</w:t>
      </w:r>
    </w:p>
    <w:p>
      <w:pPr>
        <w:spacing w:after="0" w:line="181" w:lineRule="exact"/>
        <w:rPr>
          <w:sz w:val="20"/>
          <w:szCs w:val="20"/>
          <w:color w:val="auto"/>
        </w:rPr>
      </w:pPr>
    </w:p>
    <w:p>
      <w:pPr>
        <w:jc w:val="both"/>
        <w:ind w:firstLine="761"/>
        <w:spacing w:after="0" w:line="342" w:lineRule="auto"/>
        <w:rPr>
          <w:sz w:val="20"/>
          <w:szCs w:val="20"/>
          <w:color w:val="auto"/>
        </w:rPr>
      </w:pPr>
      <w:r>
        <w:rPr>
          <w:rFonts w:ascii="Arial" w:cs="Arial" w:eastAsia="Arial" w:hAnsi="Arial"/>
          <w:sz w:val="16"/>
          <w:szCs w:val="16"/>
          <w:color w:val="auto"/>
        </w:rPr>
        <w:t>In March 2019, we entered into an amendment to the Revolving Loan with TriplePoint that provided for a $20.0 million growth capital loan facility (the “Growth Capital Loan”). In March 2019, we used $5.3 million of the Growth Capital Loan to repay all amounts owing in respect of the Revolving Loan.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Capital Loan</w:t>
      </w:r>
    </w:p>
    <w:p>
      <w:pPr>
        <w:spacing w:after="0" w:line="225" w:lineRule="exact"/>
        <w:rPr>
          <w:sz w:val="20"/>
          <w:szCs w:val="20"/>
          <w:color w:val="auto"/>
        </w:rPr>
      </w:pPr>
    </w:p>
    <w:p>
      <w:pPr>
        <w:jc w:val="both"/>
        <w:ind w:firstLine="761"/>
        <w:spacing w:after="0" w:line="253" w:lineRule="auto"/>
        <w:rPr>
          <w:sz w:val="20"/>
          <w:szCs w:val="20"/>
          <w:color w:val="auto"/>
        </w:rPr>
      </w:pPr>
      <w:r>
        <w:rPr>
          <w:rFonts w:ascii="Arial" w:cs="Arial" w:eastAsia="Arial" w:hAnsi="Arial"/>
          <w:sz w:val="18"/>
          <w:szCs w:val="18"/>
          <w:color w:val="auto"/>
        </w:rPr>
        <w:t>On March 22, 2019, we entered into the Growth Capital Loan with TriplePoint to provide for a $20.0 million growth capital loan facility and as of June 30, 2019, had drawn down the full $20.0 million available under the facility. We used $5.3 million of the Growth Capital Loan to repay, in its entirety, all amounts outstanding under the Revolving Loan. Borrowings under the Growth Capital Loan bore interest at a floating rate of prime rate plus 5.00% for borrowings up to $15.0 million and the prime rate plus 6.50% for borrowings greater than $15.0 million. Under the agreement, we were required to make monthly interest-only payments through April 1, 2020 and were required to make 36 equal monthly payments of principal, plus accrued interest, from April 1, 2020 through March 1, 2023, when all unpaid principal and interest was to become due and payable. The agreement allowed us to voluntarily prepay all, but not part, of the outstanding principal at any time prior to the maturity date, subject to a prepayment fee of 1.00% of the outstanding balance, if prepaid in months one through 12 of the loan term. In addition to the final payment, we paid an amount equal to 2.75% of each principal amount drawn under this Growth Capital Loan.</w:t>
      </w:r>
    </w:p>
    <w:p>
      <w:pPr>
        <w:spacing w:after="0" w:line="197"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In connection with the Growth Capital Loan, we issued a warrant to purchase 65,502 shares of common stock to the lender at an exercise price of $9.16 per share. We recorded the issuance-date fair value of the warrant of $0.6 million and fees paid to the lender of $0.3 million as a debt discount, which was amortized over the term of the Growth Capital Loan using the effective interest rate method.</w:t>
      </w:r>
    </w:p>
    <w:p>
      <w:pPr>
        <w:spacing w:after="0" w:line="181"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Upon issuance, the Growth Capital Loan had an effective interest rate of 15.23% per year. Interest expense for the three and nine months ended September 30, 2019 was $0.3 million and $1.0 million, respectively.</w:t>
      </w:r>
    </w:p>
    <w:p>
      <w:pPr>
        <w:spacing w:after="0" w:line="170"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On August 14, 2019, we paid off the Growth Capital Loan in its entirety. In connection with this debt repayment, we recognized a $1.7 million loss on debt extinguishment in our consolidated statements of operations. The warrant to purchase 65,502 shares of our common stock remains outstanding as of September 30, 2019.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jc w:val="both"/>
        <w:ind w:firstLine="761"/>
        <w:spacing w:after="0" w:line="288" w:lineRule="auto"/>
        <w:rPr>
          <w:sz w:val="20"/>
          <w:szCs w:val="20"/>
          <w:color w:val="auto"/>
        </w:rPr>
      </w:pPr>
      <w:r>
        <w:rPr>
          <w:rFonts w:ascii="Arial" w:cs="Arial" w:eastAsia="Arial" w:hAnsi="Arial"/>
          <w:sz w:val="16"/>
          <w:szCs w:val="16"/>
          <w:color w:val="auto"/>
        </w:rPr>
        <w:t>On June 29, 2017, we entered into a convertible promissory note agreement with certain existing redeemable convertible preferred stockholders and third parties (collectively, the “Investors”) for the issuance of convertible promissory notes with a face value of $12.2 million (the “Convertible Notes”). Under the terms of the Convertible Notes agreement, the Convertible Notes bear interest of 8.00% per annum, with a maturity date of June 28, 2018. In the event that we issued and sold shares of its equity securities (the “Equity Securities”) to Investors on or before the maturity date in an equity financing with total proceeds to us of not less than $10 million (including the conversion of the Convertible Notes or other convertible securities issued for capital raising purposes) (a “Qualified Financing”), then the outstanding principal amount of the Convertible Notes and any unpaid accrued interest would have automatically converted in whole without any further action by the holder into such Equity Securities sold in the Qualified Financing at a conversion price equal to the price paid per share for Equity Securities by the Investors in the Qualified Financing multiplied by 0.8. If we consummated a change of control while the Convertible Notes remained outstanding, we would have repaid the holders in cash an amount equal to 150% of the outstanding principal amount of the Convertible Notes, plus any unpaid accrued interest on the original principal. The Convertible Notes had customary events of default.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jc w:val="both"/>
        <w:ind w:firstLine="761"/>
        <w:spacing w:after="0" w:line="293" w:lineRule="auto"/>
        <w:rPr>
          <w:sz w:val="20"/>
          <w:szCs w:val="20"/>
          <w:color w:val="auto"/>
        </w:rPr>
      </w:pPr>
      <w:r>
        <w:rPr>
          <w:rFonts w:ascii="Arial" w:cs="Arial" w:eastAsia="Arial" w:hAnsi="Arial"/>
          <w:sz w:val="16"/>
          <w:szCs w:val="16"/>
          <w:color w:val="auto"/>
        </w:rPr>
        <w:t>Certain conversion and redemption features of the Convertible Notes met the requirements for separate accounting and were accounted for as a single, compound derivative instrument. The compound derivative instrument was recorded at fair value at inception and was subject to remeasurement to fair value at each consolidated balance sheet date, with any changes in fair value recognized in the consolidated statements of operations. The estimated fair value of the compound derivative instrument at issuance was recorded as a reduction in the carrying value of the Convertible Notes and as a single compound derivative liability. The Convertible Notes carrying value reduction was accreted using the effective interest method as interest expense over the Convertible Notes contractual period of one year. The Convertible Notes had an effective interest rate of 12.69% per year.</w:t>
      </w:r>
    </w:p>
    <w:p>
      <w:pPr>
        <w:spacing w:after="0" w:line="165" w:lineRule="exact"/>
        <w:rPr>
          <w:sz w:val="20"/>
          <w:szCs w:val="20"/>
          <w:color w:val="auto"/>
        </w:rPr>
      </w:pPr>
    </w:p>
    <w:p>
      <w:pPr>
        <w:jc w:val="both"/>
        <w:ind w:firstLine="761"/>
        <w:spacing w:after="0" w:line="291" w:lineRule="auto"/>
        <w:rPr>
          <w:sz w:val="20"/>
          <w:szCs w:val="20"/>
          <w:color w:val="auto"/>
        </w:rPr>
      </w:pPr>
      <w:r>
        <w:rPr>
          <w:rFonts w:ascii="Arial" w:cs="Arial" w:eastAsia="Arial" w:hAnsi="Arial"/>
          <w:sz w:val="16"/>
          <w:szCs w:val="16"/>
          <w:color w:val="auto"/>
        </w:rPr>
        <w:t xml:space="preserve">On May 31, 2018, the original maturity date for the Convertible Notes was extended to June 28, 2019 (previously June 28, 2018). The maturity date extension was deemed substantial and was accounted for as a debt extinguishment under Accounting Standards Codification (“ASC”) Topic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(“ASC 470”). In connection with the debt extinguishment on May 31, 2018, the fair value of the Convertible Notes was allocated between the carrying amount of the Convertible Notes and accrued interest of $13.1 million, a compound derivative asset of $0.6 million, and an equity component of $3.9 million, which was credited to additional paid-in capital within the consolidated statements of redeemable convertible preferred stock and stockholders’ equity (deficit). The transaction also resulted in a $3.3 million loss recorded as debt extinguishment in our consolidated statements of operations. The new carrying value of the Convertible Notes was accreted using the effective interest method as interest expense over the new contractual period of 1.1 years.</w:t>
      </w:r>
    </w:p>
    <w:p>
      <w:pPr>
        <w:spacing w:after="0" w:line="167"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color w:val="auto"/>
        </w:rPr>
        <w:t>On August 20, 2018, the maturity date for the Convertible Notes was changed to September 20, 2018 (previously June 28, 2019). The term change was deemed substantial and was accounted for as a debt extinguishment under ASC 470. In connection with the debt extinguishment on August 20, 2018, the fair value of the Convertible Notes was allocated between the new carrying amount of the Convertible Notes and accrued interest of $13.4 million, and an equity component of $0.8 million, which resulted in an additional credit to additional paid-in capital. Upon modification, the compound derivative asset was eliminated. The transaction also resulted in a $0.8 million loss recorded as debt extinguishment in our consolidated statements of operations. The new carrying value of the Convertible Notes was accreted using the effective interest method as interest expense over the new contractual period of one month.</w:t>
      </w:r>
    </w:p>
    <w:p>
      <w:pPr>
        <w:spacing w:after="0" w:line="165"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On September 20, 2018, upon the maturity of the Convertible Notes, the carrying amount, including accrued interest of $13.4 million was converted into 1,667,997 shares of our Series C redeemable convertible preferred stock at a conversion price equal to $8.052 per share. No gain or loss was recorded on the conversion.</w:t>
      </w:r>
    </w:p>
    <w:p>
      <w:pPr>
        <w:spacing w:after="0" w:line="181" w:lineRule="exact"/>
        <w:rPr>
          <w:sz w:val="20"/>
          <w:szCs w:val="20"/>
          <w:color w:val="auto"/>
        </w:rPr>
      </w:pPr>
    </w:p>
    <w:p>
      <w:pPr>
        <w:ind w:right="40" w:firstLine="761"/>
        <w:spacing w:after="0" w:line="477" w:lineRule="auto"/>
        <w:rPr>
          <w:sz w:val="20"/>
          <w:szCs w:val="20"/>
          <w:color w:val="auto"/>
        </w:rPr>
      </w:pPr>
      <w:r>
        <w:rPr>
          <w:rFonts w:ascii="Arial" w:cs="Arial" w:eastAsia="Arial" w:hAnsi="Arial"/>
          <w:sz w:val="18"/>
          <w:szCs w:val="18"/>
          <w:color w:val="auto"/>
        </w:rPr>
        <w:t xml:space="preserve">Interest expense on the Convertible Notes for the three and nine months ended September 30, 2018 was $0.2 million and $0.9 million, respectively. </w:t>
      </w:r>
      <w:r>
        <w:rPr>
          <w:rFonts w:ascii="Arial" w:cs="Arial" w:eastAsia="Arial" w:hAnsi="Arial"/>
          <w:sz w:val="18"/>
          <w:szCs w:val="18"/>
          <w:b w:val="1"/>
          <w:bCs w:val="1"/>
          <w:i w:val="1"/>
          <w:iCs w:val="1"/>
          <w:color w:val="auto"/>
        </w:rPr>
        <w:t>Summary Consolidated Statements of Cash Flows</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14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140" w:type="dxa"/>
            <w:vAlign w:val="bottom"/>
            <w:tcBorders>
              <w:bottom w:val="single" w:sz="8" w:color="auto"/>
            </w:tcBorders>
          </w:tcPr>
          <w:p>
            <w:pPr>
              <w:spacing w:after="0"/>
              <w:rPr>
                <w:sz w:val="14"/>
                <w:szCs w:val="14"/>
                <w:color w:val="auto"/>
              </w:rPr>
            </w:pPr>
          </w:p>
        </w:tc>
      </w:tr>
      <w:tr>
        <w:trPr>
          <w:trHeight w:val="156"/>
        </w:trPr>
        <w:tc>
          <w:tcPr>
            <w:tcW w:w="57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94"/>
              <w:spacing w:after="0" w:line="155" w:lineRule="exact"/>
              <w:rPr>
                <w:sz w:val="20"/>
                <w:szCs w:val="20"/>
                <w:color w:val="auto"/>
              </w:rPr>
            </w:pPr>
            <w:r>
              <w:rPr>
                <w:rFonts w:ascii="Arial" w:cs="Arial" w:eastAsia="Arial" w:hAnsi="Arial"/>
                <w:sz w:val="14"/>
                <w:szCs w:val="14"/>
                <w:b w:val="1"/>
                <w:bCs w:val="1"/>
                <w:color w:val="auto"/>
              </w:rPr>
              <w:t>2018</w:t>
            </w:r>
          </w:p>
        </w:tc>
      </w:tr>
      <w:tr>
        <w:trPr>
          <w:trHeight w:val="156"/>
        </w:trPr>
        <w:tc>
          <w:tcPr>
            <w:tcW w:w="57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6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140" w:type="dxa"/>
            <w:vAlign w:val="bottom"/>
          </w:tcPr>
          <w:p>
            <w:pPr>
              <w:spacing w:after="0"/>
              <w:rPr>
                <w:sz w:val="13"/>
                <w:szCs w:val="13"/>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306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w w:val="98"/>
              </w:rPr>
              <w:t>(20,474)</w:t>
            </w:r>
          </w:p>
        </w:tc>
        <w:tc>
          <w:tcPr>
            <w:tcW w:w="6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2,369</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8"/>
                <w:szCs w:val="18"/>
                <w:color w:val="auto"/>
                <w:w w:val="98"/>
              </w:rPr>
              <w:t>(46,731)</w:t>
            </w: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(7,181)</w:t>
            </w: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2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w w:val="89"/>
              </w:rPr>
              <w:t>134,477</w:t>
            </w:r>
          </w:p>
        </w:tc>
        <w:tc>
          <w:tcPr>
            <w:tcW w:w="6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Net Cash (Used in) Provided by Operating Activities</w:t>
      </w:r>
    </w:p>
    <w:p>
      <w:pPr>
        <w:spacing w:after="0" w:line="225"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18"/>
          <w:szCs w:val="18"/>
          <w:color w:val="auto"/>
        </w:rPr>
        <w:t>Net cash used in operating activities during the nine months ended September 30, 2019 was $20.5 million, which resulted from a net loss of $18.4 million and net change in our operating assets and liabilities of $13.1 million, partially offset by non-cash charges of $11.0 million. The net change in our operating assets and liabilities was primarily the result of a $9.2 million decrease in contract liabilities related to customer prepayments, a $3.4 million increase in prepaid expenses and other assets, a $1.2 million increase in inventory and other deferred costs, and a $0.8 million decrease in other long-term liabilities, partially offset by a $1.6 million increase in accounts payable and accrued liabilities. Non-cash charges primarily consisted of $3.7 million of stock-based compensation expense, $3.4 million of depreciation and amortization expense, a $1.7 million loss on debt extinguishment, $1.4 million of change in fair value of convertible preferred stock warrant liability, $0.7 million noncash lease expense, and $0.1 million change in accretion of noncash interest and debt reduction.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jc w:val="both"/>
        <w:ind w:firstLine="761"/>
        <w:spacing w:after="0" w:line="271" w:lineRule="auto"/>
        <w:rPr>
          <w:sz w:val="20"/>
          <w:szCs w:val="20"/>
          <w:color w:val="auto"/>
        </w:rPr>
      </w:pPr>
      <w:r>
        <w:rPr>
          <w:rFonts w:ascii="Arial" w:cs="Arial" w:eastAsia="Arial" w:hAnsi="Arial"/>
          <w:sz w:val="17"/>
          <w:szCs w:val="17"/>
          <w:color w:val="auto"/>
        </w:rPr>
        <w:t>Net cash provided by operating activities during the nine months ended September 30, 2018 was $2.4 million, which resulted from a net loss of $16.3 million, offset by a net change in our operating assets and liabilities of $10.3 million and non-cash charges of $8.4 million. The net change in our operating assets and liabilities was primarily the result of a $12.9 million increase in contract liabilities related to customer prepayments, a $1.3 million increase in accounts payable and accrued liabilities to support inventory, and general expenses, partially offset by a $1.9 million increase in inventory and other deferred costs, a $1.2 million increase in accounts receivables related to increases in revenue, and a $0.8 million increase in prepaid expenses and other assets. Non-cash charges primarily consisted of a $4.7 million loss on debt extinguishment, $2.1 million of depreciation and amortization expense, $1.1 million of accretion of noncash interest and debt reduction, and $0.9 million of stock-based compensation expense, partially offset by $0.4 million of change in fair value of compound derivative instrument and convertible preferred stock warrant liability.</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Net cash used in investing activities for the nine months ended September 30, 2019 was $46.7 million, which consisted of $40.2 million purchases of available-for-sale debt securities and $6.5 million purchases of property and equipment used for our sequencing and data analysis services and facility expansion to support expanded operations.</w:t>
      </w:r>
    </w:p>
    <w:p>
      <w:pPr>
        <w:spacing w:after="0" w:line="181" w:lineRule="exact"/>
        <w:rPr>
          <w:sz w:val="20"/>
          <w:szCs w:val="20"/>
          <w:color w:val="auto"/>
        </w:rPr>
      </w:pPr>
    </w:p>
    <w:p>
      <w:pPr>
        <w:jc w:val="both"/>
        <w:ind w:right="20" w:firstLine="761"/>
        <w:spacing w:after="0" w:line="308" w:lineRule="auto"/>
        <w:rPr>
          <w:sz w:val="20"/>
          <w:szCs w:val="20"/>
          <w:color w:val="auto"/>
        </w:rPr>
      </w:pPr>
      <w:r>
        <w:rPr>
          <w:rFonts w:ascii="Arial" w:cs="Arial" w:eastAsia="Arial" w:hAnsi="Arial"/>
          <w:sz w:val="17"/>
          <w:szCs w:val="17"/>
          <w:color w:val="auto"/>
        </w:rPr>
        <w:t>Net cash used in investing activities for the nine months ended September 30, 2018 was $7.2 million, which was primarily related to the acquisition of property and equipment used for our sequencing and data analysis services and facility expansion to support expanded operations.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225"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Net cash provided by financing activities was $134.5 million for the nine months ended September 30, 2019, which primarily consisted of $144.0 million proceeds from our IPO, net of the underwriting discount of $10.8 million, $20.0 million borrowings under the Growth Capital Loan, and $0.7 million from proceeds of exercise of stock options, partially offset by $25.0 million in debt repayments, $3.9 million in payment of costs related to our IPO, $0.8 million in debt extinguishment costs, and $0.5 million in borrowing costs.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Net cash used in financing activities was $0.6 million for the nine months ended September 30, 2018, which primarily consisted of borrowing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revenues,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3"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the valuation of common stock warrants and convertible preferred stock warrants, convertible instruments, common stock valuations, stock-based compensation, and income taxes have the greatest potential impact on our condensed consolidated financial statements. Therefore, we consider these to be our critical accounting policies and estimates.</w:t>
      </w:r>
    </w:p>
    <w:p>
      <w:pPr>
        <w:spacing w:after="0" w:line="193"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Prospectus.</w:t>
      </w:r>
    </w:p>
    <w:p>
      <w:pPr>
        <w:spacing w:after="0" w:line="170"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color w:val="auto"/>
        </w:rPr>
        <w:t>On January 1, 2019, we adopted Accounting Standards Update No. 2016-02, Leases (Topic 842) (ASU 2016-02), as amended, which supersedes the lease accounting guidance under Topic 840, and generally requires lessees to recognize operating and financing lease liabilities and corresponding right-of-use (ROU) assets on the balance sheet and to provide enhanced disclosures surrounding the amount, timing and uncertainty of cash flows arising from leasing arrangements. We adopted the new guidance using the modified retrospective transition approach by applying the new standard to all leases existing at the date of initial application and not restating comparative periods. The most significant impact was the recognition of ROU assets and lease liabilities for operating leases. See Note 2 — Summary of Significant Accounting Policies and Note 7 — Leases in the notes to the condensed consolidated financial statements included in this Quarterly Report on Form 10-Q for additional information regarding the adoption.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185"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or exchange rates.</w:t>
      </w:r>
    </w:p>
    <w:p>
      <w:pPr>
        <w:spacing w:after="0" w:line="130"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As of September 30, 2019, we had cash and cash equivalents of $87.0 million, consisting of cash held in bank accounts and money market funds denominated in U.S. dollars. Cash equivalents also include $39.8 million of commercial paper, which are highly liquid marketable debt securities with maturities at the time of purchase of three months or less. As of September 30, 2019, we had short-term marketable debt securities of $40.3 million, consisting of U.S. agency bonds, commercial paper, corporate bonds, and U.S. treasuries. Our primary exposure to market risk is interest income sensitivity, which is affected by changes in the general level of the interest rates in the United States. As of September 30, 2019, a hypothetical 100 basis point increase in interest rates would have resulted in an approximate $0.3 million decline of the fair value of our marketable debt securities. This estimate is based on a sensitivity model that measures market value changes when changes in interest rates occur. A 100 basis point change in interest rates would not have a material effect on the fair market value of our cash and cash equivalents, exclusive of the marketable debt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85"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The majority of our revenues is generated in the United States. As of September 30, 2019, we had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changes in foreign exchange rates.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ind w:firstLine="761"/>
        <w:spacing w:after="0" w:line="284" w:lineRule="auto"/>
        <w:rPr>
          <w:sz w:val="20"/>
          <w:szCs w:val="20"/>
          <w:color w:val="auto"/>
        </w:rPr>
      </w:pPr>
      <w:r>
        <w:rPr>
          <w:rFonts w:ascii="Arial" w:cs="Arial" w:eastAsia="Arial" w:hAnsi="Arial"/>
          <w:sz w:val="16"/>
          <w:szCs w:val="16"/>
          <w:color w:val="auto"/>
        </w:rPr>
        <w:t>Management has conducted an evaluation of the effectiveness of our disclosure controls and procedures, as defined in Rules 13a-15(e) and 15d-15(e) under the Securities Exchange Act of 1934, as amended (the “Exchange Act”), as of the end of the period covered by this Quarterly Report on Form 10-Q. Disclosure controls and procedures are designed to ensure that information required to be disclosed in reports filed or submitted under the Exchange Act is recorded, processed, summarized, and reported within the time periods specified by the SEC rules and forms and that such information is accumulated and communicated to management, including our principal executive officer and principal financial officer, to ensure timely decisions regarding required disclosures. In connection with preparation of our financial statements for the years ended December 31, 2017 and 2018, management identified a material weakness in our internal controls due to a lack of sufficient full-time accounting staff with requisite experience and deep technical accounting knowledge to</w:t>
      </w:r>
    </w:p>
    <w:p>
      <w:pPr>
        <w:spacing w:after="0" w:line="3" w:lineRule="exact"/>
        <w:rPr>
          <w:sz w:val="20"/>
          <w:szCs w:val="20"/>
          <w:color w:val="auto"/>
        </w:rPr>
      </w:pPr>
    </w:p>
    <w:p>
      <w:pPr>
        <w:jc w:val="both"/>
        <w:ind w:firstLine="8"/>
        <w:spacing w:after="0" w:line="254" w:lineRule="auto"/>
        <w:tabs>
          <w:tab w:leader="none" w:pos="221"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and resolve complex accounting issues under U.S. GAAP and (ii) allow for appropriate segregation of duties. As a result, our principal executive officer and principal financial officer concluded that, as of December 31, 2018, our disclosure controls and procedures were ineffective. Upon identification of the material weaknesses and under the direction of our principal executive officer and principal financial officer, we developed a comprehensive plan to remediate the material weaknesses.</w:t>
      </w:r>
    </w:p>
    <w:p>
      <w:pPr>
        <w:spacing w:after="0" w:line="149"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6"/>
          <w:szCs w:val="16"/>
          <w:color w:val="auto"/>
        </w:rPr>
        <w:t>As of September 30, 2019, and as described under Status of Remediation of Material Weakness in Internal Control Over Financial Reporting below, all of the material weaknesses were not fully remediated. As a result, our principal executive officer and principal financial officer concluded that, as of September 30, 2019, our disclosure controls and procedures were not effective. Notwithstanding the aforementioned material weaknesses and failure of disclosure controls, our management has taken additional steps to assure there is appropriate disclosure in this report and has concluded that the financial statements included in this report fairly present, in all material respects, our financial condition for the periods presented in conformity with U.S. GAAP.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Status of Remediation of Material Weakness in Internal Control Over Financial Reporting</w:t>
      </w:r>
    </w:p>
    <w:p>
      <w:pPr>
        <w:spacing w:after="0" w:line="18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We have been and are actively engaged in the implementation of remediation efforts to address the material weaknesses in our internal control over financial reporting as of December 31, 2018. As part of our remediation plan to address the material weakness identified above, we hired a new Chief Financial Officer in March 2019 and four additional accounting resources in the second and third quarters of 2019, including two Certified Public Accountants with the specific technical accounting and financial reporting experience necessary for a public company. Management believes that these additional resources will provide an appropriate remediation of the material weakness; however, the effectiveness of the controls have not been fully tested by management.</w:t>
      </w:r>
    </w:p>
    <w:p>
      <w:pPr>
        <w:spacing w:after="0" w:line="153"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We will continue to assess the adequacy of our accounting personnel and resources, and will add additional personnel, as well as adjust our resources, as necessary, commensurate with any increase in the size and complexity of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85"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third quarter of 2019,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a party to any legal proceedings that in the opinion of our management, if determined unfavorably to us, would have a material adverse effect on our business, financial condition, operating results or cash flows. Regardless of the outcome, litigation can, among other things, be time consuming and expensive to resolve, and divert management resources.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0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have a history of losses, and as our costs increase, we expect to incur significant losses for the foreseeable future and may not be able to generate sufficient revenues to achieve or sustain profitability.</w:t>
      </w:r>
    </w:p>
    <w:p>
      <w:pPr>
        <w:spacing w:after="0" w:line="130"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18"/>
          <w:szCs w:val="18"/>
          <w:color w:val="auto"/>
        </w:rPr>
        <w:t>We have incurred net losses since our inception. For the nine months ended September 30, 2019 and 2018, we had net losses of $18.4 million and $16.3 million, respectively. As of September 30, 2019, we had an accumulated deficit of $133.9 million. To date, we have not generated sufficient revenues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revenues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spacing w:after="0" w:line="15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If we are unable to increase sales of our current services or successfully develop and commercialize other services or products, our revenues will be insufficient for us to achieve profitability.</w:t>
      </w:r>
    </w:p>
    <w:p>
      <w:pPr>
        <w:spacing w:after="0" w:line="143" w:lineRule="exact"/>
        <w:rPr>
          <w:sz w:val="20"/>
          <w:szCs w:val="20"/>
          <w:color w:val="auto"/>
        </w:rPr>
      </w:pPr>
    </w:p>
    <w:p>
      <w:pPr>
        <w:jc w:val="both"/>
        <w:ind w:firstLine="761"/>
        <w:spacing w:after="0" w:line="302" w:lineRule="auto"/>
        <w:rPr>
          <w:sz w:val="20"/>
          <w:szCs w:val="20"/>
          <w:color w:val="auto"/>
        </w:rPr>
      </w:pPr>
      <w:r>
        <w:rPr>
          <w:rFonts w:ascii="Arial" w:cs="Arial" w:eastAsia="Arial" w:hAnsi="Arial"/>
          <w:sz w:val="16"/>
          <w:szCs w:val="16"/>
          <w:color w:val="auto"/>
        </w:rPr>
        <w:t>We currently derive substantially all of our revenues from sales of our services. We began offering our services through our Clinical Laboratory Improvement Amendments of 1988 (“CLIA”)-certified, College of American Pathologists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revenues to become profitable.</w:t>
      </w:r>
    </w:p>
    <w:p>
      <w:pPr>
        <w:spacing w:after="0" w:line="114" w:lineRule="exact"/>
        <w:rPr>
          <w:sz w:val="20"/>
          <w:szCs w:val="20"/>
          <w:color w:val="auto"/>
        </w:rPr>
      </w:pPr>
    </w:p>
    <w:p>
      <w:pPr>
        <w:ind w:left="760" w:right="20"/>
        <w:spacing w:after="0" w:line="381" w:lineRule="auto"/>
        <w:rPr>
          <w:sz w:val="20"/>
          <w:szCs w:val="20"/>
          <w:color w:val="auto"/>
        </w:rPr>
      </w:pPr>
      <w:r>
        <w:rPr>
          <w:rFonts w:ascii="Arial" w:cs="Arial" w:eastAsia="Arial" w:hAnsi="Arial"/>
          <w:sz w:val="15"/>
          <w:szCs w:val="15"/>
          <w:b w:val="1"/>
          <w:bCs w:val="1"/>
          <w:i w:val="1"/>
          <w:iCs w:val="1"/>
          <w:color w:val="auto"/>
        </w:rPr>
        <w:t>Certain of our customers prepay us for a portion of the services that they expect to order from us in the future and we may be required to refund some or all of those prepayments if a customer cancels its contract with us or reduces the level of services that it expects to receive.</w:t>
      </w:r>
    </w:p>
    <w:p>
      <w:pPr>
        <w:spacing w:after="0" w:line="60"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color w:val="auto"/>
        </w:rPr>
        <w:t>Certain of our customers prepay us for a portion of the services that they expect to order from us before they place purchase orders and we deliver those services. In some cases, this prepayment can be substantial and may be paid months or a year or more in advance of these customers providing samples to us and before our delivery of the services to which some or all of the deposit relates. As of September 30, 2019, we had approximately $33.7 million in customer deposits, including $31.2 million from one customer. However, as of that date, we had $87.0 million of cash and cash equivalents. We are generally not required by our contracts to retain these deposits in cash or otherwise and we have generally used these deposits to make capital expenditures and fund our operations. If a customer that has prepaid us for future services cancels its contract with us or reduces the level of services that it expects to receive, we would generally be required to repay that customer’s deposit with little or no notice. We may not have the cash or other available resources to satisfy that repayment obligation. Even if we are able to satisfy the repayment obligation from available resources, we may need to seek additional sources of capital to fund our operations, which funding may not be available when needed or on acceptable terms. In either of those circumstances, our business, financial condition, results of operations, and reputation would be materially and adversely affected. Furthermore, in the future, customers may elect not to prepay us for our services in which case we would have to find other sources of funding for our capital expenditures and operations, which would be costly relative to the aforementioned cost-free customer deposit funding and which may not be available when needed or on acceptable terms.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ind w:left="760"/>
        <w:spacing w:after="0" w:line="277" w:lineRule="auto"/>
        <w:rPr>
          <w:sz w:val="20"/>
          <w:szCs w:val="20"/>
          <w:color w:val="auto"/>
        </w:rPr>
      </w:pPr>
      <w:r>
        <w:rPr>
          <w:rFonts w:ascii="Arial" w:cs="Arial" w:eastAsia="Arial" w:hAnsi="Arial"/>
          <w:sz w:val="18"/>
          <w:szCs w:val="18"/>
          <w:b w:val="1"/>
          <w:bCs w:val="1"/>
          <w:i w:val="1"/>
          <w:iCs w:val="1"/>
          <w:color w:val="auto"/>
        </w:rPr>
        <w:t>If we are unable to execute our sales and marketing strategy for our services and are unable to gain sufficient acceptance in the market, we may be unable to generate sufficient revenues to sustain our business.</w:t>
      </w:r>
    </w:p>
    <w:p>
      <w:pPr>
        <w:spacing w:after="0" w:line="143"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color w:val="auto"/>
        </w:rPr>
        <w:t>We are a growing genomics company and have engaged in targeted sales and marketing activities for our services. Although we have had revenues from sales of our services since 2013, our services may never gain significant acceptance in the marketplace and therefore may never generate substantial revenues or permit us to become profitable. We will need to further establish and grow the market for our services through the expansion of our current relationships and development of new relationships with biopharmaceutical customers.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ability to successfully market our services that we have developed, and may develop in the future, will depend on numerous factors, including:</w:t>
      </w:r>
    </w:p>
    <w:p>
      <w:pPr>
        <w:spacing w:after="0" w:line="208" w:lineRule="exact"/>
        <w:rPr>
          <w:sz w:val="20"/>
          <w:szCs w:val="20"/>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demonstrate the utility and value of our services to our customers;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 of our sales force;</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biopharmaceutical companies accept that our services are sufficiently sensitive and specific;</w:t>
      </w:r>
    </w:p>
    <w:p>
      <w:pPr>
        <w:spacing w:after="0" w:line="184"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convince biopharmaceutical companies of the utility of the comprehensiveness of our services and of testing patients at multiple time points;</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continue to fund sales and marketing activities;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our services are considered superior to those of our competitors;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negative publicity regarding our or our competitors’ services resulting from defects or errors;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obtaining and maintaining patent and trade secret protection for our services and technologies; and</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enforcing and defending intellectual property rights and claims.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Failure to achieve broad market acceptance of our services would materially harm our business, financial condition, and results of operations.</w:t>
      </w:r>
    </w:p>
    <w:p>
      <w:pPr>
        <w:spacing w:after="0" w:line="210"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If we cannot compete successfully with our competitors, we may be unable to increase or sustain our revenues or achieve and sustain profitability.</w:t>
      </w:r>
    </w:p>
    <w:p>
      <w:pPr>
        <w:spacing w:after="0" w:line="130"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6"/>
          <w:szCs w:val="16"/>
          <w:color w:val="auto"/>
        </w:rPr>
        <w:t>Our principal competition comes from commercial and academic organizations using established and new laboratory tests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convince our customers to use our comprehensive test rather than simpler panels provided by our competitors. For example, the information that we provide may be more challenging or require additional resources for our customers to interpret than the information provided by our competitors’ less comprehensive assays.</w:t>
      </w:r>
    </w:p>
    <w:p>
      <w:pPr>
        <w:spacing w:after="0" w:line="118"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6"/>
          <w:szCs w:val="16"/>
          <w:color w:val="auto"/>
        </w:rPr>
        <w:t>Some of our present and potential competitors, including Guardant Health, Inc., Foundation Medicine, Inc., which was acquired by Roche Holdings, Inc. in July 2018, Roche Molecular Systems, Inc., NanoString Technologies, Inc., Personal Genome Diagnostics, Inc., Adaptive Biotechnologies Corporation, and NeoGenomics, Inc., may have widespread brand recognition and substantially greater financial and technical resources and development, production capacities, and marketing capabilities than we do. They may be able to devote greater resources to the development, promotion, and sale of their products and services than we do or sell their products and services at prices designed to win significant levels of market share. In addition, competitors may be acquired by, receive investments from, or enter into other commercial relationships with larger, well-established, and well-financed companies.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we may be unable to ensure or increase market acceptance and sales of our current or planned future services, which could prevent us from increasing or sustaining our revenues or achieving or sustaining profitability.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jc w:val="both"/>
        <w:ind w:firstLine="761"/>
        <w:spacing w:after="0" w:line="291" w:lineRule="auto"/>
        <w:rPr>
          <w:sz w:val="20"/>
          <w:szCs w:val="20"/>
          <w:color w:val="auto"/>
        </w:rPr>
      </w:pPr>
      <w:r>
        <w:rPr>
          <w:rFonts w:ascii="Arial" w:cs="Arial" w:eastAsia="Arial" w:hAnsi="Arial"/>
          <w:sz w:val="16"/>
          <w:szCs w:val="16"/>
          <w:color w:val="auto"/>
        </w:rPr>
        <w:t>We expect that biopharmaceutical companies will increasingly focus attention and resources on the targeted and personalized cancer diagnostic sector as the potential and prevalence of molecularly targeted oncology therapies approved by the U.S. Food and Drug Administration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w:t>
      </w:r>
    </w:p>
    <w:p>
      <w:pPr>
        <w:spacing w:after="0" w:line="140"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Additionally, projects related to cancer diagnostics and particularly genomics have received increased government funding, both in the United States and internationally. As more information regarding cancer genomics becomes available to the public, we anticipate that more products aimed at identifying targeted treatment options will be developed and that these products may compete with our services. In addition, competitors may develop their own versions of our current or planned future services in countries where we did not apply for or receive patents and compete with us in those countries, including encouraging the use of their products or services by biopharmaceutical companies in other countries.</w:t>
      </w:r>
    </w:p>
    <w:p>
      <w:pPr>
        <w:spacing w:after="0" w:line="13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continue to operate our business and further expand our operations.</w:t>
      </w:r>
    </w:p>
    <w:p>
      <w:pPr>
        <w:spacing w:after="0" w:line="130" w:lineRule="exact"/>
        <w:rPr>
          <w:sz w:val="20"/>
          <w:szCs w:val="20"/>
          <w:color w:val="auto"/>
        </w:rPr>
      </w:pPr>
    </w:p>
    <w:p>
      <w:pPr>
        <w:jc w:val="both"/>
        <w:ind w:firstLine="761"/>
        <w:spacing w:after="0" w:line="302"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continue to operate our business and expand our infrastructure, commercial operations, and research and development activities. Additionally, if we decide to grow our business by developing in vitro diagnostic tests, our capital expenditures and operating expenses would significantly increase. We may seek to raise additional capital through equity offerings, debt financings, collaborations, or licensing arrangements. Additional funding may not be available to us on acceptable terms, or at all.</w:t>
      </w:r>
    </w:p>
    <w:p>
      <w:pPr>
        <w:spacing w:after="0" w:line="127"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spacing w:after="0" w:line="142"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If we are not able to secure additional funding when needed, we may have to delay, reduce the scope of or eliminate one or more research and development programs or sales and marketing initiatives. In addition, we may have to work with a partner on one or more aspects of our tests or market development programs, which could lower the economic value of those tests or programs to us. While we believe our existing cash and cash equivalents will be sufficient to meet our anticipated cash requirements for at least the next 12 months, we cannot assure you that we will generate sufficient revenues from commercial sales to adequately fund our operating needs or achieve or sustain profitability.</w:t>
      </w:r>
    </w:p>
    <w:p>
      <w:pPr>
        <w:spacing w:after="0" w:line="132"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b w:val="1"/>
          <w:bCs w:val="1"/>
          <w:i w:val="1"/>
          <w:iCs w:val="1"/>
          <w:color w:val="auto"/>
        </w:rPr>
        <w:t>We will need to invest in our infrastructure in advance of increased demand for our services, and our failure to accurately forecast demand would have a negative impact on our business and our ability to achieve and sustain profitability.</w:t>
      </w:r>
    </w:p>
    <w:p>
      <w:pPr>
        <w:spacing w:after="0" w:line="143"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In order to execute our business model, we need to invest in scaling our infrastructure, including hiring additional personnel, expanding our internal quality assurance program, and expanding laboratory capacity. We will also need to purchase additional equipment, some of which can take several months or more to procure, setup, and validate, and increase our software and computing capacity to meet increased demand. There is no assurance that any of these increases in scale, expansion of personnel, equipment, software, and computing capacities, or process enhancements will be successfully implemented, or that we will have adequate space in our laboratory facility to accommodate such required expansion. We expect that much of this growth will be in advance of increased demand for our services. Our current and projected future expense levels are to a large extent fixed and are largely based on our current investment plans and our estimates of future test volume. As a result, if revenues do not meet our expectations we may not be able to promptly adjust or reduce our spending to levels commensurate with our revenues.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jc w:val="both"/>
        <w:ind w:firstLine="761"/>
        <w:spacing w:after="0" w:line="302" w:lineRule="auto"/>
        <w:rPr>
          <w:sz w:val="20"/>
          <w:szCs w:val="20"/>
          <w:color w:val="auto"/>
        </w:rPr>
      </w:pPr>
      <w:r>
        <w:rPr>
          <w:rFonts w:ascii="Arial" w:cs="Arial" w:eastAsia="Arial" w:hAnsi="Arial"/>
          <w:sz w:val="16"/>
          <w:szCs w:val="16"/>
          <w:color w:val="auto"/>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spacing w:after="0" w:line="127"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have substantial customer concentration, with a limited number of customers accounting for a substantial portion of our 2019 revenues and accounts receivable.</w:t>
      </w:r>
    </w:p>
    <w:p>
      <w:pPr>
        <w:spacing w:after="0" w:line="130"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6"/>
          <w:szCs w:val="16"/>
          <w:color w:val="auto"/>
        </w:rPr>
        <w:t>Like other genomics profiling companies that sell to the pharmaceutical industry, we have customer concentration. We currently derive a significant portion of our revenues from the U.S. Department of Veterans Affairs (the “VA”) Million Veteran Program (the “VA MVP”), which accounted for 75% and 63% of our revenues in the three months and nine months ended September 30, 2019, respectively. Our top five customers, including the VA MVP, accounted for 93% and 92% of our revenues for the three months and nine months ended September 30, 2019, respectively. There are inherent risks whenever a large percentage of revenues are concentrated with a limited number of customers. It is not possible for us to predict the future level of demand for our services that will be generated by these customers. In addition, revenues from our larger customers have historically fluctuated and may continue to fluctuate based on the commencement and completion of clinical trials or other projects, the timing of which may be affected by market conditions or other facts, some of which may be outside of our control. Further, while we have long-term contractual arrangements with certain of our customers, these customers are not required to purchase a minimum number of analyses. If any of these customers suspend or terminate clinical trials, receive less funding, experience declining or delayed sales, or otherwise chose to reduce or eliminate their use of our services, we could be pressured to reduce the prices we charge for our services which would have an adverse effect on our margins and financial position, and which would likely negatively affect our revenues and results of operations. In particular, if the VA MVP terminates our services for convenience, which it is permitted to do, such termination would have a material adverse effect on our revenues, cash position, and results of operations. Further, if our largest customers were to cease using or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p>
    <w:p>
      <w:pPr>
        <w:spacing w:after="0" w:line="128"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b w:val="1"/>
          <w:bCs w:val="1"/>
          <w:i w:val="1"/>
          <w:iCs w:val="1"/>
          <w:color w:val="auto"/>
        </w:rPr>
        <w:t>We currently derive a substantial portion of our revenues from DNA sequencing and data analysis services that we provide to our largest customer, the VA MVP. If the VA MVP’s demand for and/or funding for our DNA sequencing and data analysis services is substantially reduced, our business, financial condition, operating results, and cash flows would be materially harmed.</w:t>
      </w:r>
    </w:p>
    <w:p>
      <w:pPr>
        <w:spacing w:after="0" w:line="139"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We derive a substantial portion of our current and expected future revenues from sales of our DNA sequencing and data analysis services to the VA MVP. In September 2017, we entered into a one-year contract with three one-year option renewal periods with the VA for the VA MVP, pursuant to which we received orders from the VA MVP in September 2017, 2018, and 2019.</w:t>
      </w:r>
    </w:p>
    <w:p>
      <w:pPr>
        <w:spacing w:after="0" w:line="141"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The VA MVP’s orders for DNA sequencing and data analysis services are subject to the availability of funding, enrollment of veterans in the VA MVP study, and the VA MVP’s continued demand for our services. We have no certainty that funding will be made available for our services. If the priorities of the VA, the VA MVP, or the U.S. government change, funding for our services may be limited or not available, and our business, financial condition, and operating results and cash flows would be materially harmed. The success of our business and our future operating results are significantly dependent on the VA MVP’s receipt of funding for use of our services and the terms of our sales to the VA MVP, including the price per sample, the number of samples and the timing of the VA MVP’s deliveries of samples.</w:t>
      </w:r>
    </w:p>
    <w:p>
      <w:pPr>
        <w:spacing w:after="0" w:line="153"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b w:val="1"/>
          <w:bCs w:val="1"/>
          <w:i w:val="1"/>
          <w:iCs w:val="1"/>
          <w:color w:val="auto"/>
        </w:rPr>
        <w:t>If we cannot maintain our current customer relationships, or fail to acquire new customers, our revenue prospects will be reduced. Many of our customers are biopharmaceutical companies engaged in clinical trials of new drug candidates, which are expensive, can take many years to complete, and their outcome is inherently uncertain.</w:t>
      </w:r>
    </w:p>
    <w:p>
      <w:pPr>
        <w:spacing w:after="0" w:line="154"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Our customers other than the VA MVP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failures in their clinical trials, financial constraints, or utilization of internal testing resources or tests performed by other parties, or other circumstances outside of our control.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jc w:val="both"/>
        <w:ind w:firstLine="761"/>
        <w:spacing w:after="0" w:line="255" w:lineRule="auto"/>
        <w:rPr>
          <w:sz w:val="20"/>
          <w:szCs w:val="20"/>
          <w:color w:val="auto"/>
        </w:rPr>
      </w:pPr>
      <w:r>
        <w:rPr>
          <w:rFonts w:ascii="Arial" w:cs="Arial" w:eastAsia="Arial" w:hAnsi="Arial"/>
          <w:sz w:val="18"/>
          <w:szCs w:val="18"/>
          <w:color w:val="auto"/>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spacing w:after="0" w:line="166"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18"/>
          <w:szCs w:val="18"/>
          <w:color w:val="auto"/>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revenues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The size of the potential future market for our services is an estimate and may be smaller than we believe.</w:t>
      </w:r>
    </w:p>
    <w:p>
      <w:pPr>
        <w:spacing w:after="0" w:line="185"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6"/>
          <w:szCs w:val="16"/>
          <w:color w:val="auto"/>
        </w:rPr>
        <w:t>Our estimate of the potential future market for our services is based on a number of internal and third-party estimates. While we believe these factors have historically provided and will continue to provide us with effective tools in estimating the total market for our services, these estimates may not be correct and the conditions supporting our estimates may change at any time, thereby reducing the predictive accuracy of these underlying factors. As a result, our estimates of the total addressable market for our services may prove to be incorrect. If the actual number of patients who would benefit from our services and the total addressable market for our services is smaller than we have estimated, our future growth could be adversely impacted.</w:t>
      </w:r>
    </w:p>
    <w:p>
      <w:pPr>
        <w:spacing w:after="0" w:line="131"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b w:val="1"/>
          <w:bCs w:val="1"/>
          <w:i w:val="1"/>
          <w:iCs w:val="1"/>
          <w:color w:val="auto"/>
        </w:rPr>
        <w:t>We rely on a limited number of suppliers, or in some cases, a sole supplier, for some of our laboratory instruments and materials, and we may not be able to find replacements or immediately transition to alternative suppliers should we need to do so.</w:t>
      </w:r>
    </w:p>
    <w:p>
      <w:pPr>
        <w:spacing w:after="0" w:line="106"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We rely on a limited number of suppliers for sequencers and other equipment and materials that we use in our laboratory operations. For example, we rely on Illumina, Inc. (“Illumina”) as the sole supplier of sequencers and various associated reagents, and as the sole provider of maintenance and repair services for these sequencers. Our master subcontractor agreement with Illumina is set to expire in August 2021, and our various pricing agreements with Illumina are set to expire on various dates up to December 2022. Any disruption in Illumina’s operations, or our inability to negotiate an extension to our agreements with Illumina on acceptable terms, or at all, could impact our supply chain and laboratory operations and our ability to conduct our business and generate revenue. Our suppliers could cease supplying these materials, reagents, and equipment at any time, or fail to provide us with sufficient quantities of materials or materials that meet our specifications. Our laboratory operations could be interrupted if we encounter delays or difficulties in securing equipment, materials, reagents, or sequencers, or if we cannot obtain an acceptable substitute. Any such interruption could significantly affect our business, financial condition, results of operations, and reputation.</w:t>
      </w:r>
    </w:p>
    <w:p>
      <w:pPr>
        <w:spacing w:after="0" w:line="141"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18"/>
          <w:szCs w:val="18"/>
          <w:color w:val="auto"/>
        </w:rPr>
        <w:t>We believe that there are only a few manufacturers other than Illumina that are currently capable of supplying and servicing the equipment necessary for our laboratory operations, including sequencers and various associated reagents. The use of equipment or materials provided by these replacement suppliers would require us to alter our laboratory operations. Transitioning to a new supplier would be time-consuming and expensive, may result in interruptions in our laboratory operations, could affect the performance specifications of our laboratory operations, or could require that we revalidate our tests. We cannot assure you that we will be able to secure alternative equipment, reagents, and other materials, and bring such equipment, reagents, and materials on 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spacing w:after="0" w:line="16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In addition, the Device Master File that we have filed with the FDA, which is focused on the technology, quality management, and validation of our platform, specifically on its use for the development of personalized immunotherapies, is predicated on our use of specified equipment and processes, including Illumina sequencers and related equipment. The detailed information in the Device Master File is not shared with our customers, but with our permission they can reference our FDA file number in their Investigational New Drug filings with the FDA. If we were required to transition to a new supplier of sequencers or certain other equipment or processes in our laboratory, our Device Master File would need to be replaced or updated, and until such time as that occurred, customers for which we deliver services after the transition would not be able to reference our Device Master File, which would cause us to lose a competitive advantage.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ind w:left="760"/>
        <w:spacing w:after="0" w:line="277" w:lineRule="auto"/>
        <w:rPr>
          <w:sz w:val="20"/>
          <w:szCs w:val="20"/>
          <w:color w:val="auto"/>
        </w:rPr>
      </w:pPr>
      <w:r>
        <w:rPr>
          <w:rFonts w:ascii="Arial" w:cs="Arial" w:eastAsia="Arial" w:hAnsi="Arial"/>
          <w:sz w:val="18"/>
          <w:szCs w:val="18"/>
          <w:b w:val="1"/>
          <w:bCs w:val="1"/>
          <w:i w:val="1"/>
          <w:iCs w:val="1"/>
          <w:color w:val="auto"/>
        </w:rPr>
        <w:t>If our sole laboratory facility becomes damaged or inoperable, or we are required to vacate the facility, our ability to sell and provide our services and pursue our research and development efforts may be jeopardized.</w:t>
      </w:r>
    </w:p>
    <w:p>
      <w:pPr>
        <w:spacing w:after="0" w:line="143"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We currently derive our revenues from our genomic analysis conducted in our laboratory. We do not have any clinical reference laboratory facilities other than our facility in Menlo Park, California. Our facilities and equipment could be harmed or rendered inoperable by natural or man-made disasters, including fires, earthquakes, flooding, and power outages, which may render it difficult or impossible for us to sell or perform our services for some period of time. Northern California has recently experienced serious fires and the San Francisco Bay Area is considered to lie in an area with earthquake risk. The inability to sell or to perform our diagnostic and other services, or the backlog of samples that could develop if our facility is inoperable for even a short period of time, may result in the loss of customers or harm to our reputation or relationships with scientific or clinical collaborators, and we may be unable to regain those customers or repair our reputation or such relationships in the future. Furthermore, our facilities and the equipment we use to perform our services and our research and development work could be costly and time-consuming to repair or replace.</w:t>
      </w:r>
    </w:p>
    <w:p>
      <w:pPr>
        <w:spacing w:after="0" w:line="138"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Additionally, a key component of our research and development process involves using biological samples as the basis for the development of our services. In some cases, these samples are difficult to obtain. If the parts of our laboratory facility where we store these biological samples were damaged or compromised, our ability to pursue our research and development projects, as well as our reputation, could be jeopardized. We carry insurance for damage to our property and the disruption of our business, but this insurance may not be sufficient to cover all of our potential losses and may not continue to be available to us on acceptable terms, if at all.</w:t>
      </w:r>
    </w:p>
    <w:p>
      <w:pPr>
        <w:spacing w:after="0" w:line="148"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color w:val="auto"/>
        </w:rPr>
        <w:t>Further, if our laboratory became inoperable, we would likely not be able to license or transfer our technology to another facility with the necessary qualifications, including state licensure and CLIA certification, under the scope of which our current and our planned future services could be performed. Even if we find a facility with such qualifications to perform our services, it may not be available to us on commercially reasonable terms.</w:t>
      </w:r>
    </w:p>
    <w:p>
      <w:pPr>
        <w:spacing w:after="0" w:line="13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vendors, contractors, or consultants, may fail or suffer security breaches, loss or leakage of data, and other disruptions, which could result in a material disruption of our services, compromise sensitive information related to our business, or prevent us from accessing critical information, potentially exposing us to liability or otherwise adversely affecting our business.</w:t>
      </w:r>
    </w:p>
    <w:p>
      <w:pPr>
        <w:spacing w:after="0" w:line="146"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vendors and other contractors and consultants who have access to our confidential information.</w:t>
      </w:r>
    </w:p>
    <w:p>
      <w:pPr>
        <w:spacing w:after="0" w:line="148" w:lineRule="exact"/>
        <w:rPr>
          <w:sz w:val="20"/>
          <w:szCs w:val="20"/>
          <w:color w:val="auto"/>
        </w:rPr>
      </w:pPr>
    </w:p>
    <w:p>
      <w:pPr>
        <w:jc w:val="both"/>
        <w:ind w:firstLine="761"/>
        <w:spacing w:after="0" w:line="285" w:lineRule="auto"/>
        <w:rPr>
          <w:sz w:val="20"/>
          <w:szCs w:val="20"/>
          <w:color w:val="auto"/>
        </w:rPr>
      </w:pPr>
      <w:r>
        <w:rPr>
          <w:rFonts w:ascii="Arial" w:cs="Arial" w:eastAsia="Arial" w:hAnsi="Arial"/>
          <w:sz w:val="16"/>
          <w:szCs w:val="16"/>
          <w:color w:val="auto"/>
        </w:rPr>
        <w:t>Despite the implementation of security measures, given the size and complexity of our internal information technology systems and those of our third-party vendors and other contractors and consultants, and the increasing amounts of confidential information that they maintain, our such information technology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third-party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vendors and other contractors and consultants, or lead to data leakage.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services could be delayed. The costs related to significant security breaches or disruptions could be material and exceed the limits of the cybersecurity insurance we maintain against such risks.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jc w:val="both"/>
        <w:ind w:firstLine="761"/>
        <w:spacing w:after="0" w:line="268" w:lineRule="auto"/>
        <w:rPr>
          <w:sz w:val="20"/>
          <w:szCs w:val="20"/>
          <w:color w:val="auto"/>
        </w:rPr>
      </w:pPr>
      <w:r>
        <w:rPr>
          <w:rFonts w:ascii="Arial" w:cs="Arial" w:eastAsia="Arial" w:hAnsi="Arial"/>
          <w:sz w:val="17"/>
          <w:szCs w:val="17"/>
          <w:color w:val="auto"/>
        </w:rPr>
        <w:t>While we have not experienced any such system failure, accident, or security breach to date and believe that our data protection efforts and our investment in information technology reduce the likelihood of such incidents in the future, 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vendors and other contractors and consultants, it could result in a material disruption of our programs and the development of our services and technologies could be delayed.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customers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58"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b w:val="1"/>
          <w:bCs w:val="1"/>
          <w:i w:val="1"/>
          <w:iCs w:val="1"/>
          <w:color w:val="auto"/>
        </w:rPr>
        <w:t>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106"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In the ordinary course of our business, we collect and store sensitive data, including protected health information (“PHI”), personally identifiable information (“PII”), credit card and other financial information, intellectual property, and proprietary business information owned or controlled by ourselves or our customers, payors, and other parties. We manage and maintain our applications and data utilizing a combination of on-site systems and cloud-based data centers. We utilize external security and infrastructure vendors to manage parts of our data centers. We also communicate sensitive data, including patient data, electronically, and through relationships with multiple third-party vendors and their subcontractors. These applications and data encompass a wide variety of business-critical information, including research and development information, patient data, commercial information, and business and financial information.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third-party vendors and subcontractors we use to manage this sensitive data.</w:t>
      </w:r>
    </w:p>
    <w:p>
      <w:pPr>
        <w:spacing w:after="0" w:line="141"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6"/>
          <w:szCs w:val="16"/>
          <w:color w:val="auto"/>
        </w:rPr>
        <w:t>The secure processing, storage, maintenance, and transmission of this critical information are vital to our operations and business strategy, and we devote significant resources to protecting such information.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liability under federal or state laws that protect the privacy of personal information, such as the Health Insurance Portability and Accountability Act of 1996 (“HIPAA”) and the Health Information Technology for Economic and Clinical Health Act (“HITECH”), and regulatory penalties. Notice of breaches must be made to affected individuals, the Secretary of the Department of Health and Human Services (“HHS”), and for extensive breaches, notice may need to be made to the media or state attorneys general. Such a notice could harm our reputation and our ability to compete. Although we have implemented security measures and a formal, dedicated enterprise security program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14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Penalties for violations of these laws vary. For instance, penalties for failure to comply with a requirement of HIPAA and HITECH vary significantly, and include significant civil monetary penalties and, in certain circumstances, criminal penalties with fines up to $250,000 per violation and/or imprisonment. In addition, numerous breach incidents could lead to possible penalties in excess of $1.68 million.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0" w:name="page41"/>
    <w:bookmarkEnd w:id="40"/>
    <w:p>
      <w:pPr>
        <w:jc w:val="both"/>
        <w:ind w:firstLine="761"/>
        <w:spacing w:after="0" w:line="287" w:lineRule="auto"/>
        <w:rPr>
          <w:sz w:val="20"/>
          <w:szCs w:val="20"/>
          <w:color w:val="auto"/>
        </w:rPr>
      </w:pPr>
      <w:r>
        <w:rPr>
          <w:rFonts w:ascii="Arial" w:cs="Arial" w:eastAsia="Arial" w:hAnsi="Arial"/>
          <w:sz w:val="16"/>
          <w:szCs w:val="16"/>
          <w:color w:val="auto"/>
        </w:rPr>
        <w:t>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The interplay of federal and state laws may be subject to varying interpretations by courts and government agencies, creating complex compliance issues for us and data we receive, use and share,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PII, for the treatment of genetic data, along with increased customer demands for enhanced data security infrastructure, could greatly increase our cost of providing our services, decrease demand for our services, reduce our revenues and/or subject us to additional liabilities.</w:t>
      </w:r>
    </w:p>
    <w:p>
      <w:pPr>
        <w:spacing w:after="0" w:line="142" w:lineRule="exact"/>
        <w:rPr>
          <w:sz w:val="20"/>
          <w:szCs w:val="20"/>
          <w:color w:val="auto"/>
        </w:rPr>
      </w:pPr>
    </w:p>
    <w:p>
      <w:pPr>
        <w:jc w:val="both"/>
        <w:ind w:firstLine="761"/>
        <w:spacing w:after="0" w:line="267" w:lineRule="auto"/>
        <w:rPr>
          <w:sz w:val="20"/>
          <w:szCs w:val="20"/>
          <w:color w:val="auto"/>
        </w:rPr>
      </w:pPr>
      <w:r>
        <w:rPr>
          <w:rFonts w:ascii="Arial" w:cs="Arial" w:eastAsia="Arial" w:hAnsi="Arial"/>
          <w:sz w:val="17"/>
          <w:szCs w:val="17"/>
          <w:color w:val="auto"/>
        </w:rPr>
        <w:t>In addition, the interpretation and application of consumer, health-related and data protection laws, especially with respect to genetic samples and data, in the United States, the European Union (the “EU”), and elsewhere are often uncertain, contradictory and in flux. For example, the EU-wide General Data Protection Regulation (EU) 2016/679 (“GDPR”) became applicable on May 25, 2018, replacing data protection laws issued by of each EU member state based on the Directive 95/46/EC (the “Directive”). Unlike the Directive, which needed to be transposed at a national level, the GDPR text is directly applicable in each EU member state, resulting in a more uniform application of data privacy laws across the EU. The GDPR imposes onerous accountability obligations requiring data controllers and processors to maintain a record of their data processing and policies. It requires data controllers to implement more stringent operational requirements for processors and controllers of personal data, including, for example, transparent and expanded disclosure to data subjects (in a concise, intelligible and easily accessible form) about how their personal information is to be used, imposes limitations on retention of information, increases requirements pertaining to health data and pseudonymized (i.e., key-coded) data, introduces mandatory data breach notification requirements, and sets higher standards for data controllers to demonstrate that they have obtained valid consent for certain data processing activities. Fines for non-compliance with the GDPR will be significant—the greater of €20 million or 4% of global turnover. The GDPR provides that EU member states may introduce further conditions, including limitations, to make their own further laws and regulations limiting the processing of genetic, biometric, or health data, which could limit our ability to collect, use and share European data, or could cause our compliance costs to increase, ultimately having an adverse impact on our business, and harm our business and financial condition. It is possible that these laws may be interpreted and applied in a manner that is inconsistent with our practices. If so, this could result in government-imposed fines or orders requiring that we change our practices, which could adversely affect our business. Further, the United Kingdom’s vote in favor of exiting the EU, often referred to as Brexit, and ongoing developments in the United Kingdom regarding the timing and conditions of Brexit have created uncertainty with regard to data protection regulation in the United Kingdom. In particular, it is unclear when Brexit may occur, if at all, and whether the United Kingdom will enact data protection legislation equivalent to the GDPR and how data transfers to and from the United Kingdom will be regulated.</w:t>
      </w:r>
    </w:p>
    <w:p>
      <w:pPr>
        <w:spacing w:after="0" w:line="149"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We rely on our customers to obtain valid and appropriate consents from data subjects whose genetic samples and data we process on such customers’ behalf. Given that we do not obtain direct consent from such data subjects and we do not audit our customers to ensure that they have obtained the necessary consents required by law, the failure of our customers to obtain consents that are in compliance with applicable law could result in our own non-compliance with privacy laws. Such failure to comply with U.S. and international data protection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 w:name="page42"/>
    <w:bookmarkEnd w:id="41"/>
    <w:p>
      <w:pPr>
        <w:ind w:left="760" w:right="20"/>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provide reliable, high-quality genomic data and analyses and to rapidly evolve to meet our customers’ needs.</w:t>
      </w:r>
    </w:p>
    <w:p>
      <w:pPr>
        <w:spacing w:after="0" w:line="143"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6"/>
          <w:szCs w:val="16"/>
          <w:color w:val="auto"/>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can also be flaws in the databases, third-party tools, algorithms we use, and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w:t>
      </w:r>
    </w:p>
    <w:p>
      <w:pPr>
        <w:spacing w:after="0" w:line="118" w:lineRule="exact"/>
        <w:rPr>
          <w:sz w:val="20"/>
          <w:szCs w:val="20"/>
          <w:color w:val="auto"/>
        </w:rPr>
      </w:pPr>
    </w:p>
    <w:p>
      <w:pPr>
        <w:jc w:val="both"/>
        <w:ind w:firstLine="761"/>
        <w:spacing w:after="0" w:line="312" w:lineRule="auto"/>
        <w:rPr>
          <w:sz w:val="20"/>
          <w:szCs w:val="20"/>
          <w:color w:val="auto"/>
        </w:rPr>
      </w:pPr>
      <w:r>
        <w:rPr>
          <w:rFonts w:ascii="Arial" w:cs="Arial" w:eastAsia="Arial" w:hAnsi="Arial"/>
          <w:sz w:val="16"/>
          <w:szCs w:val="16"/>
          <w:color w:val="auto"/>
        </w:rPr>
        <w:t>Inaccurate results or misunderstandings of, or inappropriate reliance on, the information we provide to our customers could lead to, or be associated with, side effects or adverse events in patients who use our tests, including treatment-related death, and could lead to termination of our services or claims against us. A product liability or professional liability claim could result in substantial damages and be costly and time-consuming for us to defend.</w:t>
      </w:r>
    </w:p>
    <w:p>
      <w:pPr>
        <w:spacing w:after="0" w:line="106"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spacing w:after="0" w:line="166"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b w:val="1"/>
          <w:bCs w:val="1"/>
          <w:i w:val="1"/>
          <w:iCs w:val="1"/>
          <w:color w:val="auto"/>
        </w:rPr>
        <w:t>If we cannot develop services and products to keep pace with rapid advances in technology, medicine, and science, or if we experience delays in developing such services and products, our operating results and competitive position could be harmed.</w:t>
      </w:r>
    </w:p>
    <w:p>
      <w:pPr>
        <w:spacing w:after="0" w:line="106" w:lineRule="exact"/>
        <w:rPr>
          <w:sz w:val="20"/>
          <w:szCs w:val="20"/>
          <w:color w:val="auto"/>
        </w:rPr>
      </w:pPr>
    </w:p>
    <w:p>
      <w:pPr>
        <w:jc w:val="both"/>
        <w:ind w:firstLine="761"/>
        <w:spacing w:after="0" w:line="288" w:lineRule="auto"/>
        <w:rPr>
          <w:sz w:val="20"/>
          <w:szCs w:val="20"/>
          <w:color w:val="auto"/>
        </w:rPr>
      </w:pPr>
      <w:r>
        <w:rPr>
          <w:rFonts w:ascii="Arial" w:cs="Arial" w:eastAsia="Arial" w:hAnsi="Arial"/>
          <w:sz w:val="16"/>
          <w:szCs w:val="16"/>
          <w:color w:val="auto"/>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(such as our planned liquid biopsy test)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spacing w:after="0" w:line="129"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b w:val="1"/>
          <w:bCs w:val="1"/>
          <w:i w:val="1"/>
          <w:iCs w:val="1"/>
          <w:color w:val="auto"/>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spacing w:after="0" w:line="97"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color w:val="auto"/>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spacing w:after="0" w:line="124"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b w:val="1"/>
          <w:bCs w:val="1"/>
          <w:i w:val="1"/>
          <w:iCs w:val="1"/>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141"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We currently work with certain companies developing personalized cancer therapies, and our future success will in part depend on our personalized cancer customers obtaining regulatory approval for and commercializing their product candidate. Because personalized cancer therapies represent a new approach to immunotherapy for the treatment of cancer and other diseases, developing and commercializing personalized cancer therapies is subject to a number of challenges.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jc w:val="both"/>
        <w:ind w:firstLine="761"/>
        <w:spacing w:after="0" w:line="259" w:lineRule="auto"/>
        <w:rPr>
          <w:sz w:val="20"/>
          <w:szCs w:val="20"/>
          <w:color w:val="auto"/>
        </w:rPr>
      </w:pPr>
      <w:r>
        <w:rPr>
          <w:rFonts w:ascii="Arial" w:cs="Arial" w:eastAsia="Arial" w:hAnsi="Arial"/>
          <w:sz w:val="18"/>
          <w:szCs w:val="18"/>
          <w:color w:val="auto"/>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spacing w:after="0" w:line="160"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Physicians, hospitals, and third-party payors often are slow to adopt new products,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The loss of key members of our executive management team could adversely affect our business.</w:t>
      </w:r>
    </w:p>
    <w:p>
      <w:pPr>
        <w:spacing w:after="0" w:line="185"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including John West, our Chief Executive Officer, Richard Chen, our Chief Scientific Officer, Clinton Musil, our Chief Business Officer, and Aaron Tachibana, our Chief Financial Officer. The collective efforts of each of these persons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Each member of our executive management team has an employment agreement; however, the existence of an employment agreement does not guarantee retention of members of our executive management team, and we may not be able to retain those individuals. We do not maintain “key person” life insurance on any of our employees.</w:t>
      </w:r>
    </w:p>
    <w:p>
      <w:pPr>
        <w:spacing w:after="0" w:line="140"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41"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loss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30"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43"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and genetic counselors, due to the competition for qualified personnel among life science businesses, technology companies, as well as universities and public and private research institutions, particularly in the San Francisco Bay Area.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We may not be able to manage our future growth effectively, which could make it difficult to execute our business strategy.</w:t>
      </w:r>
    </w:p>
    <w:p>
      <w:pPr>
        <w:spacing w:after="0" w:line="185"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Our expected future growth could create a strain on our organizational, administrative, and operational infrastructure, including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ind w:left="760"/>
        <w:spacing w:after="0"/>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could harm our business.</w:t>
      </w:r>
    </w:p>
    <w:p>
      <w:pPr>
        <w:spacing w:after="0" w:line="198"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color w:val="auto"/>
        </w:rPr>
        <w:t>We depend on information technology and telecommunications systems for significant elements of our operations, including our laboratory information management system, our bioinformatics analytical software systems, our database of information relating to genetic variations and their role in disease process, our clinical report systems, our billing systems, our business intelligence systems, our logistics and customer relationship systems, our customer-facing web-based software, our customer reporting, and our family history and risk assessment tools.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w:t>
      </w:r>
    </w:p>
    <w:p>
      <w:pPr>
        <w:spacing w:after="0" w:line="124"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Although we invest substantially in the backup/restore, high-availability architecture, monitoring and reporting, documentation and preventive security controls of our systems, all information technology and telecommunications systems are vulnerable to damage from a variety of sources, including telecommunications or network failures, malicious or inadvertent human acts and natural disasters. Our servers are potentially vulnerable to physical or electronic break-ins, employee errors, computer viruses and similar disruptive problems. Despite the precautionary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the first quarter of 2018, we experienced downtime in our information technology systems in connection with the adoption of certain new information technology, and our results of operations in the first and second quarters of 2018 were adversely affected as a result. Any disruption or loss of information technology or telecommunications systems on which critical aspects of our operations depend could have an adverse effect on our business.</w:t>
      </w:r>
    </w:p>
    <w:p>
      <w:pPr>
        <w:spacing w:after="0" w:line="142"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Additionally, we have internally developed, and expect to continue to invest in and expand, proprietary informatics and software systems that are designed to manage the unique aspects and challenges of our genomics laboratory and on which we depend. Any disruption of failure of our internally developed informatics and software systems could have an adverse effect on our business.</w:t>
      </w:r>
    </w:p>
    <w:p>
      <w:pPr>
        <w:spacing w:after="0" w:line="154"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30" w:lineRule="exact"/>
        <w:rPr>
          <w:sz w:val="20"/>
          <w:szCs w:val="20"/>
          <w:color w:val="auto"/>
        </w:rPr>
      </w:pPr>
    </w:p>
    <w:p>
      <w:pPr>
        <w:jc w:val="both"/>
        <w:ind w:firstLine="761"/>
        <w:spacing w:after="0" w:line="268" w:lineRule="auto"/>
        <w:rPr>
          <w:sz w:val="20"/>
          <w:szCs w:val="20"/>
          <w:color w:val="auto"/>
        </w:rPr>
      </w:pPr>
      <w:r>
        <w:rPr>
          <w:rFonts w:ascii="Arial" w:cs="Arial" w:eastAsia="Arial" w:hAnsi="Arial"/>
          <w:sz w:val="17"/>
          <w:szCs w:val="17"/>
          <w:color w:val="auto"/>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 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47"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or cause us to incur debt or significant expense.</w:t>
      </w:r>
    </w:p>
    <w:p>
      <w:pPr>
        <w:spacing w:after="0" w:line="143"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In addition, we may not be able to find suitable partners or acquisition candidates, and we may not be able to complete such transactions on favorable terms, if at all. Any future acquisitions by us also could result in significant write-offs or the incurrence of debt and contingent liabilities, any of which could harm our operating results.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jc w:val="both"/>
        <w:ind w:firstLine="761"/>
        <w:spacing w:after="0" w:line="257" w:lineRule="auto"/>
        <w:rPr>
          <w:sz w:val="20"/>
          <w:szCs w:val="20"/>
          <w:color w:val="auto"/>
        </w:rPr>
      </w:pPr>
      <w:r>
        <w:rPr>
          <w:rFonts w:ascii="Arial" w:cs="Arial" w:eastAsia="Arial" w:hAnsi="Arial"/>
          <w:sz w:val="18"/>
          <w:szCs w:val="18"/>
          <w:color w:val="auto"/>
        </w:rPr>
        <w:t>To finance any acquisitions or investments, we may choose to raise additional funds. The various ways we could raise additional funds carry potential risks. See “—Our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spacing w:after="0" w:line="161"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rely on commercial courier delivery services to transport specimens to our laboratory facility in a timely and cost-efficient manner, and if these delivery services are disrupted, our business would be harmed.</w:t>
      </w:r>
    </w:p>
    <w:p>
      <w:pPr>
        <w:spacing w:after="0" w:line="130"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Our business depends on our ability to quickly and reliably deliver test results to our customers. Disruptions in delivery service, whether due to labor disruptions, bad weather, natural disaster, terrorist acts, or threats or for other reasons could adversely affect specimen integrity and our ability to process specimens in a timely manner and service our customers, and ultimately our reputation and our business. In addition, if we are unable to continue to obtain expedited delivery services on commercially reasonable terms, our operating results may be adversely affected.</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Ethical, legal, and social concerns related to the use of genetic information could reduce demand for our tests.</w:t>
      </w:r>
    </w:p>
    <w:p>
      <w:pPr>
        <w:spacing w:after="0" w:line="198"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The December 2017 tax reform law could adversely affect our business and financial condition.</w:t>
      </w:r>
    </w:p>
    <w:p>
      <w:pPr>
        <w:spacing w:after="0" w:line="185"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On December 22, 2017, President Trump signed into law comprehensive tax legislation (the “Tax Cuts and Jobs Act”) that significantly revised the Internal Revenue Code of 1986, as amended (the “Code”). The Tax Cuts and Jobs Act, among other things, contained significant changes to corporate taxation, including reduction of the corporate tax rate from a top marginal rate of 35% to a flat rate of 21%, limitation of the tax deduction for interest expense to 30% of adjusted taxable income (except for certain small businesses), limitation of the deduction for net operating losses incurred after 2017 to 80% of current year taxable income and elimination of net operating loss carrybacks,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Tax Cuts and Jobs Act is uncertain and our business and financial condition could be adversely affected. In addition, it is uncertain if and to what extent various states will conform to the Tax Cuts and Jobs Act.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accrued amounts.</w:t>
      </w:r>
    </w:p>
    <w:p>
      <w:pPr>
        <w:spacing w:after="0" w:line="18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We are subject to taxation in numerous U.S. states and territories.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passage of the Tax Cuts and Jobs Act,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02"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b w:val="1"/>
          <w:bCs w:val="1"/>
          <w:i w:val="1"/>
          <w:iCs w:val="1"/>
          <w:color w:val="auto"/>
        </w:rPr>
        <w:t>Our tests may be subject to regulatory action if regulatory agencies determine that our tests do not appropriately comply with statutory and regulatory requirements enforced by the U.S. Food and Drug Administration, and/or CLIA requirements for quality laboratory testing.</w:t>
      </w:r>
    </w:p>
    <w:p>
      <w:pPr>
        <w:spacing w:after="0" w:line="83" w:lineRule="exact"/>
        <w:rPr>
          <w:sz w:val="20"/>
          <w:szCs w:val="20"/>
          <w:color w:val="auto"/>
        </w:rPr>
      </w:pPr>
    </w:p>
    <w:p>
      <w:pPr>
        <w:jc w:val="both"/>
        <w:ind w:firstLine="761"/>
        <w:spacing w:after="0" w:line="253" w:lineRule="auto"/>
        <w:rPr>
          <w:sz w:val="20"/>
          <w:szCs w:val="20"/>
          <w:color w:val="auto"/>
        </w:rPr>
      </w:pPr>
      <w:r>
        <w:rPr>
          <w:rFonts w:ascii="Arial" w:cs="Arial" w:eastAsia="Arial" w:hAnsi="Arial"/>
          <w:sz w:val="18"/>
          <w:szCs w:val="18"/>
          <w:color w:val="auto"/>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w:t>
      </w:r>
    </w:p>
    <w:p>
      <w:pPr>
        <w:spacing w:after="0" w:line="157" w:lineRule="exact"/>
        <w:rPr>
          <w:sz w:val="20"/>
          <w:szCs w:val="20"/>
          <w:color w:val="auto"/>
        </w:rPr>
      </w:pPr>
    </w:p>
    <w:p>
      <w:pPr>
        <w:jc w:val="both"/>
        <w:ind w:firstLine="761"/>
        <w:spacing w:after="0" w:line="267" w:lineRule="auto"/>
        <w:rPr>
          <w:sz w:val="20"/>
          <w:szCs w:val="20"/>
          <w:color w:val="auto"/>
        </w:rPr>
      </w:pPr>
      <w:r>
        <w:rPr>
          <w:rFonts w:ascii="Arial" w:cs="Arial" w:eastAsia="Arial" w:hAnsi="Arial"/>
          <w:sz w:val="17"/>
          <w:szCs w:val="17"/>
          <w:color w:val="auto"/>
        </w:rPr>
        <w:t>Although the FDA has statutory authority to assure that medical devices are safe and effective for their intended uses, the FDA has generally exercised its enforcement discretion and not enforced applicable regulations with respect to laboratory developed tests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 Despite the FDA’s historic enforcement discretion policy with respect to LDTs, in November 2017, the FDA finalized a classification order setting out the regulatory requirements that apply to certain genetic health risk tests and revised a separate classification order exempting certain carrier screening tests from FDA premarket clearance and approval requirements when certain regulatory requirements are met. None of our tests comply with these classification orders because we market our tests as LDTs that are subject to the FDA’s policy of enforcement discretion. However, the FDA may find that our tests do not fall within the definition of an LDT, and may determine that our tests are subject to the FDA’s enforcement of its medical device regulations, including the recent classification orders, and the applicable FDC Act provisions. While we believe that we are currently in material compliance with applicable laws and regulations, we cannot assure you that the FDA or other regulatory agencies would agree with our determination, and a determination that we have violated these laws, or a public announcement that we are being investigated for possible violations of these laws, could adversely affect our business, prospects, results of operations or financial condition. If the FDA determines that our tests are subject to enforcement as medical devices, we could be subject to enforcement action, including administrative and judicial sanctions, and additional regulatory controls and submissions for our tests, all of which could be burdensome. See “—Failure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66"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color w:val="auto"/>
        </w:rPr>
        <w:t>Moreover, LDTs may in the future become subject to more onerous regulation by the FDA. A significant change in any of the laws, regulations, or policies may require us to change our business model in order to maintain regulatory compliance. At various times since 2006, the FDA has issued documents outlining its intent to require varying levels of FDA oversight of many types of LDTs. In October 2014, the FDA issued two non-binding draft guidance documents that set forth a proposed risk-based regulatory framework that would apply varying levels of FDA oversight to LDTs. The FDA indicated that it did not intend to implement its proposed framework until the draft guidance documents are finalized. The FDA was expected to finalize its proposal for the oversight of LDTs before the end of 2016, but in November 2016, the FDA announced that it would halt finalizing of the guidance documents and continue to work with stakeholders, the incoming administration, and Congress on the approach to LDT regulation. This announcement was followed by the issuance of an information discussion paper on January 13, 2017, in which the FDA outlined a substantially revised “possible approach” to the oversight of LDTs. The discussion paper explicitly states that it is not a final version of the 2014 draft guidance and that it is not enforceable and does not represent the FDA’s “formal position.” It is unclear at this time if or when the FDA will finalize its plans to end enforcement discretion for LDTs, and even then, whether the new regulatory requirements are expected to be phased-in over time. However, the FDA may decide to regulate certain LDTs on a case-by-case basis at any time, which could result in delay or additional expense in offering our tests and tests that we may develop in the future.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6" w:name="page47"/>
    <w:bookmarkEnd w:id="46"/>
    <w:p>
      <w:pPr>
        <w:jc w:val="both"/>
        <w:ind w:firstLine="761"/>
        <w:spacing w:after="0" w:line="270" w:lineRule="auto"/>
        <w:rPr>
          <w:sz w:val="20"/>
          <w:szCs w:val="20"/>
          <w:color w:val="auto"/>
        </w:rPr>
      </w:pPr>
      <w:r>
        <w:rPr>
          <w:rFonts w:ascii="Arial" w:cs="Arial" w:eastAsia="Arial" w:hAnsi="Arial"/>
          <w:sz w:val="17"/>
          <w:szCs w:val="17"/>
          <w:color w:val="auto"/>
        </w:rPr>
        <w:t>Legislative proposals addressing oversight of genetic testing and LDTs have been introduced in previous Congresses, and we expect that new legislative proposals will be introduced from time to time in the future. We cannot provide any assurance that FDA regulation, including pre-market review, will not be required in the future for our tests, whether through finalization of guidance issued by the FDA, new enforcement policies adopted by the FDA or new legislation enacted by Congress. It is possible that legislation will be enacted into law or guidance could be issued by the FDA that may result in increased regulatory burdens for us to continue to offer our tests or to develop and introduce new tests. This legislative and regulatory uncertainty exposes us to the possibility of enforcement action or additional regulatory controls and submissions for our tests, both of which could be burdensome.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spacing w:after="0" w:line="151"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Additionally, the Centers for Medicare &amp; Medicaid Services (“CMS”), and certain state agencies regulate the performance of LDTs (as authorized under CLIA and state law, respectively). Our tests are developed in compliance with CLIA requirements. However, if our laboratory fails to comply with the prescribed quality requirements for laboratory testing or other requirements for CLIA, we could lose CLIA certification. That in turn would impact our ability to operate our laboratory and provide results to our customers, which could negatively impact our business operations.</w:t>
      </w:r>
    </w:p>
    <w:p>
      <w:pPr>
        <w:spacing w:after="0" w:line="131"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b w:val="1"/>
          <w:bCs w:val="1"/>
          <w:i w:val="1"/>
          <w:iCs w:val="1"/>
          <w:color w:val="auto"/>
        </w:rPr>
        <w:t>If the FDA determines that our services are subject to enforcement as medical devices, we could incur substantial costs and time delays associated with satisfying statutory and regulatory requirements such as pre-market clearance or approval and we could incur additional expense in offering our tests and tests that we may develop in the future.</w:t>
      </w:r>
    </w:p>
    <w:p>
      <w:pPr>
        <w:spacing w:after="0" w:line="141"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If the FDA determines that our tests and associated software do not fall within the definition of an LDT, or there are regulatory or legislative changes,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the regulatory requirements to which our tests are subject would depend on the FDA’s classification of our tests. The FDA has issued regulations classifying over 1,700 different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w:t>
      </w:r>
    </w:p>
    <w:p>
      <w:pPr>
        <w:spacing w:after="0" w:line="152"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 xml:space="preserve">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product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 for reclassification.</w:t>
      </w:r>
    </w:p>
    <w:p>
      <w:pPr>
        <w:spacing w:after="0" w:line="137"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The process for submitting a 510(k) premarket notification and receiving FDA clearance usually takes from three to twelve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7" w:name="page48"/>
    <w:bookmarkEnd w:id="47"/>
    <w:p>
      <w:pPr>
        <w:jc w:val="both"/>
        <w:ind w:firstLine="761"/>
        <w:spacing w:after="0" w:line="286" w:lineRule="auto"/>
        <w:rPr>
          <w:sz w:val="20"/>
          <w:szCs w:val="20"/>
          <w:color w:val="auto"/>
        </w:rPr>
      </w:pPr>
      <w:r>
        <w:rPr>
          <w:rFonts w:ascii="Arial" w:cs="Arial" w:eastAsia="Arial" w:hAnsi="Arial"/>
          <w:sz w:val="16"/>
          <w:szCs w:val="16"/>
          <w:color w:val="auto"/>
        </w:rPr>
        <w:t xml:space="preserve">If our tests are considered medical devices not subject to enforcement discretion, one classification regulation that could be relevant to one or more of our tests is a recently finalized classification for genetic health risk (“GHR”) assessment tests. On April 6, 2017, in response to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for reclassification submitted by another company, the FDA issued an order classifying genetic tests known as genetic health risk assessment systems (“GHR tests”) as Class II devices subject to premarket notification and specified special controls requirements. On November 7, 2017, the FDA codified this classification at 21 C.F.R. § 866.5950. If our tests are considered medical devices that are not subject to enforcement discretion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Although the FDA has also issued a proposal for a simplified path to market GHR tests that would amend the classification regulation at 21 C.F.R. § 886.5950 such that manufacturers would only be subject to a one-time marketing review to ensure that they meet the applicable FDA requirements prior to selling GHR tests in the market, the FDA has yet to finalize this proposal, and we do not know if and when finalization will occur. Even if the FDA finalizes the proposed limited exemption for GHR tests, if any of our current or pipeline tests are not considered by the FDA to be GHR tests or do not qualify for the limited exemption (if and when finalized), or if any of our tests fall under a different non-exempt classification or are unclassified, we could be required to obtain 510(k) clearance or approval of a PMA for such test in the future.</w:t>
      </w:r>
    </w:p>
    <w:p>
      <w:pPr>
        <w:spacing w:after="0" w:line="145"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color w:val="auto"/>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product development costs, delay commercialization of any future products, and interrupt sales of our current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spacing w:after="0" w:line="137"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If we are required to conduct clinical trials, we and any third-party contractors we engage would be required to comply with good clinical practices (“GCPs”), which are regulations and guidelines enforced by the FDA, for products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w:t>
      </w:r>
    </w:p>
    <w:p>
      <w:pPr>
        <w:spacing w:after="0" w:line="139"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52"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color w:val="auto"/>
        </w:rPr>
        <w:t>Moreover, there can be no assurance that any cleared or approved labeling claims will be consistent with our current claims or adequate to support continued adoption of our products. If premarket review is required for some or all of our products, the FDA may require that we stop selling our products pending clearance or approval, which would negatively impact our business. Even if our products are allowed to remain on the market prior to clearance or approval, demand for our products may decline if there is uncertainty about our products, if we are required to label our products as investigational by the FDA, or if the FDA limits the labeling claims we are permitted to make for our products. As a result, we could experience significantly increased development costs and a delay in generating additional revenues from our services, or from other services or products now in development.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jc w:val="both"/>
        <w:ind w:firstLine="761"/>
        <w:spacing w:after="0" w:line="259" w:lineRule="auto"/>
        <w:rPr>
          <w:sz w:val="20"/>
          <w:szCs w:val="20"/>
          <w:color w:val="auto"/>
        </w:rPr>
      </w:pPr>
      <w:r>
        <w:rPr>
          <w:rFonts w:ascii="Arial" w:cs="Arial" w:eastAsia="Arial" w:hAnsi="Arial"/>
          <w:sz w:val="18"/>
          <w:szCs w:val="18"/>
          <w:color w:val="auto"/>
        </w:rPr>
        <w:t>In addition, any clearance or approval we obtain for our products may contain requirements for costly post-market testing and surveillance to monitor the safety or efficacy of the product. The FDA has broad post-market enforcement powers, and if unanticipated problems with our products arise, or if we or our suppliers fail to comply with regulatory requirements following FDA clearance or approval, we may become subject to enforcement actions such as:</w:t>
      </w:r>
    </w:p>
    <w:p>
      <w:pPr>
        <w:spacing w:after="0" w:line="160" w:lineRule="exact"/>
        <w:rPr>
          <w:sz w:val="20"/>
          <w:szCs w:val="20"/>
          <w:color w:val="auto"/>
        </w:rPr>
      </w:pPr>
    </w:p>
    <w:p>
      <w:pPr>
        <w:ind w:left="1140" w:hanging="37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manufacturing processes;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product marketing;</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withdrawal or recall of products from the market;</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refusal to approve pending PMAs, 510(k)s, or supplements to approved PMAs or cleared 510(k)s that we submit;</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suspension or withdrawal of regulatory clearances or approvals;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 on, or refusal to permit, import or export of our products;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seizures;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185"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product’s FDA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148"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41"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Menlo Park, California. To renew this certificate, we are subject to survey and inspection every two years. Moreover, CLIA inspectors may make random inspections of our clinical reference laboratory.</w:t>
      </w:r>
    </w:p>
    <w:p>
      <w:pPr>
        <w:spacing w:after="0" w:line="161" w:lineRule="exact"/>
        <w:rPr>
          <w:sz w:val="20"/>
          <w:szCs w:val="20"/>
          <w:color w:val="auto"/>
        </w:rPr>
      </w:pPr>
    </w:p>
    <w:p>
      <w:pPr>
        <w:jc w:val="both"/>
        <w:ind w:firstLine="761"/>
        <w:spacing w:after="0" w:line="268" w:lineRule="auto"/>
        <w:rPr>
          <w:sz w:val="20"/>
          <w:szCs w:val="20"/>
          <w:color w:val="auto"/>
        </w:rPr>
      </w:pPr>
      <w:r>
        <w:rPr>
          <w:rFonts w:ascii="Arial" w:cs="Arial" w:eastAsia="Arial" w:hAnsi="Arial"/>
          <w:sz w:val="17"/>
          <w:szCs w:val="17"/>
          <w:color w:val="auto"/>
        </w:rPr>
        <w:t>We are also required to maintain a license to conduct testing in California. California laws establish standards for day-to-day operation of our clinical reference laboratory in Menlo Park,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product-specific basis by New York as an out-of-state laboratory, and our products, as LDTs, must be approved by the New York State Department of Health (the “NYDOH”) on a product-by-product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may also require us to maintain out-of-state licenses.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United States. Complying with licensure requirements in new jurisdictions may be expensive and/or time-consuming, may subject us to significant and unanticipated delays, or may be in conflict with other applicable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9" w:name="page50"/>
    <w:bookmarkEnd w:id="49"/>
    <w:p>
      <w:pPr>
        <w:jc w:val="both"/>
        <w:ind w:firstLine="761"/>
        <w:spacing w:after="0" w:line="255" w:lineRule="auto"/>
        <w:rPr>
          <w:sz w:val="20"/>
          <w:szCs w:val="20"/>
          <w:color w:val="auto"/>
        </w:rPr>
      </w:pPr>
      <w:r>
        <w:rPr>
          <w:rFonts w:ascii="Arial" w:cs="Arial" w:eastAsia="Arial" w:hAnsi="Arial"/>
          <w:sz w:val="18"/>
          <w:szCs w:val="18"/>
          <w:color w:val="auto"/>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revenues in doing so.</w:t>
      </w:r>
    </w:p>
    <w:p>
      <w:pPr>
        <w:spacing w:after="0" w:line="166" w:lineRule="exact"/>
        <w:rPr>
          <w:sz w:val="20"/>
          <w:szCs w:val="20"/>
          <w:color w:val="auto"/>
        </w:rPr>
      </w:pPr>
    </w:p>
    <w:p>
      <w:pPr>
        <w:jc w:val="both"/>
        <w:ind w:firstLine="761"/>
        <w:spacing w:after="0" w:line="268" w:lineRule="auto"/>
        <w:rPr>
          <w:sz w:val="20"/>
          <w:szCs w:val="20"/>
          <w:color w:val="auto"/>
        </w:rPr>
      </w:pPr>
      <w:r>
        <w:rPr>
          <w:rFonts w:ascii="Arial" w:cs="Arial" w:eastAsia="Arial" w:hAnsi="Arial"/>
          <w:sz w:val="17"/>
          <w:szCs w:val="17"/>
          <w:color w:val="auto"/>
        </w:rPr>
        <w:t>Although we market our tests as LDTs that are currently subject to the FDA’s exercise of enforcement discretion, if we fail to operate within the conditions of that exercise of enforcement discretion, or if any of our products otherwise fail to comply with FDA regulatory requirements as enforced,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revenues, and harm our business, financial condition, and results of operations. In particular, if we or the FDA discover that any of our products have defects that call into question the accuracy of their results, we may be required to undertake a retest of all results and analyses provided during the period relevant to the defect, or recall the affected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may not agree, and a determination that we have violated these laws or a public announcement that we are being investigated for possible violations of these laws could adversely affect our business, financial condition, results of operations, and prospects.</w:t>
      </w:r>
    </w:p>
    <w:p>
      <w:pPr>
        <w:spacing w:after="0" w:line="147"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30" w:lineRule="exact"/>
        <w:rPr>
          <w:sz w:val="20"/>
          <w:szCs w:val="20"/>
          <w:color w:val="auto"/>
        </w:rPr>
      </w:pPr>
    </w:p>
    <w:p>
      <w:pPr>
        <w:ind w:right="20" w:firstLine="761"/>
        <w:spacing w:after="0" w:line="277" w:lineRule="auto"/>
        <w:rPr>
          <w:sz w:val="20"/>
          <w:szCs w:val="20"/>
          <w:color w:val="auto"/>
        </w:rPr>
      </w:pPr>
      <w:r>
        <w:rPr>
          <w:rFonts w:ascii="Arial" w:cs="Arial" w:eastAsia="Arial" w:hAnsi="Arial"/>
          <w:sz w:val="18"/>
          <w:szCs w:val="18"/>
          <w:color w:val="auto"/>
        </w:rPr>
        <w:t>Our operations may be subject to other extensive federal, state, local, and foreign laws and regulations, all of which are subject to change. These laws and regulations currently include, among others:</w:t>
      </w:r>
    </w:p>
    <w:p>
      <w:pPr>
        <w:spacing w:after="0" w:line="143" w:lineRule="exact"/>
        <w:rPr>
          <w:sz w:val="20"/>
          <w:szCs w:val="20"/>
          <w:color w:val="auto"/>
        </w:rPr>
      </w:pPr>
    </w:p>
    <w:p>
      <w:pPr>
        <w:jc w:val="both"/>
        <w:ind w:left="1140" w:hanging="376"/>
        <w:spacing w:after="0" w:line="273" w:lineRule="auto"/>
        <w:tabs>
          <w:tab w:leader="none" w:pos="11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spacing w:after="0" w:line="137" w:lineRule="exact"/>
        <w:rPr>
          <w:rFonts w:ascii="Arial" w:cs="Arial" w:eastAsia="Arial" w:hAnsi="Arial"/>
          <w:sz w:val="17"/>
          <w:szCs w:val="17"/>
          <w:color w:val="auto"/>
        </w:rPr>
      </w:pPr>
    </w:p>
    <w:p>
      <w:pPr>
        <w:jc w:val="both"/>
        <w:ind w:left="1140" w:hanging="376"/>
        <w:spacing w:after="0" w:line="276" w:lineRule="auto"/>
        <w:tabs>
          <w:tab w:leader="none" w:pos="11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spacing w:after="0" w:line="132" w:lineRule="exact"/>
        <w:rPr>
          <w:rFonts w:ascii="Arial" w:cs="Arial" w:eastAsia="Arial" w:hAnsi="Arial"/>
          <w:sz w:val="17"/>
          <w:szCs w:val="17"/>
          <w:color w:val="auto"/>
        </w:rPr>
      </w:pPr>
    </w:p>
    <w:p>
      <w:pPr>
        <w:jc w:val="both"/>
        <w:ind w:left="1140" w:hanging="376"/>
        <w:spacing w:after="0" w:line="276" w:lineRule="auto"/>
        <w:tabs>
          <w:tab w:leader="none" w:pos="11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“Anti-Markup Rule” and similar state and similar state laws, among other things, prohibits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payer is billed at a rate that exceeds the performing laboratory’s charges to the billing physician or supplier, and the performing laboratory could be at risk under false claims laws, described below, for causing the submission of a false claim;</w:t>
      </w:r>
    </w:p>
    <w:p>
      <w:pPr>
        <w:spacing w:after="0" w:line="132" w:lineRule="exact"/>
        <w:rPr>
          <w:rFonts w:ascii="Arial" w:cs="Arial" w:eastAsia="Arial" w:hAnsi="Arial"/>
          <w:sz w:val="17"/>
          <w:szCs w:val="17"/>
          <w:color w:val="auto"/>
        </w:rPr>
      </w:pPr>
    </w:p>
    <w:p>
      <w:pPr>
        <w:jc w:val="both"/>
        <w:ind w:left="1140" w:hanging="376"/>
        <w:spacing w:after="0" w:line="297" w:lineRule="auto"/>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0" w:name="page51"/>
    <w:bookmarkEnd w:id="50"/>
    <w:p>
      <w:pPr>
        <w:jc w:val="both"/>
        <w:ind w:left="1140" w:hanging="376"/>
        <w:spacing w:after="0" w:line="286" w:lineRule="auto"/>
        <w:tabs>
          <w:tab w:leader="none" w:pos="11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25" w:lineRule="exact"/>
        <w:rPr>
          <w:rFonts w:ascii="Arial" w:cs="Arial" w:eastAsia="Arial" w:hAnsi="Arial"/>
          <w:sz w:val="17"/>
          <w:szCs w:val="17"/>
          <w:color w:val="auto"/>
        </w:rPr>
      </w:pPr>
    </w:p>
    <w:p>
      <w:pPr>
        <w:jc w:val="both"/>
        <w:ind w:left="1140" w:hanging="376"/>
        <w:spacing w:after="0" w:line="302" w:lineRule="auto"/>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(“CHIP”) to report annually to CMS information related to (i) payments and other transfers of value to physicians and teaching hospitals, and (ii) ownership and investment interests held by physicians and their immediate family members;</w:t>
      </w:r>
    </w:p>
    <w:p>
      <w:pPr>
        <w:spacing w:after="0" w:line="113" w:lineRule="exact"/>
        <w:rPr>
          <w:rFonts w:ascii="Arial" w:cs="Arial" w:eastAsia="Arial" w:hAnsi="Arial"/>
          <w:sz w:val="16"/>
          <w:szCs w:val="16"/>
          <w:color w:val="auto"/>
        </w:rPr>
      </w:pPr>
    </w:p>
    <w:p>
      <w:pPr>
        <w:jc w:val="both"/>
        <w:ind w:left="1140" w:hanging="376"/>
        <w:spacing w:after="0" w:line="25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147" w:lineRule="exact"/>
        <w:rPr>
          <w:rFonts w:ascii="Arial" w:cs="Arial" w:eastAsia="Arial" w:hAnsi="Arial"/>
          <w:sz w:val="18"/>
          <w:szCs w:val="18"/>
          <w:color w:val="auto"/>
        </w:rPr>
      </w:pPr>
    </w:p>
    <w:p>
      <w:pPr>
        <w:jc w:val="both"/>
        <w:ind w:left="1140" w:hanging="376"/>
        <w:spacing w:after="0" w:line="264"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Eliminating Kickbacks in Recovery Act of 2018 (“EKRA”), which prohibits payments for referrals to recovery homes, clinical treatment facilities, and laboratories. EKRA’s reach extends beyond federal health care programs to include private insurance (i.e., it is an “all payer” statute);</w:t>
      </w:r>
    </w:p>
    <w:p>
      <w:pPr>
        <w:spacing w:after="0" w:line="140" w:lineRule="exact"/>
        <w:rPr>
          <w:rFonts w:ascii="Arial" w:cs="Arial" w:eastAsia="Arial" w:hAnsi="Arial"/>
          <w:sz w:val="18"/>
          <w:szCs w:val="18"/>
          <w:color w:val="auto"/>
        </w:rPr>
      </w:pPr>
    </w:p>
    <w:p>
      <w:pPr>
        <w:jc w:val="both"/>
        <w:ind w:left="1140" w:hanging="376"/>
        <w:spacing w:after="0" w:line="264"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payer, including private insurers;</w:t>
      </w:r>
    </w:p>
    <w:p>
      <w:pPr>
        <w:spacing w:after="0" w:line="140"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29" w:lineRule="exact"/>
        <w:rPr>
          <w:rFonts w:ascii="Arial" w:cs="Arial" w:eastAsia="Arial" w:hAnsi="Arial"/>
          <w:sz w:val="18"/>
          <w:szCs w:val="18"/>
          <w:color w:val="auto"/>
        </w:rPr>
      </w:pPr>
    </w:p>
    <w:p>
      <w:pPr>
        <w:jc w:val="both"/>
        <w:ind w:left="1140" w:hanging="376"/>
        <w:spacing w:after="0" w:line="279" w:lineRule="auto"/>
        <w:tabs>
          <w:tab w:leader="none" w:pos="11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state laws that prohibit other specified practices, such as billing physicians for testing that they order;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spacing w:after="0" w:line="130" w:lineRule="exact"/>
        <w:rPr>
          <w:rFonts w:ascii="Arial" w:cs="Arial" w:eastAsia="Arial" w:hAnsi="Arial"/>
          <w:sz w:val="17"/>
          <w:szCs w:val="17"/>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 or may operate in the future.</w:t>
      </w:r>
    </w:p>
    <w:p>
      <w:pPr>
        <w:spacing w:after="0" w:line="18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As a clinical laboratory, our business practices may face additional scrutiny from government regulatory agencies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spacing w:after="0" w:line="162" w:lineRule="exact"/>
        <w:rPr>
          <w:sz w:val="20"/>
          <w:szCs w:val="20"/>
          <w:color w:val="auto"/>
        </w:rPr>
      </w:pPr>
    </w:p>
    <w:p>
      <w:pPr>
        <w:jc w:val="both"/>
        <w:ind w:firstLine="761"/>
        <w:spacing w:after="0" w:line="290" w:lineRule="auto"/>
        <w:rPr>
          <w:sz w:val="20"/>
          <w:szCs w:val="20"/>
          <w:color w:val="auto"/>
        </w:rPr>
      </w:pPr>
      <w:r>
        <w:rPr>
          <w:rFonts w:ascii="Arial" w:cs="Arial" w:eastAsia="Arial" w:hAnsi="Arial"/>
          <w:sz w:val="16"/>
          <w:szCs w:val="16"/>
          <w:color w:val="auto"/>
        </w:rPr>
        <w:t>The growth of our business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1" w:name="page52"/>
    <w:bookmarkEnd w:id="51"/>
    <w:p>
      <w:pPr>
        <w:ind w:left="760"/>
        <w:spacing w:after="0"/>
        <w:rPr>
          <w:sz w:val="20"/>
          <w:szCs w:val="20"/>
          <w:color w:val="auto"/>
        </w:rPr>
      </w:pPr>
      <w:r>
        <w:rPr>
          <w:rFonts w:ascii="Arial" w:cs="Arial" w:eastAsia="Arial" w:hAnsi="Arial"/>
          <w:sz w:val="18"/>
          <w:szCs w:val="18"/>
          <w:b w:val="1"/>
          <w:bCs w:val="1"/>
          <w:i w:val="1"/>
          <w:iCs w:val="1"/>
          <w:color w:val="auto"/>
        </w:rPr>
        <w:t>If we decide to grow our business by developing in vitro diagnostic tests, we may be subject to reimbursement challenges.</w:t>
      </w:r>
    </w:p>
    <w:p>
      <w:pPr>
        <w:spacing w:after="0" w:line="198"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6"/>
          <w:szCs w:val="16"/>
          <w:color w:val="auto"/>
        </w:rPr>
        <w:t>The coverage and reimbursement status of newly approved or cleared laboratory tests is uncertain. If we develop in vitro diagnostic tests and decide to seek reimbursement, and if such tests are inadequately covered by insurance and ineligible for such reimbursement, this could limit our ability to market any such future tests. The commercial success of future products in both domestic and international markets may depend in part on the availability of coverage and adequate reimbursement from third-party payors, including government payors, such as the Medicare and Medicaid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future in vitro diagnostic tests that we develop. These payors may conclude that our products are less safe, less effective, or less cost-effective than existing or later-introduced products. These payors may also conclude that the overall cost of using one of our tests exceeds the overall cost of using a competing test, and third-party payors may not approve any future in vitro diagnostic tests we develop for insurance coverage and adequate reimbursement.</w:t>
      </w:r>
    </w:p>
    <w:p>
      <w:pPr>
        <w:spacing w:after="0" w:line="126"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could be adversely affected by violations of the Foreign Corrupt Practices Act of 1977, as amended (the “FCPA”), and other worldwide anti-bribery laws.</w:t>
      </w:r>
    </w:p>
    <w:p>
      <w:pPr>
        <w:spacing w:after="0" w:line="130"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51" w:lineRule="exact"/>
        <w:rPr>
          <w:sz w:val="20"/>
          <w:szCs w:val="20"/>
          <w:color w:val="auto"/>
        </w:rPr>
      </w:pPr>
    </w:p>
    <w:p>
      <w:pPr>
        <w:ind w:left="760" w:right="20"/>
        <w:spacing w:after="0" w:line="308" w:lineRule="auto"/>
        <w:rPr>
          <w:sz w:val="20"/>
          <w:szCs w:val="20"/>
          <w:color w:val="auto"/>
        </w:rPr>
      </w:pPr>
      <w:r>
        <w:rPr>
          <w:rFonts w:ascii="Arial" w:cs="Arial" w:eastAsia="Arial" w:hAnsi="Arial"/>
          <w:sz w:val="17"/>
          <w:szCs w:val="17"/>
          <w:b w:val="1"/>
          <w:bCs w:val="1"/>
          <w:i w:val="1"/>
          <w:iCs w:val="1"/>
          <w:color w:val="auto"/>
        </w:rPr>
        <w:t>Expansion into international markets would subject us to increased regulatory oversight and regulatory, economic, social and political uncertainties, which could cause a material adverse effect on our business, financial position, and results of operations.</w:t>
      </w:r>
    </w:p>
    <w:p>
      <w:pPr>
        <w:spacing w:after="0" w:line="106"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6"/>
          <w:szCs w:val="16"/>
          <w:color w:val="auto"/>
        </w:rPr>
        <w:t>We may in the future expand our business and operations into international jurisdictions in which we have limited operating experience, including with respect to seeking regulatory approvals and marketing and selling products and services. If we expand internationally, our operations in these jurisdictions may be adversely affected by general economic conditions and economic and fiscal policy, including changes in exchange rates and controls, interest rates and taxation policies, increased government regulation, social stability,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FCPA,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health care policy could increase our costs, decrease our revenues, and impact sales of and reimbursement for our tests.</w:t>
      </w:r>
    </w:p>
    <w:p>
      <w:pPr>
        <w:spacing w:after="0" w:line="221"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In March 2010, the Patient Protection and Affordable Care Act, as amended by the Health Care and Education Reconciliation Act (the “ACA”), became law. This law substantially changed the way health care is financed by both commercial payers and government payers,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2" w:name="page53"/>
    <w:bookmarkEnd w:id="52"/>
    <w:p>
      <w:pPr>
        <w:ind w:left="760"/>
        <w:spacing w:after="0"/>
        <w:rPr>
          <w:sz w:val="20"/>
          <w:szCs w:val="20"/>
          <w:color w:val="auto"/>
        </w:rPr>
      </w:pPr>
      <w:r>
        <w:rPr>
          <w:rFonts w:ascii="Arial" w:cs="Arial" w:eastAsia="Arial" w:hAnsi="Arial"/>
          <w:sz w:val="18"/>
          <w:szCs w:val="18"/>
          <w:color w:val="auto"/>
        </w:rPr>
        <w:t>Among other things, the ACA:</w:t>
      </w:r>
    </w:p>
    <w:p>
      <w:pPr>
        <w:spacing w:after="0" w:line="198" w:lineRule="exact"/>
        <w:rPr>
          <w:sz w:val="20"/>
          <w:szCs w:val="20"/>
          <w:color w:val="auto"/>
        </w:rPr>
      </w:pPr>
    </w:p>
    <w:p>
      <w:pPr>
        <w:jc w:val="both"/>
        <w:ind w:left="1140" w:hanging="376"/>
        <w:spacing w:after="0" w:line="259"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imposed an annual excise tax of 2.3% on any entity that manufactures or imports medical devices offered for sale in the United States, with limited exceptions, although the effective rate paid may be lower. Under the Consolidated Appropriations Act of 2016, the excise tax was suspended through December 31, 2017, and under the continuing resolution on appropriations for fiscal year 2018, signed by President Trump on January 22, 2018, was further suspended through December 31, 2019;</w:t>
      </w:r>
    </w:p>
    <w:p>
      <w:pPr>
        <w:spacing w:after="0" w:line="146" w:lineRule="exact"/>
        <w:rPr>
          <w:rFonts w:ascii="Arial" w:cs="Arial" w:eastAsia="Arial" w:hAnsi="Arial"/>
          <w:sz w:val="18"/>
          <w:szCs w:val="18"/>
          <w:color w:val="auto"/>
        </w:rPr>
      </w:pPr>
    </w:p>
    <w:p>
      <w:pPr>
        <w:jc w:val="both"/>
        <w:ind w:left="1140" w:right="20" w:hanging="376"/>
        <w:spacing w:after="0" w:line="264"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140"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and identify priorities in comparative clinical efficacy research in an effort to coordinate and develop such research; and</w:t>
      </w:r>
    </w:p>
    <w:p>
      <w:pPr>
        <w:spacing w:after="0" w:line="129"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established a Center for Medicare &amp; Medicaid Innovation at CMS to test innovative payment and service delivery models to lower Medicare and Medicaid spending.</w:t>
      </w:r>
    </w:p>
    <w:p>
      <w:pPr>
        <w:spacing w:after="0" w:line="130"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color w:val="auto"/>
        </w:rPr>
        <w:t>Some of the provisions of the ACA have yet to be implemented, and there have been judicial and Congressional challenges to certain aspects of the ACA, as well as recent efforts by the Trump administration to repeal or replace certain aspects of the ACA. Since January 2017, President Trump has signed two Executive Orders and other directives to delay the implementation of certain requirements of the ACA. 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including, without limitation, the medical device excise tax. On December 14, 2018, a Texas U.S. District Court Judge ruled that the ACA is unconstitutional in its entirety because the “individual mandate” was repealed by Congress as part of the Tax Cuts and Jobs Act. While the Texas U.S. District Court Judge, as well as the Trump administration and CMS, have stated that the ruling will have no immediate effect pending appeal of the decision, it is unclear how this decision, subsequent appeals, and other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spacing w:after="0" w:line="132" w:lineRule="exact"/>
        <w:rPr>
          <w:sz w:val="20"/>
          <w:szCs w:val="20"/>
          <w:color w:val="auto"/>
        </w:rPr>
      </w:pPr>
    </w:p>
    <w:p>
      <w:pPr>
        <w:jc w:val="both"/>
        <w:ind w:firstLine="761"/>
        <w:spacing w:after="0" w:line="290"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2027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a new system of incentive payments beginning in 2019 that are based on various performance measures and physicians’ participation in alternative payment models such as accountable care organizations.</w:t>
      </w:r>
    </w:p>
    <w:p>
      <w:pPr>
        <w:spacing w:after="0" w:line="126"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18"/>
          <w:szCs w:val="18"/>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revenues from payments made under the Medicare Clinical Laboratory Fee Schedule, or the Physician Fee Schedule are required to report to CMS, beginning in 2017 and every three years thereafter (or annually for “advanced diagnostic laboratory tests”), private payer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It is unclear what impact new quality and payment programs, such as MACRA, or new pricing structures, such as those adopted under PAMA, may have on our business, financial condition, results of operations, or cash flows.</w:t>
      </w:r>
    </w:p>
    <w:p>
      <w:pPr>
        <w:spacing w:after="0" w:line="165" w:lineRule="exact"/>
        <w:rPr>
          <w:sz w:val="20"/>
          <w:szCs w:val="20"/>
          <w:color w:val="auto"/>
        </w:rPr>
      </w:pPr>
    </w:p>
    <w:p>
      <w:pPr>
        <w:jc w:val="both"/>
        <w:ind w:firstLine="761"/>
        <w:spacing w:after="0" w:line="312" w:lineRule="auto"/>
        <w:rPr>
          <w:sz w:val="20"/>
          <w:szCs w:val="20"/>
          <w:color w:val="auto"/>
        </w:rPr>
      </w:pPr>
      <w:r>
        <w:rPr>
          <w:rFonts w:ascii="Arial" w:cs="Arial" w:eastAsia="Arial" w:hAnsi="Arial"/>
          <w:sz w:val="16"/>
          <w:szCs w:val="16"/>
          <w:color w:val="auto"/>
        </w:rPr>
        <w:t>We anticipate there will continue to be proposals by legislators at both the federal and state levels, regulators and private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3" w:name="page54"/>
    <w:bookmarkEnd w:id="53"/>
    <w:p>
      <w:pPr>
        <w:ind w:left="760"/>
        <w:spacing w:after="0"/>
        <w:rPr>
          <w:sz w:val="20"/>
          <w:szCs w:val="20"/>
          <w:color w:val="auto"/>
        </w:rPr>
      </w:pPr>
      <w:r>
        <w:rPr>
          <w:rFonts w:ascii="Arial" w:cs="Arial" w:eastAsia="Arial" w:hAnsi="Arial"/>
          <w:sz w:val="18"/>
          <w:szCs w:val="18"/>
          <w:b w:val="1"/>
          <w:bCs w:val="1"/>
          <w:i w:val="1"/>
          <w:iCs w:val="1"/>
          <w:color w:val="auto"/>
        </w:rPr>
        <w:t>If we use hazardous materials in a manner that causes injury, we could be liable for resulting damages.</w:t>
      </w:r>
    </w:p>
    <w:p>
      <w:pPr>
        <w:spacing w:after="0" w:line="198"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color w:val="auto"/>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b w:val="1"/>
          <w:bCs w:val="1"/>
          <w:i w:val="1"/>
          <w:iCs w:val="1"/>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54" w:lineRule="exact"/>
        <w:rPr>
          <w:sz w:val="20"/>
          <w:szCs w:val="20"/>
          <w:color w:val="auto"/>
        </w:rPr>
      </w:pPr>
    </w:p>
    <w:p>
      <w:pPr>
        <w:jc w:val="both"/>
        <w:ind w:firstLine="761"/>
        <w:spacing w:after="0" w:line="284" w:lineRule="auto"/>
        <w:rPr>
          <w:sz w:val="20"/>
          <w:szCs w:val="20"/>
          <w:color w:val="auto"/>
        </w:rPr>
      </w:pPr>
      <w:r>
        <w:rPr>
          <w:rFonts w:ascii="Arial" w:cs="Arial" w:eastAsia="Arial" w:hAnsi="Arial"/>
          <w:sz w:val="16"/>
          <w:szCs w:val="16"/>
          <w:color w:val="auto"/>
        </w:rPr>
        <w:t>Our commercial success will depend in part on our avoiding infringement of patents and infringement, misappropriation or other violations of other proprietary rights of third parties, including for example the intellectual property of competitors. There is extensive intellectual property litigation involving the biotechnology and pharmaceutical industries and genetic sequencing technology.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including ACE ImmunoID and ImmunoID NeXT technology. In order to avoid infringing these third-party patents, we may find it necessary to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products or services.</w:t>
      </w:r>
    </w:p>
    <w:p>
      <w:pPr>
        <w:spacing w:after="0" w:line="356"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4" w:name="page55"/>
    <w:bookmarkEnd w:id="54"/>
    <w:p>
      <w:pPr>
        <w:jc w:val="both"/>
        <w:ind w:firstLine="761"/>
        <w:spacing w:after="0" w:line="268" w:lineRule="auto"/>
        <w:rPr>
          <w:sz w:val="20"/>
          <w:szCs w:val="20"/>
          <w:color w:val="auto"/>
        </w:rPr>
      </w:pPr>
      <w:r>
        <w:rPr>
          <w:rFonts w:ascii="Arial" w:cs="Arial" w:eastAsia="Arial" w:hAnsi="Arial"/>
          <w:sz w:val="17"/>
          <w:szCs w:val="17"/>
          <w:color w:val="auto"/>
        </w:rPr>
        <w:t>As we continue to commercialize our tests in their current or an updated form, launch different and expanded tests and enter new markets, other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spacing w:after="0" w:line="156"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products in the future.</w:t>
      </w:r>
    </w:p>
    <w:p>
      <w:pPr>
        <w:spacing w:after="0" w:line="208"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spacing w:after="0" w:line="152" w:lineRule="exact"/>
        <w:rPr>
          <w:sz w:val="20"/>
          <w:szCs w:val="20"/>
          <w:color w:val="auto"/>
        </w:rPr>
      </w:pPr>
    </w:p>
    <w:p>
      <w:pPr>
        <w:jc w:val="both"/>
        <w:ind w:firstLine="761"/>
        <w:spacing w:after="0" w:line="302" w:lineRule="auto"/>
        <w:rPr>
          <w:sz w:val="20"/>
          <w:szCs w:val="20"/>
          <w:color w:val="auto"/>
        </w:rPr>
      </w:pPr>
      <w:r>
        <w:rPr>
          <w:rFonts w:ascii="Arial" w:cs="Arial" w:eastAsia="Arial" w:hAnsi="Arial"/>
          <w:sz w:val="16"/>
          <w:szCs w:val="16"/>
          <w:color w:val="auto"/>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spacing w:after="0" w:line="114"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b w:val="1"/>
          <w:bCs w:val="1"/>
          <w:i w:val="1"/>
          <w:iCs w:val="1"/>
          <w:color w:val="auto"/>
        </w:rPr>
        <w:t>Developments or uncertainty in the patent statute, patent case law or U.S. Patent and Trademark Office (“USPTO”), rules and regulations may impact the validity, scope or enforceability of our patent rights, thereby impairing our ability to protect our products.</w:t>
      </w:r>
    </w:p>
    <w:p>
      <w:pPr>
        <w:spacing w:after="0" w:line="83"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Our patent rights, their associated costs, and the enforcement or defense of such patent rights may be affected by developments or uncertainty in the patent statute, patent case law or USPTO rules and regulations.</w:t>
      </w:r>
    </w:p>
    <w:p>
      <w:pPr>
        <w:spacing w:after="0" w:line="143" w:lineRule="exact"/>
        <w:rPr>
          <w:sz w:val="20"/>
          <w:szCs w:val="20"/>
          <w:color w:val="auto"/>
        </w:rPr>
      </w:pPr>
    </w:p>
    <w:p>
      <w:pPr>
        <w:jc w:val="both"/>
        <w:ind w:firstLine="761"/>
        <w:spacing w:after="0" w:line="291" w:lineRule="auto"/>
        <w:rPr>
          <w:sz w:val="20"/>
          <w:szCs w:val="20"/>
          <w:color w:val="auto"/>
        </w:rPr>
      </w:pPr>
      <w:r>
        <w:rPr>
          <w:rFonts w:ascii="Arial" w:cs="Arial" w:eastAsia="Arial" w:hAnsi="Arial"/>
          <w:sz w:val="16"/>
          <w:szCs w:val="16"/>
          <w:color w:val="auto"/>
        </w:rPr>
        <w:t>There are a number of recent changes to the patent laws that may have a significant impact on our ability to protect our technology and enforce our intellectual property rights. For example, the Leahy-Smith America Invents Act (the “AIA”) enacted within the last several years involves significant changes in patent legislation. These include provisions that affect the way patent applications will be prosecuted and may also affect patent litigation. As an example, assuming that other requirements for patentability are met, prior to March 2013, in the United States, the first to invent the claimed invention was entitled to the patent, while outside the United States, the first to file a patent application was entitled to the patent. On or after March 16, 2013, under the AIA, the United States transitioned to a first inventor to file system in which, assuming that other requirements for patentability are met, means that the party that is first to file in the United States generally is awarded the patent rights, regardless of whether such party invented the claimed invention first.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5" w:name="page56"/>
    <w:bookmarkEnd w:id="55"/>
    <w:p>
      <w:pPr>
        <w:jc w:val="both"/>
        <w:ind w:firstLine="761"/>
        <w:spacing w:after="0" w:line="289" w:lineRule="auto"/>
        <w:rPr>
          <w:sz w:val="20"/>
          <w:szCs w:val="20"/>
          <w:color w:val="auto"/>
        </w:rPr>
      </w:pPr>
      <w:r>
        <w:rPr>
          <w:rFonts w:ascii="Arial" w:cs="Arial" w:eastAsia="Arial" w:hAnsi="Arial"/>
          <w:sz w:val="16"/>
          <w:szCs w:val="16"/>
          <w:color w:val="auto"/>
        </w:rPr>
        <w:t xml:space="preserve">The AIA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40"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Further, 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spacing w:after="0" w:line="148"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genetic diagnostics tests would be considered natural laws. Accordingly, the evolving case law in the United States may adversely affect our ability to obtain patents and may facilitate third-party challenges to any owned or licensed patents. The laws of some foreign countries do not protect intellectual property rights to the same extent as the laws of the United States,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for an adequate amount of time.</w:t>
      </w:r>
    </w:p>
    <w:p>
      <w:pPr>
        <w:spacing w:after="0" w:line="198" w:lineRule="exact"/>
        <w:rPr>
          <w:sz w:val="20"/>
          <w:szCs w:val="20"/>
          <w:color w:val="auto"/>
        </w:rPr>
      </w:pPr>
    </w:p>
    <w:p>
      <w:pPr>
        <w:jc w:val="both"/>
        <w:ind w:firstLine="761"/>
        <w:spacing w:after="0" w:line="290" w:lineRule="auto"/>
        <w:rPr>
          <w:sz w:val="20"/>
          <w:szCs w:val="20"/>
          <w:color w:val="auto"/>
        </w:rPr>
      </w:pPr>
      <w:r>
        <w:rPr>
          <w:rFonts w:ascii="Arial" w:cs="Arial" w:eastAsia="Arial" w:hAnsi="Arial"/>
          <w:sz w:val="16"/>
          <w:szCs w:val="16"/>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Our issued patents will expire on dates ranging from 2033 to 2037, subject to any patent extensions that may be available for such patents. If patents are issued on our pending patent applications, the resulting patents are projected to expire on dates ranging from 2033 to 2038. In addition, although upon issuance in the United States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spacing w:after="0" w:line="126" w:lineRule="exact"/>
        <w:rPr>
          <w:sz w:val="20"/>
          <w:szCs w:val="20"/>
          <w:color w:val="auto"/>
        </w:rPr>
      </w:pPr>
    </w:p>
    <w:p>
      <w:pPr>
        <w:jc w:val="both"/>
        <w:ind w:left="760"/>
        <w:spacing w:after="0" w:line="340" w:lineRule="auto"/>
        <w:rPr>
          <w:sz w:val="20"/>
          <w:szCs w:val="20"/>
          <w:color w:val="auto"/>
        </w:rPr>
      </w:pPr>
      <w:r>
        <w:rPr>
          <w:rFonts w:ascii="Arial" w:cs="Arial" w:eastAsia="Arial" w:hAnsi="Arial"/>
          <w:sz w:val="15"/>
          <w:szCs w:val="15"/>
          <w:b w:val="1"/>
          <w:bCs w:val="1"/>
          <w:i w:val="1"/>
          <w:iCs w:val="1"/>
          <w:color w:val="auto"/>
        </w:rPr>
        <w:t>If we are not able to obtain and enforce patent protection for any products we develop and for our technologies, or if the scope of patent protection obtained is not sufficiently broad, our competitors and other third parties could develop and commercialize products and technology similar or identical to ours, and our ability to successfully commercialize our products, services, and technologies may be adversely affected.</w:t>
      </w:r>
    </w:p>
    <w:p>
      <w:pPr>
        <w:spacing w:after="0" w:line="91"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We have applied, and we intend to continue applying, for patents covering such aspects of our technologies as we deem appropriate. However, the patent process is expensive, time consuming and complex, and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spacing w:after="0" w:line="160"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nucleic acid sequences.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6" w:name="page57"/>
    <w:bookmarkEnd w:id="56"/>
    <w:p>
      <w:pPr>
        <w:jc w:val="both"/>
        <w:ind w:firstLine="761"/>
        <w:spacing w:after="0" w:line="293" w:lineRule="auto"/>
        <w:rPr>
          <w:sz w:val="20"/>
          <w:szCs w:val="20"/>
          <w:color w:val="auto"/>
        </w:rPr>
      </w:pPr>
      <w:r>
        <w:rPr>
          <w:rFonts w:ascii="Arial" w:cs="Arial" w:eastAsia="Arial" w:hAnsi="Arial"/>
          <w:sz w:val="16"/>
          <w:szCs w:val="16"/>
          <w:color w:val="auto"/>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or products in a non-infringing manner.</w:t>
      </w:r>
    </w:p>
    <w:p>
      <w:pPr>
        <w:spacing w:after="0" w:line="138" w:lineRule="exact"/>
        <w:rPr>
          <w:sz w:val="20"/>
          <w:szCs w:val="20"/>
          <w:color w:val="auto"/>
        </w:rPr>
      </w:pPr>
    </w:p>
    <w:p>
      <w:pPr>
        <w:jc w:val="both"/>
        <w:ind w:firstLine="761"/>
        <w:spacing w:after="0" w:line="291" w:lineRule="auto"/>
        <w:rPr>
          <w:sz w:val="20"/>
          <w:szCs w:val="20"/>
          <w:color w:val="auto"/>
        </w:rPr>
      </w:pPr>
      <w:r>
        <w:rPr>
          <w:rFonts w:ascii="Arial" w:cs="Arial" w:eastAsia="Arial" w:hAnsi="Arial"/>
          <w:sz w:val="16"/>
          <w:szCs w:val="16"/>
          <w:color w:val="auto"/>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spacing w:after="0" w:line="127" w:lineRule="exact"/>
        <w:rPr>
          <w:sz w:val="20"/>
          <w:szCs w:val="20"/>
          <w:color w:val="auto"/>
        </w:rPr>
      </w:pPr>
    </w:p>
    <w:p>
      <w:pPr>
        <w:jc w:val="both"/>
        <w:ind w:firstLine="761"/>
        <w:spacing w:after="0" w:line="253" w:lineRule="auto"/>
        <w:rPr>
          <w:sz w:val="20"/>
          <w:szCs w:val="20"/>
          <w:color w:val="auto"/>
        </w:rPr>
      </w:pPr>
      <w:r>
        <w:rPr>
          <w:rFonts w:ascii="Arial" w:cs="Arial" w:eastAsia="Arial" w:hAnsi="Arial"/>
          <w:sz w:val="18"/>
          <w:szCs w:val="18"/>
          <w:color w:val="auto"/>
        </w:rPr>
        <w:t xml:space="preserve">Once granted, patents may remain open to opposition, interference,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or technologies. In addition, there can be no assurance that:</w:t>
      </w:r>
    </w:p>
    <w:p>
      <w:pPr>
        <w:spacing w:after="0" w:line="154" w:lineRule="exact"/>
        <w:rPr>
          <w:sz w:val="20"/>
          <w:szCs w:val="20"/>
          <w:color w:val="auto"/>
        </w:rPr>
      </w:pPr>
    </w:p>
    <w:p>
      <w:pPr>
        <w:ind w:left="1140" w:hanging="376"/>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others will not or may not be able to make, use, offer to sell, or sell tests that are the same as or similar to our products or services but that are not covered by the claims of the patents that we own or license;</w:t>
      </w:r>
    </w:p>
    <w:p>
      <w:pPr>
        <w:spacing w:after="0" w:line="129"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or our future licensors or collaborators are the first to make the inventions covered by each of our issued patents and pending patent applications that we own or license;</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or our future licensors or collaborators are the first to file patent applications covering certain aspects of our inventions;</w:t>
      </w:r>
    </w:p>
    <w:p>
      <w:pPr>
        <w:spacing w:after="0" w:line="184"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96" w:lineRule="exact"/>
        <w:rPr>
          <w:rFonts w:ascii="Arial" w:cs="Arial" w:eastAsia="Arial" w:hAnsi="Arial"/>
          <w:sz w:val="17"/>
          <w:szCs w:val="17"/>
          <w:color w:val="auto"/>
        </w:rPr>
      </w:pPr>
    </w:p>
    <w:p>
      <w:pPr>
        <w:ind w:left="1140" w:hanging="376"/>
        <w:spacing w:after="0"/>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issued patents that we own or may license will provide us with any competitive advantages, or will not be challenged by third parties;</w:t>
      </w:r>
    </w:p>
    <w:p>
      <w:pPr>
        <w:spacing w:after="0" w:line="196" w:lineRule="exact"/>
        <w:rPr>
          <w:rFonts w:ascii="Arial" w:cs="Arial" w:eastAsia="Arial" w:hAnsi="Arial"/>
          <w:sz w:val="17"/>
          <w:szCs w:val="17"/>
          <w:color w:val="auto"/>
        </w:rPr>
      </w:pPr>
    </w:p>
    <w:p>
      <w:pPr>
        <w:ind w:left="1140" w:hanging="37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pending patent applications that we own or may license will lead to issued patents;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 and</w:t>
      </w:r>
    </w:p>
    <w:p>
      <w:pPr>
        <w:spacing w:after="0" w:line="207" w:lineRule="exact"/>
        <w:rPr>
          <w:rFonts w:ascii="Arial" w:cs="Arial" w:eastAsia="Arial" w:hAnsi="Arial"/>
          <w:sz w:val="16"/>
          <w:szCs w:val="16"/>
          <w:color w:val="auto"/>
        </w:rPr>
      </w:pPr>
    </w:p>
    <w:p>
      <w:pPr>
        <w:ind w:left="1140" w:hanging="376"/>
        <w:spacing w:after="0" w:line="308" w:lineRule="auto"/>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7" w:name="page58"/>
    <w:bookmarkEnd w:id="57"/>
    <w:p>
      <w:pPr>
        <w:jc w:val="both"/>
        <w:ind w:firstLine="761"/>
        <w:spacing w:after="0" w:line="290"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or technologies that we may develop, which could lead to increased competition to our business and harm our business. Since patent applications in the United States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39"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38" w:lineRule="exact"/>
        <w:rPr>
          <w:sz w:val="20"/>
          <w:szCs w:val="20"/>
          <w:color w:val="auto"/>
        </w:rPr>
      </w:pPr>
    </w:p>
    <w:p>
      <w:pPr>
        <w:jc w:val="both"/>
        <w:ind w:firstLine="761"/>
        <w:spacing w:after="0" w:line="267" w:lineRule="auto"/>
        <w:rPr>
          <w:sz w:val="20"/>
          <w:szCs w:val="20"/>
          <w:color w:val="auto"/>
        </w:rPr>
      </w:pPr>
      <w:r>
        <w:rPr>
          <w:rFonts w:ascii="Arial" w:cs="Arial" w:eastAsia="Arial" w:hAnsi="Arial"/>
          <w:sz w:val="17"/>
          <w:szCs w:val="17"/>
          <w:color w:val="auto"/>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may have to participate in interference proceedings, derivation proceedings,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such as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that have not been extensively tested, and their outcome is therefore uncertain.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spacing w:after="0" w:line="15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43" w:lineRule="exact"/>
        <w:rPr>
          <w:sz w:val="20"/>
          <w:szCs w:val="20"/>
          <w:color w:val="auto"/>
        </w:rPr>
      </w:pPr>
    </w:p>
    <w:p>
      <w:pPr>
        <w:jc w:val="both"/>
        <w:ind w:firstLine="761"/>
        <w:spacing w:after="0" w:line="285" w:lineRule="auto"/>
        <w:rPr>
          <w:sz w:val="20"/>
          <w:szCs w:val="20"/>
          <w:color w:val="auto"/>
        </w:rPr>
      </w:pPr>
      <w:r>
        <w:rPr>
          <w:rFonts w:ascii="Arial" w:cs="Arial" w:eastAsia="Arial" w:hAnsi="Arial"/>
          <w:sz w:val="16"/>
          <w:szCs w:val="16"/>
          <w:color w:val="auto"/>
        </w:rPr>
        <w:t xml:space="preserve">Competitors may also infringe our patents or the patents of our licensing partners.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product is invalid or unenforceable, and the court may agree that our asserted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(e.g., opposition proceedings). Such proceedings could result in revocation or amendment to our patents in such a way that they no longer cover our product.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8" w:name="page59"/>
    <w:bookmarkEnd w:id="58"/>
    <w:p>
      <w:pPr>
        <w:jc w:val="both"/>
        <w:ind w:firstLine="761"/>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p>
    <w:p>
      <w:pPr>
        <w:spacing w:after="0" w:line="208" w:lineRule="exact"/>
        <w:rPr>
          <w:sz w:val="20"/>
          <w:szCs w:val="20"/>
          <w:color w:val="auto"/>
        </w:rPr>
      </w:pPr>
    </w:p>
    <w:p>
      <w:pPr>
        <w:jc w:val="both"/>
        <w:ind w:firstLine="761"/>
        <w:spacing w:after="0" w:line="268" w:lineRule="auto"/>
        <w:rPr>
          <w:sz w:val="20"/>
          <w:szCs w:val="20"/>
          <w:color w:val="auto"/>
        </w:rPr>
      </w:pPr>
      <w:r>
        <w:rPr>
          <w:rFonts w:ascii="Arial" w:cs="Arial" w:eastAsia="Arial" w:hAnsi="Arial"/>
          <w:sz w:val="17"/>
          <w:szCs w:val="17"/>
          <w:color w:val="auto"/>
        </w:rPr>
        <w:t>We seek protection for certain aspects of our technologies, products, and services through the filing of patents, registration of copyrights, and use of non-disclosure agreements. In addition, we also expect to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spacing w:after="0" w:line="147"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spacing w:after="0" w:line="160" w:lineRule="exact"/>
        <w:rPr>
          <w:sz w:val="20"/>
          <w:szCs w:val="20"/>
          <w:color w:val="auto"/>
        </w:rPr>
      </w:pPr>
    </w:p>
    <w:p>
      <w:pPr>
        <w:jc w:val="both"/>
        <w:ind w:firstLine="761"/>
        <w:spacing w:after="0" w:line="268" w:lineRule="auto"/>
        <w:rPr>
          <w:sz w:val="20"/>
          <w:szCs w:val="20"/>
          <w:color w:val="auto"/>
        </w:rPr>
      </w:pPr>
      <w:r>
        <w:rPr>
          <w:rFonts w:ascii="Arial" w:cs="Arial" w:eastAsia="Arial" w:hAnsi="Arial"/>
          <w:sz w:val="17"/>
          <w:szCs w:val="17"/>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spacing w:after="0" w:line="145"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9" w:name="page60"/>
    <w:bookmarkEnd w:id="59"/>
    <w:p>
      <w:pPr>
        <w:ind w:left="76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98" w:lineRule="exact"/>
        <w:rPr>
          <w:sz w:val="20"/>
          <w:szCs w:val="20"/>
          <w:color w:val="auto"/>
        </w:rPr>
      </w:pPr>
    </w:p>
    <w:p>
      <w:pPr>
        <w:jc w:val="both"/>
        <w:ind w:firstLine="761"/>
        <w:spacing w:after="0" w:line="285" w:lineRule="auto"/>
        <w:rPr>
          <w:sz w:val="20"/>
          <w:szCs w:val="20"/>
          <w:color w:val="auto"/>
        </w:rPr>
      </w:pPr>
      <w:r>
        <w:rPr>
          <w:rFonts w:ascii="Arial" w:cs="Arial" w:eastAsia="Arial" w:hAnsi="Arial"/>
          <w:sz w:val="16"/>
          <w:szCs w:val="16"/>
          <w:color w:val="auto"/>
        </w:rPr>
        <w:t>Filing, prosecuting, maintaining, defending, and enforcing patents on our products, services, and technologies in all countries throughout the world would be prohibitively expensive, and our intellectual property rights in some countries outside the United States can be less extensive than those in the United States.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 In addition, the laws of some foreign countries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European Union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35"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spacing w:after="0" w:line="148"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4"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United States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spacing w:after="0" w:line="14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130"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We employ individuals who were previously employed or otherwise engaged with universities or genetic testing, diagnostic or other healthcare companies, including our competitors or potential competitors.</w:t>
      </w:r>
    </w:p>
    <w:p>
      <w:pPr>
        <w:spacing w:after="0" w:line="143" w:lineRule="exact"/>
        <w:rPr>
          <w:sz w:val="20"/>
          <w:szCs w:val="20"/>
          <w:color w:val="auto"/>
        </w:rPr>
      </w:pPr>
    </w:p>
    <w:p>
      <w:pPr>
        <w:jc w:val="both"/>
        <w:ind w:firstLine="761"/>
        <w:spacing w:after="0" w:line="291" w:lineRule="auto"/>
        <w:rPr>
          <w:sz w:val="20"/>
          <w:szCs w:val="20"/>
          <w:color w:val="auto"/>
        </w:rPr>
      </w:pPr>
      <w:r>
        <w:rPr>
          <w:rFonts w:ascii="Arial" w:cs="Arial" w:eastAsia="Arial" w:hAnsi="Arial"/>
          <w:sz w:val="16"/>
          <w:szCs w:val="16"/>
          <w:color w:val="auto"/>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0" w:name="page61"/>
    <w:bookmarkEnd w:id="60"/>
    <w:p>
      <w:pPr>
        <w:jc w:val="both"/>
        <w:ind w:firstLine="761"/>
        <w:spacing w:after="0" w:line="255"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66"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Our use of “open source” software could subject our proprietary software to general release, adversely affect our ability to sell our products and services, and subject us to possible litigation.</w:t>
      </w:r>
    </w:p>
    <w:p>
      <w:pPr>
        <w:spacing w:after="0" w:line="130" w:lineRule="exact"/>
        <w:rPr>
          <w:sz w:val="20"/>
          <w:szCs w:val="20"/>
          <w:color w:val="auto"/>
        </w:rPr>
      </w:pPr>
    </w:p>
    <w:p>
      <w:pPr>
        <w:jc w:val="both"/>
        <w:ind w:firstLine="761"/>
        <w:spacing w:after="0" w:line="285" w:lineRule="auto"/>
        <w:rPr>
          <w:sz w:val="20"/>
          <w:szCs w:val="20"/>
          <w:color w:val="auto"/>
        </w:rPr>
      </w:pPr>
      <w:r>
        <w:rPr>
          <w:rFonts w:ascii="Arial" w:cs="Arial" w:eastAsia="Arial" w:hAnsi="Arial"/>
          <w:sz w:val="16"/>
          <w:szCs w:val="16"/>
          <w:color w:val="auto"/>
        </w:rPr>
        <w:t>A portion of the products or technologies licensed, developed, and/or distributed by us incorporate so-called “open source” software and we may incorporate open source software into other products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have a material adverse effect on our business, financial condition, and results of operations.</w:t>
      </w:r>
    </w:p>
    <w:p>
      <w:pPr>
        <w:spacing w:after="0" w:line="13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43"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1" w:name="page62"/>
    <w:bookmarkEnd w:id="61"/>
    <w:p>
      <w:pPr>
        <w:ind w:left="760" w:right="2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143"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130" w:lineRule="exact"/>
        <w:rPr>
          <w:sz w:val="20"/>
          <w:szCs w:val="20"/>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84" w:lineRule="exact"/>
        <w:rPr>
          <w:rFonts w:ascii="Arial" w:cs="Arial" w:eastAsia="Arial" w:hAnsi="Arial"/>
          <w:sz w:val="18"/>
          <w:szCs w:val="18"/>
          <w:color w:val="auto"/>
        </w:rPr>
      </w:pPr>
    </w:p>
    <w:p>
      <w:pPr>
        <w:jc w:val="both"/>
        <w:ind w:left="1140" w:hanging="376"/>
        <w:spacing w:after="0" w:line="286" w:lineRule="auto"/>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25" w:lineRule="exact"/>
        <w:rPr>
          <w:rFonts w:ascii="Arial" w:cs="Arial" w:eastAsia="Arial" w:hAnsi="Arial"/>
          <w:sz w:val="17"/>
          <w:szCs w:val="17"/>
          <w:color w:val="auto"/>
        </w:rPr>
      </w:pPr>
    </w:p>
    <w:p>
      <w:pPr>
        <w:ind w:left="1140" w:hanging="376"/>
        <w:spacing w:after="0"/>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w:t>
      </w:r>
    </w:p>
    <w:p>
      <w:pPr>
        <w:spacing w:after="0" w:line="196" w:lineRule="exact"/>
        <w:rPr>
          <w:rFonts w:ascii="Arial" w:cs="Arial" w:eastAsia="Arial" w:hAnsi="Arial"/>
          <w:sz w:val="17"/>
          <w:szCs w:val="17"/>
          <w:color w:val="auto"/>
        </w:rPr>
      </w:pPr>
    </w:p>
    <w:p>
      <w:pPr>
        <w:ind w:left="1140" w:hanging="376"/>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with marketing, manufacturing, and distribution rights to one or more products may not commit sufficient resources to or otherwise not perform satisfactorily in carrying out these activities;</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84" w:lineRule="exact"/>
        <w:rPr>
          <w:rFonts w:ascii="Arial" w:cs="Arial" w:eastAsia="Arial" w:hAnsi="Arial"/>
          <w:sz w:val="18"/>
          <w:szCs w:val="18"/>
          <w:color w:val="auto"/>
        </w:rPr>
      </w:pPr>
    </w:p>
    <w:p>
      <w:pPr>
        <w:jc w:val="both"/>
        <w:ind w:left="1140" w:hanging="376"/>
        <w:spacing w:after="0" w:line="264"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40" w:lineRule="exact"/>
        <w:rPr>
          <w:rFonts w:ascii="Arial" w:cs="Arial" w:eastAsia="Arial" w:hAnsi="Arial"/>
          <w:sz w:val="18"/>
          <w:szCs w:val="18"/>
          <w:color w:val="auto"/>
        </w:rPr>
      </w:pPr>
    </w:p>
    <w:p>
      <w:pPr>
        <w:ind w:left="1140" w:hanging="376"/>
        <w:spacing w:after="0" w:line="342" w:lineRule="auto"/>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83" w:lineRule="exact"/>
        <w:rPr>
          <w:rFonts w:ascii="Arial" w:cs="Arial" w:eastAsia="Arial" w:hAnsi="Arial"/>
          <w:sz w:val="16"/>
          <w:szCs w:val="16"/>
          <w:color w:val="auto"/>
        </w:rPr>
      </w:pPr>
    </w:p>
    <w:p>
      <w:pPr>
        <w:ind w:left="1140" w:right="20" w:hanging="376"/>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129"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129"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sales and marketing activities or other operations may not be in compliance with applicable laws resulting in civil or criminal proceedings.</w:t>
      </w:r>
    </w:p>
    <w:p>
      <w:pPr>
        <w:spacing w:after="0" w:line="130"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98"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2" w:name="page63"/>
    <w:bookmarkEnd w:id="62"/>
    <w:p>
      <w:pPr>
        <w:ind w:left="7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43" w:lineRule="exact"/>
        <w:rPr>
          <w:sz w:val="20"/>
          <w:szCs w:val="20"/>
          <w:color w:val="auto"/>
        </w:rPr>
      </w:pPr>
    </w:p>
    <w:p>
      <w:pPr>
        <w:jc w:val="both"/>
        <w:ind w:firstLine="761"/>
        <w:spacing w:after="0" w:line="291" w:lineRule="auto"/>
        <w:rPr>
          <w:sz w:val="20"/>
          <w:szCs w:val="20"/>
          <w:color w:val="auto"/>
        </w:rPr>
      </w:pPr>
      <w:r>
        <w:rPr>
          <w:rFonts w:ascii="Arial" w:cs="Arial" w:eastAsia="Arial" w:hAnsi="Arial"/>
          <w:sz w:val="16"/>
          <w:szCs w:val="16"/>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The requirements of being a public company may strain our resources, result in litigation and divert management’s attention.</w:t>
      </w:r>
    </w:p>
    <w:p>
      <w:pPr>
        <w:spacing w:after="0" w:line="210"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after we are no longer an “emerging growth company” as defined in the Jumpstart our Business Startups Act of 2012 (the “JOBS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will need to hire additional employees or engage outside consultants to comply with these requirements, which will increase our costs and expenses.</w:t>
      </w:r>
    </w:p>
    <w:p>
      <w:pPr>
        <w:spacing w:after="0" w:line="139"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prospectus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39"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60"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In addition, as a result of our disclosure obligations as a public company, we will have reduced strategic flexibility and will be under pressure to focus on short-term results, which may materially and adversely affect our ability to achieve long-term profitability.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3" w:name="page64"/>
    <w:bookmarkEnd w:id="63"/>
    <w:p>
      <w:pPr>
        <w:ind w:left="76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20"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141" w:lineRule="exact"/>
        <w:rPr>
          <w:sz w:val="20"/>
          <w:szCs w:val="20"/>
          <w:color w:val="auto"/>
        </w:rPr>
      </w:pPr>
    </w:p>
    <w:p>
      <w:pPr>
        <w:ind w:left="1140" w:hanging="376"/>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84"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30" w:lineRule="exact"/>
        <w:rPr>
          <w:sz w:val="20"/>
          <w:szCs w:val="20"/>
          <w:color w:val="auto"/>
        </w:rPr>
      </w:pPr>
    </w:p>
    <w:p>
      <w:pPr>
        <w:ind w:right="20" w:firstLine="761"/>
        <w:spacing w:after="0" w:line="277" w:lineRule="auto"/>
        <w:rPr>
          <w:sz w:val="20"/>
          <w:szCs w:val="20"/>
          <w:color w:val="auto"/>
        </w:rPr>
      </w:pPr>
      <w:r>
        <w:rPr>
          <w:rFonts w:ascii="Arial" w:cs="Arial" w:eastAsia="Arial" w:hAnsi="Arial"/>
          <w:sz w:val="18"/>
          <w:szCs w:val="18"/>
          <w:color w:val="auto"/>
        </w:rPr>
        <w:t>We could be an emerging growth company for up to five years following the closing of our IPO. Our status as an emerging growth company will end as soon as any of the following takes place:</w:t>
      </w:r>
    </w:p>
    <w:p>
      <w:pPr>
        <w:spacing w:after="0" w:line="130" w:lineRule="exact"/>
        <w:rPr>
          <w:sz w:val="20"/>
          <w:szCs w:val="20"/>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closing of our IPO.</w:t>
      </w:r>
    </w:p>
    <w:p>
      <w:pPr>
        <w:spacing w:after="0" w:line="185"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54"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irrevocably elected not to avail ourselves of this accommodation and, therefore, we will be subject to the same new or revised accounting standards as other public companies that are not emerging growth companies.</w:t>
      </w:r>
    </w:p>
    <w:p>
      <w:pPr>
        <w:spacing w:after="0" w:line="141"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Material weaknesses in our internal control over financial reporting may cause us to fail to timely and accurately report our financial results or result in a material misstatement of our financial statements.</w:t>
      </w:r>
    </w:p>
    <w:p>
      <w:pPr>
        <w:spacing w:after="0" w:line="130"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Management evaluates our internal control systems, processes, and procedures for compliance with the requirements of a smaller reporting company under Section 404 of the Sarbanes-Oxley Act of 2002 (“Section 404”). This evaluation includes disclosure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1" w:lineRule="exact"/>
        <w:rPr>
          <w:sz w:val="20"/>
          <w:szCs w:val="20"/>
          <w:color w:val="auto"/>
        </w:rPr>
      </w:pPr>
    </w:p>
    <w:p>
      <w:pPr>
        <w:jc w:val="both"/>
        <w:ind w:firstLine="761"/>
        <w:spacing w:after="0" w:line="291" w:lineRule="auto"/>
        <w:rPr>
          <w:sz w:val="20"/>
          <w:szCs w:val="20"/>
          <w:color w:val="auto"/>
        </w:rPr>
      </w:pPr>
      <w:r>
        <w:rPr>
          <w:rFonts w:ascii="Arial" w:cs="Arial" w:eastAsia="Arial" w:hAnsi="Arial"/>
          <w:sz w:val="16"/>
          <w:szCs w:val="16"/>
          <w:color w:val="auto"/>
        </w:rPr>
        <w:t>In connection with preparation of our financial statements for the years ended December 31, 2017 and 2018, management identified a material weakness in our internal controls due to a lack of sufficient full-time accounting staff with requisite experience and deep technical accounting knowledge to</w:t>
      </w:r>
    </w:p>
    <w:p>
      <w:pPr>
        <w:jc w:val="both"/>
        <w:ind w:firstLine="8"/>
        <w:spacing w:after="0" w:line="255"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 and resolve complex accounting issues under generally accepted accounting principles in the United States (“GAAP”) and (ii) allow for appropriate segregation of duties. The identified material weakness could result in misstatements to our consolidated financial statements that would be material and would not be prevented or detected on a timely basis.</w:t>
      </w:r>
    </w:p>
    <w:p>
      <w:pPr>
        <w:spacing w:after="0" w:line="150"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color w:val="auto"/>
        </w:rPr>
        <w:t>We are evaluating and implementing additional procedures to remediate this material weakness, however, we cannot assure you that these or other measures will fully remediate the material weakness in a timely manner or prevent future material weaknesses from occurring. As part of our remediation plan to address the material weakness identified above, we hired a new Chief Financial Officer in March 2019 and five additional accounting resources in the second and third quarters of 2019, including two Certified Public Accountants with the specific technical accounting and financial reporting experience necessary for a public company. We will continue to assess the adequacy of our accounting personnel and resources, and will add additional personnel, as well as adjust our resources, as necessary, commensurate with any increase in the size and complexity of our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4" w:name="page65"/>
    <w:bookmarkEnd w:id="64"/>
    <w:p>
      <w:pPr>
        <w:jc w:val="both"/>
        <w:ind w:firstLine="761"/>
        <w:spacing w:after="0" w:line="297" w:lineRule="auto"/>
        <w:rPr>
          <w:sz w:val="20"/>
          <w:szCs w:val="20"/>
          <w:color w:val="auto"/>
        </w:rPr>
      </w:pPr>
      <w:r>
        <w:rPr>
          <w:rFonts w:ascii="Arial" w:cs="Arial" w:eastAsia="Arial" w:hAnsi="Arial"/>
          <w:sz w:val="16"/>
          <w:szCs w:val="16"/>
          <w:color w:val="auto"/>
        </w:rPr>
        <w:t>If we identify future material weaknesses in our internal controls over financial reporting or fail to meet the demands that are placed upon us as a public company, including the requirements of the Sarbanes-Oxley Act, we may be unable to accurately report our financial results or report them within the timeframes required by law or stock exchange regulations. Failure to comply with Section 404 could also potentially subject us to sanctions or investigations by the U.S. Securities and Exchange Commission (the “SEC”) or other regulatory authorities. If additional material weaknesses exist or are discovered in the future, and we are unable to remediate any such material weakness, our reputation, financial condition, and operating results could suffer.</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85"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31"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18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Our common stock is currently listed on The Nasdaq Global Market under the symbol “PSNL.” However, we cannot assure you that an active trading market for our common stock will develop on that exchange or elsewhere or, if developed, that any market will be sustained. Accordingly, we cannot assure you of the likelihood that an active trading market for our common stock will develop or be maintained,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spacing w:after="0" w:line="166"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30"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color w:val="auto"/>
        </w:rPr>
        <w:t>The market price of our common stock may fluctuate or decline significantly in response to numerous factors, many of which are beyond our control, including:</w:t>
      </w:r>
    </w:p>
    <w:p>
      <w:pPr>
        <w:spacing w:after="0" w:line="130" w:lineRule="exact"/>
        <w:rPr>
          <w:sz w:val="20"/>
          <w:szCs w:val="20"/>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 of new or updated research reports by securities analysts or changed recommendations for our stock;</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from existing tests or new tests that may emerge;</w:t>
      </w:r>
    </w:p>
    <w:p>
      <w:pPr>
        <w:spacing w:after="0" w:line="184"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capital commitments, or by or pertaining to our customers, particularly the VA MVP;</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amount of our investments in the growth of our business;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business or issues we may face with regulators;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key management or other personnel;</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disputes or other developments related to our intellectual property or other matters, including litigation; and</w:t>
      </w:r>
    </w:p>
    <w:p>
      <w:pPr>
        <w:spacing w:after="0" w:line="184"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factors unrelated to our operating performance or the operating performance of our competitors.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5" w:name="page66"/>
    <w:bookmarkEnd w:id="65"/>
    <w:p>
      <w:pPr>
        <w:jc w:val="both"/>
        <w:ind w:firstLine="761"/>
        <w:spacing w:after="0" w:line="276" w:lineRule="auto"/>
        <w:rPr>
          <w:sz w:val="20"/>
          <w:szCs w:val="20"/>
          <w:color w:val="auto"/>
        </w:rPr>
      </w:pPr>
      <w:r>
        <w:rPr>
          <w:rFonts w:ascii="Arial" w:cs="Arial" w:eastAsia="Arial" w:hAnsi="Arial"/>
          <w:sz w:val="17"/>
          <w:szCs w:val="17"/>
          <w:color w:val="auto"/>
        </w:rPr>
        <w:t>In addition, the stock market in general, and the market for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46"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revenues or earnings forecasts that we may provide.</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Our quarterly results may fluctuate significantly, which could adversely impact the value of our common stock.</w:t>
      </w:r>
    </w:p>
    <w:p>
      <w:pPr>
        <w:spacing w:after="0" w:line="185"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6"/>
          <w:szCs w:val="16"/>
          <w:color w:val="auto"/>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the VA and other large customers are not obliged to deliver tissue samples to us at any particular time or at all. The rate at which we receive tissue samples can vary dramatically from quarter to quarter, and is difficult or impossible for us to accurately forecast. Our receipt and processing of tissue samples from our customers leads to our recognition of revenue, and as such the variable rates of delivery of customer samples will lead to variations in our revenues from quarter to quarter.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Insiders may exercise significant control over our company and will be able to influence corporate matters.</w:t>
      </w:r>
    </w:p>
    <w:p>
      <w:pPr>
        <w:spacing w:after="0" w:line="185"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Our directors, executive officers, and 5% or greater stockholders and their affiliates beneficially owned, in the aggregate, approximately 47.6% of our outstanding capital stock as of September 30, 2019. As a result, these stockholders will be able to exercise significant influence over all matters submitted to our stockholders for approval, including the election of directors and approval of significant corporate transactions, such as a merger or sale of our company or its assets. This concentration of ownership may have the effect of delaying or preventing a third party from acquiring control of our company and could adversely affect the market price of our common stock, and may not be in the best interests of our other stockholders.</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Future sales of shares by existing stockholders, or the perception that such sales could occur, could cause our stock price to decline.</w:t>
      </w:r>
    </w:p>
    <w:p>
      <w:pPr>
        <w:spacing w:after="0" w:line="221"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As of September 30, 2019, we had outstanding 31,142,643 shares of common stock. Our executive officers, directors, and the holders of substantially all of our capital stock and securities convertible into or exchangeable for our capital stock have entered into market standoff agreements with us or lock-up agreements with the underwriters in connection with our IPO under which they have agreed, subject to specific exceptions, not to sell any of our capital stock until December 17, 2019.</w:t>
      </w:r>
    </w:p>
    <w:p>
      <w:pPr>
        <w:spacing w:after="0" w:line="187"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color w:val="auto"/>
        </w:rPr>
        <w:t>However, after the market standoff agreements and lock-up agreements referred to above expire, substantially all of such shares will be eligible for sale in the public market. In addition, upon issuance, shares of common stock subject to outstanding options under our stock option plans as of September 30, 2019 will become eligible for sale in the public market in the future, subject to certain legal and contractual limitations. Moreover, 180 days after the closing of the IPO, holders of up to an aggregate of 18,790,983 shares of our common stock will have the right to require us to register these shares under the Securities Act pursuant to an investors’ rights agreement. If our existing stockholders sell substantial amounts of our common stock in the public market, or if the public perceives that such sales could occur, this could have an adverse effect on the market price of our common stock.</w:t>
      </w:r>
    </w:p>
    <w:p>
      <w:pPr>
        <w:spacing w:after="0" w:line="124"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30" w:lineRule="exact"/>
        <w:rPr>
          <w:sz w:val="20"/>
          <w:szCs w:val="20"/>
          <w:color w:val="auto"/>
        </w:rPr>
      </w:pPr>
    </w:p>
    <w:p>
      <w:pPr>
        <w:jc w:val="both"/>
        <w:ind w:firstLine="761"/>
        <w:spacing w:after="0" w:line="30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6" w:name="page67"/>
    <w:bookmarkEnd w:id="66"/>
    <w:p>
      <w:pPr>
        <w:ind w:left="76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98" w:lineRule="exact"/>
        <w:rPr>
          <w:sz w:val="20"/>
          <w:szCs w:val="20"/>
          <w:color w:val="auto"/>
        </w:rPr>
      </w:pPr>
    </w:p>
    <w:p>
      <w:pPr>
        <w:jc w:val="both"/>
        <w:ind w:firstLine="761"/>
        <w:spacing w:after="0" w:line="288" w:lineRule="auto"/>
        <w:rPr>
          <w:sz w:val="20"/>
          <w:szCs w:val="20"/>
          <w:color w:val="auto"/>
        </w:rPr>
      </w:pPr>
      <w:r>
        <w:rPr>
          <w:rFonts w:ascii="Arial" w:cs="Arial" w:eastAsia="Arial" w:hAnsi="Arial"/>
          <w:sz w:val="16"/>
          <w:szCs w:val="16"/>
          <w:color w:val="auto"/>
        </w:rPr>
        <w:t>As of December 31, 2018, we had federal and state net operating loss carryforwards of approximately $87 million and approximately $48.6 million, respectively. Certain of our federal and state net operating loss carryforwards will begin to expire, if not utilized, beginning in 2031. These net operating loss carryforwards could expire unused and be unavailable to offset future income tax liabilities. Under the Tax Cuts and Jobs Act, federal net operating losses incurred in 2018 and in future years may be carried forward indefinitely, but the deductibility of such federal net operating losses is limited. It is uncertain if and to what extent various states will conform to the Tax Cuts and Jobs Act.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may experience ownership changes in the future as a 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w:t>
      </w:r>
    </w:p>
    <w:p>
      <w:pPr>
        <w:spacing w:after="0" w:line="129" w:lineRule="exact"/>
        <w:rPr>
          <w:sz w:val="20"/>
          <w:szCs w:val="20"/>
          <w:color w:val="auto"/>
        </w:rPr>
      </w:pPr>
    </w:p>
    <w:p>
      <w:pPr>
        <w:ind w:left="760" w:right="20"/>
        <w:spacing w:after="0" w:line="381" w:lineRule="auto"/>
        <w:rPr>
          <w:sz w:val="20"/>
          <w:szCs w:val="20"/>
          <w:color w:val="auto"/>
        </w:rPr>
      </w:pPr>
      <w:r>
        <w:rPr>
          <w:rFonts w:ascii="Arial" w:cs="Arial" w:eastAsia="Arial" w:hAnsi="Arial"/>
          <w:sz w:val="15"/>
          <w:szCs w:val="15"/>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the stock price of our common stock to decline.</w:t>
      </w:r>
    </w:p>
    <w:p>
      <w:pPr>
        <w:spacing w:after="0" w:line="60"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In the future, we may sell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convertible securities, or other equity securities in subsequent transactions, or common stock is issued pursuant to equity incentive plans, investors may be materially diluted. New investors in such subsequent transactions could gain rights, preferences, and privileges senior to those of holders of our common stock.</w:t>
      </w:r>
    </w:p>
    <w:p>
      <w:pPr>
        <w:spacing w:after="0" w:line="161"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inaccurate or unfavorable research about our business, our stock price and trading volume could decline.</w:t>
      </w:r>
    </w:p>
    <w:p>
      <w:pPr>
        <w:spacing w:after="0" w:line="130"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Holders of our common stock could be adversely affected if we issue preferred stock.</w:t>
      </w:r>
    </w:p>
    <w:p>
      <w:pPr>
        <w:spacing w:after="0" w:line="198"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spacing w:after="0" w:line="14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30"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54" w:lineRule="exact"/>
        <w:rPr>
          <w:sz w:val="20"/>
          <w:szCs w:val="20"/>
          <w:color w:val="auto"/>
        </w:rPr>
      </w:pPr>
    </w:p>
    <w:p>
      <w:pPr>
        <w:ind w:left="1140" w:hanging="376"/>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of directors are elected at one time;</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196" w:lineRule="exact"/>
        <w:rPr>
          <w:rFonts w:ascii="Arial" w:cs="Arial" w:eastAsia="Arial" w:hAnsi="Arial"/>
          <w:sz w:val="17"/>
          <w:szCs w:val="17"/>
          <w:color w:val="auto"/>
        </w:rPr>
      </w:pPr>
    </w:p>
    <w:p>
      <w:pPr>
        <w:ind w:left="1140" w:hanging="376"/>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newly-created directorships;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7" w:name="page68"/>
    <w:bookmarkEnd w:id="67"/>
    <w:p>
      <w:pPr>
        <w:ind w:left="1140" w:hanging="376"/>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certificate of incorporation and bylaws;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Delaware; and</w:t>
      </w:r>
    </w:p>
    <w:p>
      <w:pPr>
        <w:spacing w:after="0" w:line="184"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30"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54" w:lineRule="exact"/>
        <w:rPr>
          <w:sz w:val="20"/>
          <w:szCs w:val="20"/>
          <w:color w:val="auto"/>
        </w:rPr>
      </w:pPr>
    </w:p>
    <w:p>
      <w:pPr>
        <w:jc w:val="both"/>
        <w:ind w:left="760"/>
        <w:spacing w:after="0" w:line="312"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06"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30" w:lineRule="exact"/>
        <w:rPr>
          <w:sz w:val="20"/>
          <w:szCs w:val="20"/>
          <w:color w:val="auto"/>
        </w:rPr>
      </w:pPr>
    </w:p>
    <w:p>
      <w:pPr>
        <w:ind w:left="1140" w:hanging="376"/>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84" w:lineRule="exact"/>
        <w:rPr>
          <w:rFonts w:ascii="Arial" w:cs="Arial" w:eastAsia="Arial" w:hAnsi="Arial"/>
          <w:sz w:val="18"/>
          <w:szCs w:val="18"/>
          <w:color w:val="auto"/>
        </w:rPr>
      </w:pPr>
    </w:p>
    <w:p>
      <w:pPr>
        <w:ind w:left="1140" w:right="20" w:hanging="376"/>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asserting a claim against us governed by the internal affairs doctrine.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This provision would not apply to suits brought to enforce a duty or liability created by the Exchange Act or any other claim for which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courts have exclusive jurisdiction.</w:t>
      </w:r>
    </w:p>
    <w:p>
      <w:pPr>
        <w:spacing w:after="0" w:line="184"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41"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 For example, the Court of Chancery of the State of Delaware recently determined that a provision stating that U.S. federal district courts are the exclusive forum for resolving any complaint asserting a cause of action arising under the Securities Act is not enforceable. However, this decision may be reviewed and ultimately overturned by the Delaware Supreme Court.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860" w:hanging="852"/>
        <w:spacing w:after="0"/>
        <w:tabs>
          <w:tab w:leader="none" w:pos="8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proceeds</w:t>
      </w:r>
    </w:p>
    <w:p>
      <w:pPr>
        <w:spacing w:after="0" w:line="185"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On June 19, 2019, the registration statement on Form S-1 (Registration No. 333-231703) for our IPO of our common stock was declared effective by the SEC. On June 24, 2019, we closed our IPO and sold an aggregate of 9,109,725 shares of our common stock, inclusive of the exercise in full by the underwriters of their option to purchase up to an additional 1,188,225 shares of common stock, for an aggregate price of approximately $155 million. Upon completion of the sales of the shares of our common stock, our IPO terminated.</w:t>
      </w:r>
    </w:p>
    <w:p>
      <w:pPr>
        <w:spacing w:after="0" w:line="146"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The underwriters of our IPO were Morgan Stanley &amp; Co. LLC, BofA Securities, Inc., Cowen and Company, LLC, and Oppenheimer &amp; Co. Inc. We paid the underwriters of our IPO an underwriting discount and commission totaling $10.8 million and incurred $4.2 million in offering costs. Thus, the net offering proceeds, after deducting underwriting discounts and offering expenses, were approximately $139.8 million. No payments were made to our directors or officers or their associates, holders of 10% or more of any class of our equity securities, or any affiliates.</w:t>
      </w:r>
    </w:p>
    <w:p>
      <w:pPr>
        <w:spacing w:after="0" w:line="144"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filed with the SEC on June 20, 2019 pursuant to Rule 424(b)(4).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400" w:type="dxa"/>
            <w:vAlign w:val="bottom"/>
          </w:tcPr>
          <w:p>
            <w:pPr>
              <w:spacing w:after="0"/>
              <w:rPr>
                <w:sz w:val="14"/>
                <w:szCs w:val="14"/>
                <w:color w:val="auto"/>
              </w:rPr>
            </w:pPr>
          </w:p>
        </w:tc>
        <w:tc>
          <w:tcPr>
            <w:tcW w:w="5100" w:type="dxa"/>
            <w:vAlign w:val="bottom"/>
            <w:gridSpan w:val="11"/>
            <w:vMerge w:val="restart"/>
          </w:tcPr>
          <w:p>
            <w:pPr>
              <w:ind w:left="1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400" w:type="dxa"/>
            <w:vAlign w:val="bottom"/>
          </w:tcPr>
          <w:p>
            <w:pPr>
              <w:spacing w:after="0"/>
              <w:rPr>
                <w:sz w:val="14"/>
                <w:szCs w:val="14"/>
                <w:color w:val="auto"/>
              </w:rPr>
            </w:pPr>
          </w:p>
        </w:tc>
        <w:tc>
          <w:tcPr>
            <w:tcW w:w="510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Borders>
              <w:top w:val="single" w:sz="8" w:color="auto"/>
            </w:tcBorders>
          </w:tcPr>
          <w:p>
            <w:pPr>
              <w:jc w:val="center"/>
              <w:ind w:right="457"/>
              <w:spacing w:after="0" w:line="182" w:lineRule="exact"/>
              <w:rPr>
                <w:sz w:val="20"/>
                <w:szCs w:val="20"/>
                <w:color w:val="auto"/>
              </w:rPr>
            </w:pPr>
            <w:r>
              <w:rPr>
                <w:rFonts w:ascii="Arial" w:cs="Arial" w:eastAsia="Arial" w:hAnsi="Arial"/>
                <w:sz w:val="18"/>
                <w:szCs w:val="18"/>
                <w:color w:val="auto"/>
                <w:w w:val="95"/>
              </w:rPr>
              <w:t>3.1</w:t>
            </w:r>
          </w:p>
        </w:tc>
        <w:tc>
          <w:tcPr>
            <w:tcW w:w="80" w:type="dxa"/>
            <w:vAlign w:val="bottom"/>
          </w:tcPr>
          <w:p>
            <w:pPr>
              <w:spacing w:after="0"/>
              <w:rPr>
                <w:sz w:val="15"/>
                <w:szCs w:val="15"/>
                <w:color w:val="auto"/>
              </w:rPr>
            </w:pPr>
          </w:p>
        </w:tc>
        <w:tc>
          <w:tcPr>
            <w:tcW w:w="4920" w:type="dxa"/>
            <w:vAlign w:val="bottom"/>
            <w:tcBorders>
              <w:top w:val="single" w:sz="8" w:color="auto"/>
              <w:bottom w:val="single" w:sz="8" w:color="0000EE"/>
            </w:tcBorders>
            <w:gridSpan w:val="5"/>
          </w:tcPr>
          <w:p>
            <w:pPr>
              <w:spacing w:after="0" w:line="182" w:lineRule="exact"/>
              <w:rPr>
                <w:rFonts w:ascii="Arial" w:cs="Arial" w:eastAsia="Arial" w:hAnsi="Arial"/>
                <w:sz w:val="18"/>
                <w:szCs w:val="18"/>
                <w:color w:val="0000EE"/>
                <w:w w:val="90"/>
              </w:rPr>
            </w:pPr>
            <w:hyperlink r:id="rId91">
              <w:r>
                <w:rPr>
                  <w:rFonts w:ascii="Arial" w:cs="Arial" w:eastAsia="Arial" w:hAnsi="Arial"/>
                  <w:sz w:val="18"/>
                  <w:szCs w:val="18"/>
                  <w:color w:val="0000EE"/>
                  <w:w w:val="90"/>
                </w:rPr>
                <w:t>Amended and restated Certificate of Incorporation of the Registrant.</w:t>
              </w:r>
            </w:hyperlink>
          </w:p>
        </w:tc>
        <w:tc>
          <w:tcPr>
            <w:tcW w:w="580" w:type="dxa"/>
            <w:vAlign w:val="bottom"/>
            <w:tcBorders>
              <w:top w:val="single" w:sz="8" w:color="auto"/>
            </w:tcBorders>
            <w:gridSpan w:val="7"/>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20" w:type="dxa"/>
            <w:vAlign w:val="bottom"/>
            <w:gridSpan w:val="2"/>
          </w:tcPr>
          <w:p>
            <w:pPr>
              <w:jc w:val="center"/>
              <w:ind w:right="437"/>
              <w:spacing w:after="0"/>
              <w:rPr>
                <w:sz w:val="20"/>
                <w:szCs w:val="20"/>
                <w:color w:val="auto"/>
              </w:rPr>
            </w:pPr>
            <w:r>
              <w:rPr>
                <w:rFonts w:ascii="Arial" w:cs="Arial" w:eastAsia="Arial" w:hAnsi="Arial"/>
                <w:sz w:val="18"/>
                <w:szCs w:val="18"/>
                <w:color w:val="auto"/>
                <w:w w:val="95"/>
              </w:rPr>
              <w:t>3.2</w:t>
            </w:r>
          </w:p>
        </w:tc>
        <w:tc>
          <w:tcPr>
            <w:tcW w:w="80" w:type="dxa"/>
            <w:vAlign w:val="bottom"/>
          </w:tcPr>
          <w:p>
            <w:pPr>
              <w:spacing w:after="0"/>
              <w:rPr>
                <w:sz w:val="18"/>
                <w:szCs w:val="18"/>
                <w:color w:val="auto"/>
              </w:rPr>
            </w:pPr>
          </w:p>
        </w:tc>
        <w:tc>
          <w:tcPr>
            <w:tcW w:w="5500" w:type="dxa"/>
            <w:vAlign w:val="bottom"/>
            <w:gridSpan w:val="12"/>
          </w:tcPr>
          <w:p>
            <w:pPr>
              <w:spacing w:after="0"/>
              <w:rPr>
                <w:rFonts w:ascii="Arial" w:cs="Arial" w:eastAsia="Arial" w:hAnsi="Arial"/>
                <w:sz w:val="18"/>
                <w:szCs w:val="18"/>
                <w:color w:val="0000EE"/>
              </w:rPr>
            </w:pPr>
            <w:hyperlink r:id="rId92">
              <w:r>
                <w:rPr>
                  <w:rFonts w:ascii="Arial" w:cs="Arial" w:eastAsia="Arial" w:hAnsi="Arial"/>
                  <w:sz w:val="18"/>
                  <w:szCs w:val="18"/>
                  <w:color w:val="0000EE"/>
                </w:rPr>
                <w:t>Amended and Restated Bylaws of the Registrant.</w:t>
              </w:r>
            </w:hyperlink>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gridSpan w:val="2"/>
          </w:tcPr>
          <w:p>
            <w:pPr>
              <w:jc w:val="center"/>
              <w:ind w:right="437"/>
              <w:spacing w:after="0"/>
              <w:rPr>
                <w:sz w:val="20"/>
                <w:szCs w:val="20"/>
                <w:color w:val="auto"/>
              </w:rPr>
            </w:pPr>
            <w:r>
              <w:rPr>
                <w:rFonts w:ascii="Arial" w:cs="Arial" w:eastAsia="Arial" w:hAnsi="Arial"/>
                <w:sz w:val="18"/>
                <w:szCs w:val="18"/>
                <w:color w:val="auto"/>
                <w:w w:val="95"/>
              </w:rPr>
              <w:t>31.1*</w:t>
            </w:r>
          </w:p>
        </w:tc>
        <w:tc>
          <w:tcPr>
            <w:tcW w:w="80" w:type="dxa"/>
            <w:vAlign w:val="bottom"/>
          </w:tcPr>
          <w:p>
            <w:pPr>
              <w:spacing w:after="0"/>
              <w:rPr>
                <w:sz w:val="18"/>
                <w:szCs w:val="18"/>
                <w:color w:val="auto"/>
              </w:rPr>
            </w:pPr>
          </w:p>
        </w:tc>
        <w:tc>
          <w:tcPr>
            <w:tcW w:w="5500" w:type="dxa"/>
            <w:vAlign w:val="bottom"/>
            <w:gridSpan w:val="12"/>
          </w:tcPr>
          <w:p>
            <w:pPr>
              <w:spacing w:after="0"/>
              <w:rPr>
                <w:rFonts w:ascii="Arial" w:cs="Arial" w:eastAsia="Arial" w:hAnsi="Arial"/>
                <w:sz w:val="18"/>
                <w:szCs w:val="18"/>
                <w:color w:val="0000EE"/>
                <w:w w:val="97"/>
              </w:rPr>
            </w:pPr>
            <w:hyperlink w:anchor="page72">
              <w:r>
                <w:rPr>
                  <w:rFonts w:ascii="Arial" w:cs="Arial" w:eastAsia="Arial" w:hAnsi="Arial"/>
                  <w:sz w:val="18"/>
                  <w:szCs w:val="18"/>
                  <w:color w:val="0000EE"/>
                  <w:w w:val="97"/>
                </w:rPr>
                <w:t>Certification of Principal Executive Officer Pursuant to Rules 13a-14(a)</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80" w:type="dxa"/>
            <w:vAlign w:val="bottom"/>
            <w:tcBorders>
              <w:top w:val="single" w:sz="8" w:color="0000EE"/>
            </w:tcBorders>
            <w:gridSpan w:val="7"/>
          </w:tcPr>
          <w:p>
            <w:pPr>
              <w:spacing w:after="0" w:line="19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and 15d-14(a) under the Securities Exchange Act of 1934, as Adopted</w:t>
              </w:r>
            </w:hyperlink>
          </w:p>
        </w:tc>
        <w:tc>
          <w:tcPr>
            <w:tcW w:w="3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Pursuant to Section 302 of the Sarbanes-Oxley Act of 2002.</w:t>
              </w:r>
            </w:hyperlink>
          </w:p>
        </w:tc>
        <w:tc>
          <w:tcPr>
            <w:tcW w:w="720" w:type="dxa"/>
            <w:vAlign w:val="bottom"/>
            <w:tcBorders>
              <w:top w:val="single" w:sz="8" w:color="0000EE"/>
            </w:tcBorders>
            <w:gridSpan w:val="2"/>
          </w:tcPr>
          <w:p>
            <w:pPr>
              <w:spacing w:after="0"/>
              <w:rPr>
                <w:sz w:val="17"/>
                <w:szCs w:val="17"/>
                <w:color w:val="auto"/>
              </w:rPr>
            </w:pPr>
          </w:p>
        </w:tc>
        <w:tc>
          <w:tcPr>
            <w:tcW w:w="4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gridSpan w:val="2"/>
          </w:tcPr>
          <w:p>
            <w:pPr>
              <w:jc w:val="center"/>
              <w:ind w:right="437"/>
              <w:spacing w:after="0"/>
              <w:rPr>
                <w:sz w:val="20"/>
                <w:szCs w:val="20"/>
                <w:color w:val="auto"/>
              </w:rPr>
            </w:pPr>
            <w:r>
              <w:rPr>
                <w:rFonts w:ascii="Arial" w:cs="Arial" w:eastAsia="Arial" w:hAnsi="Arial"/>
                <w:sz w:val="18"/>
                <w:szCs w:val="18"/>
                <w:color w:val="auto"/>
                <w:w w:val="95"/>
              </w:rPr>
              <w:t>31.2*</w:t>
            </w:r>
          </w:p>
        </w:tc>
        <w:tc>
          <w:tcPr>
            <w:tcW w:w="80" w:type="dxa"/>
            <w:vAlign w:val="bottom"/>
          </w:tcPr>
          <w:p>
            <w:pPr>
              <w:spacing w:after="0"/>
              <w:rPr>
                <w:sz w:val="18"/>
                <w:szCs w:val="18"/>
                <w:color w:val="auto"/>
              </w:rPr>
            </w:pPr>
          </w:p>
        </w:tc>
        <w:tc>
          <w:tcPr>
            <w:tcW w:w="544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Certification of Principal Financial Officer Pursuant to Rules 13a-14(a) and</w:t>
              </w:r>
            </w:hyperlink>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15d-14(a) under the Securities Exchange Act of 1934, as Adopted Pursuant</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00" w:type="dxa"/>
            <w:vAlign w:val="bottom"/>
            <w:gridSpan w:val="12"/>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to Section 302 of the Sarbanes-Oxley Act of 2002.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8"/>
                <w:szCs w:val="18"/>
                <w:color w:val="auto"/>
                <w:w w:val="88"/>
              </w:rPr>
              <w:t>32.1†</w:t>
            </w:r>
          </w:p>
        </w:tc>
        <w:tc>
          <w:tcPr>
            <w:tcW w:w="5500" w:type="dxa"/>
            <w:vAlign w:val="bottom"/>
            <w:gridSpan w:val="12"/>
          </w:tcPr>
          <w:p>
            <w:pPr>
              <w:spacing w:after="0"/>
              <w:rPr>
                <w:rFonts w:ascii="Arial" w:cs="Arial" w:eastAsia="Arial" w:hAnsi="Arial"/>
                <w:sz w:val="18"/>
                <w:szCs w:val="18"/>
                <w:color w:val="0000EE"/>
                <w:w w:val="95"/>
              </w:rPr>
            </w:pPr>
            <w:hyperlink w:anchor="page74">
              <w:r>
                <w:rPr>
                  <w:rFonts w:ascii="Arial" w:cs="Arial" w:eastAsia="Arial" w:hAnsi="Arial"/>
                  <w:sz w:val="18"/>
                  <w:szCs w:val="18"/>
                  <w:color w:val="0000EE"/>
                  <w:w w:val="95"/>
                </w:rPr>
                <w:t>Certification of Principal Executive Officer Pursuant to 18 U.S.C. Section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2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1350, as Adopted Pursuant to Section 906 of the Sarbanes-Oxley Act of</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4">
              <w:r>
                <w:rPr>
                  <w:rFonts w:ascii="Arial" w:cs="Arial" w:eastAsia="Arial" w:hAnsi="Arial"/>
                  <w:sz w:val="18"/>
                  <w:szCs w:val="18"/>
                  <w:color w:val="0000EE"/>
                  <w:w w:val="84"/>
                </w:rPr>
                <w:t>2002.</w:t>
              </w:r>
            </w:hyperlink>
          </w:p>
        </w:tc>
        <w:tc>
          <w:tcPr>
            <w:tcW w:w="3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8"/>
                <w:szCs w:val="18"/>
                <w:color w:val="auto"/>
                <w:w w:val="88"/>
              </w:rPr>
              <w:t>32.2†</w:t>
            </w:r>
          </w:p>
        </w:tc>
        <w:tc>
          <w:tcPr>
            <w:tcW w:w="528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75">
              <w:r>
                <w:rPr>
                  <w:rFonts w:ascii="Arial" w:cs="Arial" w:eastAsia="Arial" w:hAnsi="Arial"/>
                  <w:sz w:val="18"/>
                  <w:szCs w:val="18"/>
                  <w:color w:val="0000EE"/>
                  <w:w w:val="92"/>
                </w:rPr>
                <w:t>Certification of Principal Financial Officer Pursuant to 18 U.S.C. Section</w:t>
              </w:r>
            </w:hyperlink>
          </w:p>
        </w:tc>
        <w:tc>
          <w:tcPr>
            <w:tcW w:w="2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00" w:type="dxa"/>
            <w:vAlign w:val="bottom"/>
            <w:gridSpan w:val="12"/>
          </w:tcPr>
          <w:p>
            <w:pPr>
              <w:spacing w:after="0" w:line="196" w:lineRule="exact"/>
              <w:rPr>
                <w:rFonts w:ascii="Arial" w:cs="Arial" w:eastAsia="Arial" w:hAnsi="Arial"/>
                <w:sz w:val="18"/>
                <w:szCs w:val="18"/>
                <w:color w:val="0000EE"/>
                <w:w w:val="95"/>
              </w:rPr>
            </w:pPr>
            <w:hyperlink w:anchor="page75">
              <w:r>
                <w:rPr>
                  <w:rFonts w:ascii="Arial" w:cs="Arial" w:eastAsia="Arial" w:hAnsi="Arial"/>
                  <w:sz w:val="18"/>
                  <w:szCs w:val="18"/>
                  <w:color w:val="0000EE"/>
                  <w:w w:val="95"/>
                </w:rPr>
                <w:t>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5">
              <w:r>
                <w:rPr>
                  <w:rFonts w:ascii="Arial" w:cs="Arial" w:eastAsia="Arial" w:hAnsi="Arial"/>
                  <w:sz w:val="18"/>
                  <w:szCs w:val="18"/>
                  <w:color w:val="0000EE"/>
                  <w:w w:val="84"/>
                </w:rPr>
                <w:t>2002.</w:t>
              </w:r>
            </w:hyperlink>
          </w:p>
        </w:tc>
        <w:tc>
          <w:tcPr>
            <w:tcW w:w="3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2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550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30"/>
        </w:trPr>
        <w:tc>
          <w:tcPr>
            <w:tcW w:w="12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550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2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550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2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550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12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550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2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550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9673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Form</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File No.</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209"/>
        </w:trPr>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6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001-38943</w:t>
            </w:r>
          </w:p>
        </w:tc>
        <w:tc>
          <w:tcPr>
            <w:tcW w:w="6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w:t>
            </w:r>
          </w:p>
        </w:tc>
        <w:tc>
          <w:tcPr>
            <w:tcW w:w="6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June 24, 2019</w:t>
            </w:r>
          </w:p>
        </w:tc>
      </w:tr>
      <w:tr>
        <w:trPr>
          <w:trHeight w:val="230"/>
        </w:trPr>
        <w:tc>
          <w:tcPr>
            <w:tcW w:w="11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001-38943</w:t>
            </w:r>
          </w:p>
        </w:tc>
        <w:tc>
          <w:tcPr>
            <w:tcW w:w="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June 24, 2019</w:t>
            </w:r>
          </w:p>
        </w:tc>
      </w:tr>
    </w:tbl>
    <w:p>
      <w:pPr>
        <w:spacing w:after="0" w:line="4208" w:lineRule="exact"/>
        <w:rPr>
          <w:sz w:val="20"/>
          <w:szCs w:val="20"/>
          <w:color w:val="auto"/>
        </w:rPr>
      </w:pPr>
    </w:p>
    <w:p>
      <w:pPr>
        <w:sectPr>
          <w:pgSz w:w="11900" w:h="16838" w:orient="portrait"/>
          <w:cols w:equalWidth="0" w:num="2">
            <w:col w:w="6700" w:space="40"/>
            <w:col w:w="4680"/>
          </w:cols>
          <w:pgMar w:left="240" w:top="337" w:right="239" w:bottom="1440" w:gutter="0" w:footer="0" w:header="0"/>
          <w:type w:val="continuous"/>
        </w:sectPr>
      </w:pPr>
    </w:p>
    <w:p>
      <w:pPr>
        <w:ind w:left="520" w:hanging="512"/>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8" w:lineRule="exact"/>
        <w:rPr>
          <w:sz w:val="20"/>
          <w:szCs w:val="20"/>
          <w:color w:val="auto"/>
        </w:rPr>
      </w:pPr>
    </w:p>
    <w:p>
      <w:pPr>
        <w:jc w:val="both"/>
        <w:ind w:left="520" w:hanging="512"/>
        <w:spacing w:after="0" w:line="238"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November 13, 2019</w:t>
      </w:r>
      <w:r>
        <w:rPr>
          <w:sz w:val="20"/>
          <w:szCs w:val="20"/>
          <w:color w:val="auto"/>
        </w:rPr>
        <w:tab/>
      </w:r>
      <w:r>
        <w:rPr>
          <w:rFonts w:ascii="Arial" w:cs="Arial" w:eastAsia="Arial" w:hAnsi="Arial"/>
          <w:sz w:val="16"/>
          <w:szCs w:val="16"/>
          <w:color w:val="auto"/>
        </w:rPr>
        <w:t>Personalis, Inc.</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Aaron Tachibana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37"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John West, certify that:</w:t>
      </w:r>
    </w:p>
    <w:p>
      <w:pPr>
        <w:spacing w:after="0" w:line="225"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Personalis,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640" w:hanging="512"/>
        <w:spacing w:after="0" w:line="27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40" w:hanging="512"/>
        <w:spacing w:after="0" w:line="308"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2019</w:t>
      </w:r>
    </w:p>
    <w:p>
      <w:pPr>
        <w:spacing w:after="0" w:line="36"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tab/>
        <w:t>/s/ John West</w:t>
      </w:r>
    </w:p>
    <w:p>
      <w:pPr>
        <w:spacing w:after="0" w:line="5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-130175</wp:posOffset>
            </wp:positionV>
            <wp:extent cx="33362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5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Aaron Tachibana, certify that:</w:t>
      </w:r>
    </w:p>
    <w:p>
      <w:pPr>
        <w:spacing w:after="0" w:line="225"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Personalis,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640" w:hanging="512"/>
        <w:spacing w:after="0" w:line="27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40" w:hanging="512"/>
        <w:spacing w:after="0" w:line="308"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2019</w:t>
      </w:r>
    </w:p>
    <w:p>
      <w:pPr>
        <w:spacing w:after="0" w:line="36"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tab/>
        <w:t>/s/ Aaron Tachibana</w:t>
      </w:r>
    </w:p>
    <w:p>
      <w:pPr>
        <w:spacing w:after="0" w:line="5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-130175</wp:posOffset>
            </wp:positionV>
            <wp:extent cx="33362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35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In connection with the Quarterly Report of Personalis, Inc. (the “Company”) on Form 10-Q for the period ending September 30, 2019 as filed with the Securities and Exchange Commission on the date hereof (the “Report”), I certify, pursuant to 18 U.S.C. § 1350, as adopted pursuant to § 906 of the Sarbanes-Oxley Act of 2002, that:</w:t>
      </w:r>
    </w:p>
    <w:p>
      <w:pPr>
        <w:spacing w:after="0" w:line="181"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2019</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 /s/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John West</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5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In connection with the Quarterly Report of Personalis, Inc. (the “Company”) on Form 10-Q for the period ending September 30, 2019 as filed with the Securities and Exchange Commission on the date hereof (the “Report”), I certify, pursuant to 18 U.S.C. § 1350, as adopted pursuant to § 906 of the Sarbanes-Oxley Act of 2002, that:</w:t>
      </w:r>
    </w:p>
    <w:p>
      <w:pPr>
        <w:spacing w:after="0" w:line="181"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2019</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Aaron Tachibana</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lowerRoman"/>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lowerRoman"/>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lowerLetter"/>
      <w:start w:val="2"/>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91" Type="http://schemas.openxmlformats.org/officeDocument/2006/relationships/hyperlink" Target="http://www.sec.gov/Archives/edgar/data/0001527753/000119312519180246/d750323dex31.htm" TargetMode="External"/><Relationship Id="rId92" Type="http://schemas.openxmlformats.org/officeDocument/2006/relationships/hyperlink" Target="http://www.sec.gov/Archives/edgar/data/0001527753/000119312519180246/d750323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2019-12-28T01:46:04Z</dcterms:created>
  <dcterms:modified xsi:type="dcterms:W3CDTF">2019-12-28T01:46:04Z</dcterms:modified>
</cp:coreProperties>
</file>