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-232410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66675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1" w:lineRule="exact"/>
        <w:rPr>
          <w:sz w:val="24"/>
          <w:szCs w:val="24"/>
          <w:color w:val="auto"/>
        </w:rPr>
      </w:pPr>
    </w:p>
    <w:p>
      <w:pPr>
        <w:ind w:left="3920" w:right="1960" w:hanging="3912"/>
        <w:spacing w:after="0" w:line="289" w:lineRule="auto"/>
        <w:tabs>
          <w:tab w:leader="none" w:pos="50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61" w:lineRule="exact"/>
        <w:rPr>
          <w:sz w:val="24"/>
          <w:szCs w:val="24"/>
          <w:color w:val="auto"/>
        </w:rPr>
      </w:pPr>
    </w:p>
    <w:p>
      <w:pPr>
        <w:ind w:left="520"/>
        <w:spacing w:after="0"/>
        <w:tabs>
          <w:tab w:leader="none" w:pos="4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50"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66040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529"/>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jc w:val="center"/>
              <w:spacing w:after="0"/>
              <w:rPr>
                <w:sz w:val="20"/>
                <w:szCs w:val="20"/>
                <w:color w:val="auto"/>
              </w:rPr>
            </w:pPr>
            <w:r>
              <w:rPr>
                <w:rFonts w:ascii="Arial" w:cs="Arial" w:eastAsia="Arial" w:hAnsi="Arial"/>
                <w:sz w:val="43"/>
                <w:szCs w:val="43"/>
                <w:b w:val="1"/>
                <w:bCs w:val="1"/>
                <w:color w:val="auto"/>
                <w:w w:val="89"/>
              </w:rPr>
              <w:t>Personalis, Inc.</w:t>
            </w:r>
          </w:p>
        </w:tc>
        <w:tc>
          <w:tcPr>
            <w:tcW w:w="4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0"/>
        </w:trPr>
        <w:tc>
          <w:tcPr>
            <w:tcW w:w="3740" w:type="dxa"/>
            <w:vAlign w:val="bottom"/>
          </w:tcPr>
          <w:p>
            <w:pPr>
              <w:spacing w:after="0"/>
              <w:rPr>
                <w:sz w:val="18"/>
                <w:szCs w:val="18"/>
                <w:color w:val="auto"/>
              </w:rPr>
            </w:pPr>
          </w:p>
        </w:tc>
        <w:tc>
          <w:tcPr>
            <w:tcW w:w="7500" w:type="dxa"/>
            <w:vAlign w:val="bottom"/>
            <w:gridSpan w:val="8"/>
          </w:tcPr>
          <w:p>
            <w:pPr>
              <w:jc w:val="center"/>
              <w:ind w:right="3664"/>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r>
      <w:tr>
        <w:trPr>
          <w:trHeight w:val="73"/>
        </w:trPr>
        <w:tc>
          <w:tcPr>
            <w:tcW w:w="37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740" w:type="dxa"/>
            <w:vAlign w:val="bottom"/>
          </w:tcPr>
          <w:p>
            <w:pPr>
              <w:spacing w:after="0"/>
              <w:rPr>
                <w:sz w:val="6"/>
                <w:szCs w:val="6"/>
                <w:color w:val="auto"/>
              </w:rPr>
            </w:pPr>
          </w:p>
        </w:tc>
      </w:tr>
      <w:tr>
        <w:trPr>
          <w:trHeight w:val="231"/>
        </w:trPr>
        <w:tc>
          <w:tcPr>
            <w:tcW w:w="4080" w:type="dxa"/>
            <w:vAlign w:val="bottom"/>
            <w:gridSpan w:val="2"/>
          </w:tcPr>
          <w:p>
            <w:pPr>
              <w:jc w:val="center"/>
              <w:ind w:left="1478"/>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0" w:type="dxa"/>
            <w:vAlign w:val="bottom"/>
            <w:gridSpan w:val="2"/>
          </w:tcPr>
          <w:p>
            <w:pPr>
              <w:jc w:val="right"/>
              <w:ind w:right="2304"/>
              <w:spacing w:after="0"/>
              <w:rPr>
                <w:sz w:val="20"/>
                <w:szCs w:val="20"/>
                <w:color w:val="auto"/>
              </w:rPr>
            </w:pPr>
            <w:r>
              <w:rPr>
                <w:rFonts w:ascii="Arial" w:cs="Arial" w:eastAsia="Arial" w:hAnsi="Arial"/>
                <w:sz w:val="18"/>
                <w:szCs w:val="18"/>
                <w:b w:val="1"/>
                <w:bCs w:val="1"/>
                <w:color w:val="auto"/>
              </w:rPr>
              <w:t>27-5411038</w:t>
            </w:r>
          </w:p>
        </w:tc>
      </w:tr>
      <w:tr>
        <w:trPr>
          <w:trHeight w:val="149"/>
        </w:trPr>
        <w:tc>
          <w:tcPr>
            <w:tcW w:w="4080" w:type="dxa"/>
            <w:vAlign w:val="bottom"/>
            <w:gridSpan w:val="2"/>
          </w:tcPr>
          <w:p>
            <w:pPr>
              <w:jc w:val="center"/>
              <w:ind w:left="1478"/>
              <w:spacing w:after="0" w:line="149" w:lineRule="exact"/>
              <w:rPr>
                <w:sz w:val="20"/>
                <w:szCs w:val="20"/>
                <w:color w:val="auto"/>
              </w:rPr>
            </w:pPr>
            <w:r>
              <w:rPr>
                <w:rFonts w:ascii="Arial" w:cs="Arial" w:eastAsia="Arial" w:hAnsi="Arial"/>
                <w:sz w:val="14"/>
                <w:szCs w:val="14"/>
                <w:color w:val="auto"/>
                <w:w w:val="95"/>
              </w:rPr>
              <w:t>(State or other jurisdiction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40" w:type="dxa"/>
            <w:vAlign w:val="bottom"/>
          </w:tcPr>
          <w:p>
            <w:pPr>
              <w:jc w:val="center"/>
              <w:ind w:right="1804"/>
              <w:spacing w:after="0" w:line="149" w:lineRule="exact"/>
              <w:rPr>
                <w:sz w:val="20"/>
                <w:szCs w:val="20"/>
                <w:color w:val="auto"/>
              </w:rPr>
            </w:pPr>
            <w:r>
              <w:rPr>
                <w:rFonts w:ascii="Arial" w:cs="Arial" w:eastAsia="Arial" w:hAnsi="Arial"/>
                <w:sz w:val="14"/>
                <w:szCs w:val="14"/>
                <w:color w:val="auto"/>
                <w:w w:val="95"/>
              </w:rPr>
              <w:t>(I.R.S. Employer</w:t>
            </w:r>
          </w:p>
        </w:tc>
      </w:tr>
      <w:tr>
        <w:trPr>
          <w:trHeight w:val="149"/>
        </w:trPr>
        <w:tc>
          <w:tcPr>
            <w:tcW w:w="4080" w:type="dxa"/>
            <w:vAlign w:val="bottom"/>
            <w:gridSpan w:val="2"/>
          </w:tcPr>
          <w:p>
            <w:pPr>
              <w:jc w:val="center"/>
              <w:ind w:left="1478"/>
              <w:spacing w:after="0" w:line="149" w:lineRule="exact"/>
              <w:rPr>
                <w:sz w:val="20"/>
                <w:szCs w:val="20"/>
                <w:color w:val="auto"/>
              </w:rPr>
            </w:pPr>
            <w:r>
              <w:rPr>
                <w:rFonts w:ascii="Arial" w:cs="Arial" w:eastAsia="Arial" w:hAnsi="Arial"/>
                <w:sz w:val="14"/>
                <w:szCs w:val="14"/>
                <w:color w:val="auto"/>
                <w:w w:val="94"/>
              </w:rPr>
              <w:t>incorporation or organization)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40" w:type="dxa"/>
            <w:vAlign w:val="bottom"/>
          </w:tcPr>
          <w:p>
            <w:pPr>
              <w:jc w:val="center"/>
              <w:ind w:right="1804"/>
              <w:spacing w:after="0" w:line="149" w:lineRule="exact"/>
              <w:rPr>
                <w:sz w:val="20"/>
                <w:szCs w:val="20"/>
                <w:color w:val="auto"/>
              </w:rPr>
            </w:pPr>
            <w:r>
              <w:rPr>
                <w:rFonts w:ascii="Arial" w:cs="Arial" w:eastAsia="Arial" w:hAnsi="Arial"/>
                <w:sz w:val="14"/>
                <w:szCs w:val="14"/>
                <w:color w:val="auto"/>
                <w:w w:val="97"/>
              </w:rPr>
              <w:t>Identification No.)</w:t>
            </w:r>
          </w:p>
        </w:tc>
      </w:tr>
      <w:tr>
        <w:trPr>
          <w:trHeight w:val="216"/>
        </w:trPr>
        <w:tc>
          <w:tcPr>
            <w:tcW w:w="4080" w:type="dxa"/>
            <w:vAlign w:val="bottom"/>
            <w:gridSpan w:val="2"/>
          </w:tcPr>
          <w:p>
            <w:pPr>
              <w:jc w:val="center"/>
              <w:ind w:left="1478"/>
              <w:spacing w:after="0"/>
              <w:rPr>
                <w:sz w:val="20"/>
                <w:szCs w:val="20"/>
                <w:color w:val="auto"/>
              </w:rPr>
            </w:pPr>
            <w:r>
              <w:rPr>
                <w:rFonts w:ascii="Arial" w:cs="Arial" w:eastAsia="Arial" w:hAnsi="Arial"/>
                <w:sz w:val="18"/>
                <w:szCs w:val="18"/>
                <w:b w:val="1"/>
                <w:bCs w:val="1"/>
                <w:color w:val="auto"/>
                <w:w w:val="94"/>
              </w:rPr>
              <w:t>1330 O’Brien Drive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4080" w:type="dxa"/>
            <w:vAlign w:val="bottom"/>
            <w:gridSpan w:val="2"/>
          </w:tcPr>
          <w:p>
            <w:pPr>
              <w:jc w:val="center"/>
              <w:ind w:left="1478"/>
              <w:spacing w:after="0"/>
              <w:rPr>
                <w:sz w:val="20"/>
                <w:szCs w:val="20"/>
                <w:color w:val="auto"/>
              </w:rPr>
            </w:pPr>
            <w:r>
              <w:rPr>
                <w:rFonts w:ascii="Arial" w:cs="Arial" w:eastAsia="Arial" w:hAnsi="Arial"/>
                <w:sz w:val="18"/>
                <w:szCs w:val="18"/>
                <w:b w:val="1"/>
                <w:bCs w:val="1"/>
                <w:color w:val="auto"/>
                <w:w w:val="97"/>
              </w:rPr>
              <w:t>Menlo Park California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0" w:type="dxa"/>
            <w:vAlign w:val="bottom"/>
            <w:gridSpan w:val="2"/>
          </w:tcPr>
          <w:p>
            <w:pPr>
              <w:jc w:val="right"/>
              <w:ind w:right="2504"/>
              <w:spacing w:after="0"/>
              <w:rPr>
                <w:sz w:val="20"/>
                <w:szCs w:val="20"/>
                <w:color w:val="auto"/>
              </w:rPr>
            </w:pPr>
            <w:r>
              <w:rPr>
                <w:rFonts w:ascii="Arial" w:cs="Arial" w:eastAsia="Arial" w:hAnsi="Arial"/>
                <w:sz w:val="18"/>
                <w:szCs w:val="18"/>
                <w:b w:val="1"/>
                <w:bCs w:val="1"/>
                <w:color w:val="auto"/>
              </w:rPr>
              <w:t>94025</w:t>
            </w:r>
          </w:p>
        </w:tc>
      </w:tr>
      <w:tr>
        <w:trPr>
          <w:trHeight w:val="149"/>
        </w:trPr>
        <w:tc>
          <w:tcPr>
            <w:tcW w:w="4080" w:type="dxa"/>
            <w:vAlign w:val="bottom"/>
            <w:gridSpan w:val="2"/>
          </w:tcPr>
          <w:p>
            <w:pPr>
              <w:jc w:val="center"/>
              <w:ind w:left="1478"/>
              <w:spacing w:after="0" w:line="149" w:lineRule="exact"/>
              <w:rPr>
                <w:sz w:val="20"/>
                <w:szCs w:val="20"/>
                <w:color w:val="auto"/>
              </w:rPr>
            </w:pPr>
            <w:r>
              <w:rPr>
                <w:rFonts w:ascii="Arial" w:cs="Arial" w:eastAsia="Arial" w:hAnsi="Arial"/>
                <w:sz w:val="14"/>
                <w:szCs w:val="14"/>
                <w:color w:val="auto"/>
                <w:w w:val="95"/>
              </w:rPr>
              <w:t>(Address of principal executive offices)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40" w:type="dxa"/>
            <w:vAlign w:val="bottom"/>
          </w:tcPr>
          <w:p>
            <w:pPr>
              <w:jc w:val="center"/>
              <w:ind w:right="1804"/>
              <w:spacing w:after="0" w:line="149" w:lineRule="exact"/>
              <w:rPr>
                <w:sz w:val="20"/>
                <w:szCs w:val="20"/>
                <w:color w:val="auto"/>
              </w:rPr>
            </w:pPr>
            <w:r>
              <w:rPr>
                <w:rFonts w:ascii="Arial" w:cs="Arial" w:eastAsia="Arial" w:hAnsi="Arial"/>
                <w:sz w:val="14"/>
                <w:szCs w:val="14"/>
                <w:color w:val="auto"/>
                <w:w w:val="93"/>
              </w:rPr>
              <w:t>(Zip Code)</w:t>
            </w:r>
          </w:p>
        </w:tc>
      </w:tr>
      <w:tr>
        <w:trPr>
          <w:trHeight w:val="234"/>
        </w:trPr>
        <w:tc>
          <w:tcPr>
            <w:tcW w:w="11240" w:type="dxa"/>
            <w:vAlign w:val="bottom"/>
            <w:gridSpan w:val="9"/>
          </w:tcPr>
          <w:p>
            <w:pPr>
              <w:jc w:val="center"/>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7"/>
                <w:szCs w:val="17"/>
                <w:b w:val="1"/>
                <w:bCs w:val="1"/>
                <w:color w:val="auto"/>
                <w:w w:val="93"/>
              </w:rPr>
              <w:t>(650) 752-1300</w:t>
            </w:r>
          </w:p>
        </w:tc>
      </w:tr>
      <w:tr>
        <w:trPr>
          <w:trHeight w:val="54"/>
        </w:trPr>
        <w:tc>
          <w:tcPr>
            <w:tcW w:w="37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740" w:type="dxa"/>
            <w:vAlign w:val="bottom"/>
          </w:tcPr>
          <w:p>
            <w:pPr>
              <w:spacing w:after="0"/>
              <w:rPr>
                <w:sz w:val="4"/>
                <w:szCs w:val="4"/>
                <w:color w:val="auto"/>
              </w:rPr>
            </w:pPr>
          </w:p>
        </w:tc>
      </w:tr>
      <w:tr>
        <w:trPr>
          <w:trHeight w:val="231"/>
        </w:trPr>
        <w:tc>
          <w:tcPr>
            <w:tcW w:w="4080" w:type="dxa"/>
            <w:vAlign w:val="bottom"/>
            <w:gridSpan w:val="2"/>
          </w:tcPr>
          <w:p>
            <w:pPr>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44"/>
        </w:trPr>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46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234"/>
        </w:trPr>
        <w:tc>
          <w:tcPr>
            <w:tcW w:w="4080" w:type="dxa"/>
            <w:vAlign w:val="bottom"/>
            <w:gridSpan w:val="2"/>
          </w:tcPr>
          <w:p>
            <w:pPr>
              <w:jc w:val="center"/>
              <w:ind w:left="138"/>
              <w:spacing w:after="0"/>
              <w:rPr>
                <w:sz w:val="20"/>
                <w:szCs w:val="20"/>
                <w:color w:val="auto"/>
              </w:rPr>
            </w:pPr>
            <w:r>
              <w:rPr>
                <w:rFonts w:ascii="Arial" w:cs="Arial" w:eastAsia="Arial" w:hAnsi="Arial"/>
                <w:sz w:val="18"/>
                <w:szCs w:val="18"/>
                <w:b w:val="1"/>
                <w:bCs w:val="1"/>
                <w:color w:val="auto"/>
                <w:w w:val="86"/>
              </w:rPr>
              <w:t>Title of each class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4200" w:type="dxa"/>
            <w:vAlign w:val="bottom"/>
            <w:gridSpan w:val="2"/>
          </w:tcPr>
          <w:p>
            <w:pPr>
              <w:jc w:val="center"/>
              <w:ind w:right="784"/>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080" w:type="dxa"/>
            <w:vAlign w:val="bottom"/>
            <w:tcBorders>
              <w:top w:val="single" w:sz="8" w:color="auto"/>
            </w:tcBorders>
            <w:gridSpan w:val="2"/>
          </w:tcPr>
          <w:p>
            <w:pPr>
              <w:jc w:val="center"/>
              <w:ind w:left="138"/>
              <w:spacing w:after="0"/>
              <w:rPr>
                <w:sz w:val="20"/>
                <w:szCs w:val="20"/>
                <w:color w:val="auto"/>
              </w:rPr>
            </w:pPr>
            <w:r>
              <w:rPr>
                <w:rFonts w:ascii="Arial" w:cs="Arial" w:eastAsia="Arial" w:hAnsi="Arial"/>
                <w:sz w:val="18"/>
                <w:szCs w:val="18"/>
                <w:color w:val="auto"/>
                <w:w w:val="90"/>
              </w:rPr>
              <w:t>Common Stock, par value $0.0001</w:t>
            </w:r>
          </w:p>
        </w:tc>
        <w:tc>
          <w:tcPr>
            <w:tcW w:w="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PSNL</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1224"/>
              <w:spacing w:after="0"/>
              <w:rPr>
                <w:sz w:val="20"/>
                <w:szCs w:val="20"/>
                <w:color w:val="auto"/>
              </w:rPr>
            </w:pPr>
            <w:r>
              <w:rPr>
                <w:rFonts w:ascii="Arial" w:cs="Arial" w:eastAsia="Arial" w:hAnsi="Arial"/>
                <w:sz w:val="18"/>
                <w:szCs w:val="18"/>
                <w:color w:val="auto"/>
                <w:w w:val="91"/>
              </w:rPr>
              <w:t>The Nasdaq Global Market</w:t>
            </w:r>
          </w:p>
        </w:tc>
      </w:tr>
    </w:tbl>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56" w:lineRule="exact"/>
        <w:rPr>
          <w:sz w:val="24"/>
          <w:szCs w:val="24"/>
          <w:color w:val="auto"/>
        </w:rPr>
      </w:pPr>
    </w:p>
    <w:p>
      <w:pPr>
        <w:ind w:right="2680"/>
        <w:spacing w:after="0" w:line="26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jc w:val="both"/>
        <w:ind w:right="5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36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2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2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78"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ind w:right="20"/>
        <w:spacing w:after="0" w:line="318"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28, 2019, the last business day of the Registrant’s most recently completed second fiscal quarter, was approximately $513,174,177 based on the closing price of the shares of common stock on the Nasdaq Global Market. Excludes an aggregate of 12,220,162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March 20, 2020 was 31,474,193.</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59" w:lineRule="exact"/>
        <w:rPr>
          <w:sz w:val="24"/>
          <w:szCs w:val="24"/>
          <w:color w:val="auto"/>
        </w:rPr>
      </w:pPr>
    </w:p>
    <w:p>
      <w:pPr>
        <w:ind w:right="280"/>
        <w:spacing w:after="0" w:line="278" w:lineRule="auto"/>
        <w:rPr>
          <w:sz w:val="20"/>
          <w:szCs w:val="20"/>
          <w:color w:val="auto"/>
        </w:rPr>
      </w:pPr>
      <w:r>
        <w:rPr>
          <w:rFonts w:ascii="Arial" w:cs="Arial" w:eastAsia="Arial" w:hAnsi="Arial"/>
          <w:sz w:val="16"/>
          <w:szCs w:val="16"/>
          <w:color w:val="auto"/>
        </w:rPr>
        <w:t>Part III incorporates information by reference from the Registrant’s definitive proxy statement to be filed with the U.S. Securities and Exchange Commission pursuant to Regulation 14A, not later than 120 days after the end of the fiscal year covered by this Annual Report on Form 10-K, in connection with the Registrant’s 2020 annual meeting of stockholders (the “2020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auto"/>
        </w:rPr>
        <w:t>Personalis, Inc.</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8980" w:type="dxa"/>
            <w:vAlign w:val="bottom"/>
            <w:gridSpan w:val="23"/>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140" w:type="dxa"/>
            <w:vAlign w:val="bottom"/>
            <w:vMerge w:val="continue"/>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8980" w:type="dxa"/>
            <w:vAlign w:val="bottom"/>
            <w:gridSpan w:val="23"/>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2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898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1B.</w:t>
            </w:r>
          </w:p>
        </w:tc>
        <w:tc>
          <w:tcPr>
            <w:tcW w:w="898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Unresolved Staff Comments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Properties</w:t>
              </w:r>
            </w:hyperlink>
          </w:p>
        </w:tc>
        <w:tc>
          <w:tcPr>
            <w:tcW w:w="1300" w:type="dxa"/>
            <w:vAlign w:val="bottom"/>
            <w:tcBorders>
              <w:top w:val="single" w:sz="8" w:color="0000EE"/>
            </w:tcBorders>
            <w:gridSpan w:val="9"/>
          </w:tcPr>
          <w:p>
            <w:pPr>
              <w:spacing w:after="0"/>
              <w:rPr>
                <w:sz w:val="18"/>
                <w:szCs w:val="18"/>
                <w:color w:val="auto"/>
              </w:rPr>
            </w:pPr>
          </w:p>
        </w:tc>
        <w:tc>
          <w:tcPr>
            <w:tcW w:w="6940" w:type="dxa"/>
            <w:vAlign w:val="bottom"/>
            <w:gridSpan w:val="12"/>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Legal Proceedings</w:t>
              </w:r>
            </w:hyperlink>
          </w:p>
        </w:tc>
        <w:tc>
          <w:tcPr>
            <w:tcW w:w="7640" w:type="dxa"/>
            <w:vAlign w:val="bottom"/>
            <w:gridSpan w:val="17"/>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898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2"/>
          </w:tcPr>
          <w:p>
            <w:pPr>
              <w:spacing w:after="0" w:line="190"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Market for Registrant’s Common Equity, Related Stockholder Matters and Issuer Purchases of Equity Securities</w:t>
              </w:r>
            </w:hyperlink>
          </w:p>
        </w:tc>
        <w:tc>
          <w:tcPr>
            <w:tcW w:w="900" w:type="dxa"/>
            <w:vAlign w:val="bottom"/>
          </w:tcPr>
          <w:p>
            <w:pPr>
              <w:spacing w:after="0"/>
              <w:rPr>
                <w:sz w:val="16"/>
                <w:szCs w:val="16"/>
                <w:color w:val="auto"/>
              </w:rPr>
            </w:pPr>
          </w:p>
        </w:tc>
        <w:tc>
          <w:tcPr>
            <w:tcW w:w="1120" w:type="dxa"/>
            <w:vAlign w:val="bottom"/>
          </w:tcPr>
          <w:p>
            <w:pPr>
              <w:jc w:val="right"/>
              <w:spacing w:after="0" w:line="190"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Selected Financial Data</w:t>
              </w:r>
            </w:hyperlink>
          </w:p>
        </w:tc>
        <w:tc>
          <w:tcPr>
            <w:tcW w:w="7260" w:type="dxa"/>
            <w:vAlign w:val="bottom"/>
            <w:gridSpan w:val="15"/>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2520" w:type="dxa"/>
            <w:vAlign w:val="bottom"/>
            <w:gridSpan w:val="4"/>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Quantitative and Qualitative Disclosures About Market Risk</w:t>
              </w:r>
            </w:hyperlink>
          </w:p>
        </w:tc>
        <w:tc>
          <w:tcPr>
            <w:tcW w:w="4620" w:type="dxa"/>
            <w:vAlign w:val="bottom"/>
            <w:gridSpan w:val="6"/>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8.</w:t>
            </w:r>
          </w:p>
        </w:tc>
        <w:tc>
          <w:tcPr>
            <w:tcW w:w="8980" w:type="dxa"/>
            <w:vAlign w:val="bottom"/>
            <w:gridSpan w:val="2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Changes in and Disagreements with Accountants on Accounting and Financial Disclosure</w:t>
              </w:r>
            </w:hyperlink>
          </w:p>
        </w:tc>
        <w:tc>
          <w:tcPr>
            <w:tcW w:w="2500" w:type="dxa"/>
            <w:vAlign w:val="bottom"/>
            <w:gridSpan w:val="3"/>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Controls and Procedures</w:t>
              </w:r>
            </w:hyperlink>
          </w:p>
        </w:tc>
        <w:tc>
          <w:tcPr>
            <w:tcW w:w="7200" w:type="dxa"/>
            <w:vAlign w:val="bottom"/>
            <w:gridSpan w:val="14"/>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9B.</w:t>
            </w:r>
          </w:p>
        </w:tc>
        <w:tc>
          <w:tcPr>
            <w:tcW w:w="898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Other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6"/>
          </w:tcPr>
          <w:p>
            <w:pPr>
              <w:spacing w:after="0" w:line="190"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Directors, Executive Officers and Corporate Governance</w:t>
              </w:r>
            </w:hyperlink>
          </w:p>
        </w:tc>
        <w:tc>
          <w:tcPr>
            <w:tcW w:w="4880" w:type="dxa"/>
            <w:vAlign w:val="bottom"/>
            <w:gridSpan w:val="7"/>
          </w:tcPr>
          <w:p>
            <w:pPr>
              <w:spacing w:after="0"/>
              <w:rPr>
                <w:sz w:val="16"/>
                <w:szCs w:val="16"/>
                <w:color w:val="auto"/>
              </w:rPr>
            </w:pPr>
          </w:p>
        </w:tc>
        <w:tc>
          <w:tcPr>
            <w:tcW w:w="1120" w:type="dxa"/>
            <w:vAlign w:val="bottom"/>
          </w:tcPr>
          <w:p>
            <w:pPr>
              <w:jc w:val="right"/>
              <w:spacing w:after="0" w:line="190"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11.</w:t>
            </w:r>
          </w:p>
        </w:tc>
        <w:tc>
          <w:tcPr>
            <w:tcW w:w="8980" w:type="dxa"/>
            <w:vAlign w:val="bottom"/>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Security Ownership of Certain Beneficial Owners and Management and Related Stockholder Matters</w:t>
              </w:r>
            </w:hyperlink>
          </w:p>
        </w:tc>
        <w:tc>
          <w:tcPr>
            <w:tcW w:w="168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Certain Relationships and Related Transactions, and Director Independence</w:t>
              </w:r>
            </w:hyperlink>
          </w:p>
        </w:tc>
        <w:tc>
          <w:tcPr>
            <w:tcW w:w="3520" w:type="dxa"/>
            <w:vAlign w:val="bottom"/>
            <w:gridSpan w:val="5"/>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14.</w:t>
            </w:r>
          </w:p>
        </w:tc>
        <w:tc>
          <w:tcPr>
            <w:tcW w:w="8980" w:type="dxa"/>
            <w:vAlign w:val="bottom"/>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8980" w:type="dxa"/>
            <w:vAlign w:val="bottom"/>
            <w:gridSpan w:val="23"/>
          </w:tcPr>
          <w:p>
            <w:pPr>
              <w:spacing w:after="0" w:line="190" w:lineRule="exact"/>
              <w:rPr>
                <w:rFonts w:ascii="Arial" w:cs="Arial" w:eastAsia="Arial" w:hAnsi="Arial"/>
                <w:sz w:val="18"/>
                <w:szCs w:val="18"/>
                <w:color w:val="0000EE"/>
              </w:rPr>
            </w:pPr>
            <w:hyperlink w:anchor="page101">
              <w:r>
                <w:rPr>
                  <w:rFonts w:ascii="Arial" w:cs="Arial" w:eastAsia="Arial" w:hAnsi="Arial"/>
                  <w:sz w:val="18"/>
                  <w:szCs w:val="18"/>
                  <w:color w:val="0000EE"/>
                </w:rPr>
                <w:t>Exhibits, Financial Statement Schedules</w:t>
              </w:r>
            </w:hyperlink>
          </w:p>
        </w:tc>
        <w:tc>
          <w:tcPr>
            <w:tcW w:w="1120" w:type="dxa"/>
            <w:vAlign w:val="bottom"/>
          </w:tcPr>
          <w:p>
            <w:pPr>
              <w:jc w:val="right"/>
              <w:spacing w:after="0" w:line="190"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6080" w:type="dxa"/>
            <w:vAlign w:val="bottom"/>
            <w:gridSpan w:val="10"/>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8980" w:type="dxa"/>
            <w:vAlign w:val="bottom"/>
            <w:gridSpan w:val="2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Signatures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114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700" w:type="dxa"/>
            <w:vAlign w:val="bottom"/>
            <w:gridSpan w:val="15"/>
          </w:tcPr>
          <w:p>
            <w:pPr>
              <w:jc w:val="right"/>
              <w:ind w:right="94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154"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evolution of cancer therapies and market adoption of our services;</w:t>
      </w:r>
    </w:p>
    <w:p>
      <w:pPr>
        <w:spacing w:after="0" w:line="2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total addressable market, future revenue, expenses, capital requirements, and our needs for additional financing;</w:t>
      </w:r>
    </w:p>
    <w:p>
      <w:pPr>
        <w:spacing w:after="0" w:line="20"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our customers’ and suppliers’ businesses and the general economy;</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products to new customers;</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our relationship with the U.S. Department of Veterans Affairs’ Million Veteran Program;</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approval of personalized cancer therapies by the Food and Drug Administration may drive benefits to our business; and</w:t>
      </w:r>
    </w:p>
    <w:p>
      <w:pPr>
        <w:spacing w:after="0" w:line="20"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JOBS Act.</w:t>
      </w:r>
    </w:p>
    <w:p>
      <w:pPr>
        <w:spacing w:after="0" w:line="17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Annual Report on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5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Unless the context otherwise requires, references in this Annual Report on Form 10-K to the “company,” “Personalis,” “we,” “us” and “our” refer to Personalis,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50 to 500 genes. In parallel with the development of our platform technology, we have also provided population sequencing services under contract with the U.S. Department of Veterans Affairs (the “VA”) Million Veteran Program (the “VA MVP”), which has enabled us to innovate, scale our operational infrastructure, and achieve greater efficiencies in our lab.</w:t>
      </w:r>
    </w:p>
    <w:p>
      <w:pPr>
        <w:spacing w:after="0" w:line="17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We are also developing a complementary liquid biopsy assay that analyzes all of the approximately 20,000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also announced in January 2020 a diagnostic based on our NeXT Platform that we envision being used initially by both leading clinical cancer centers as well as biopharmaceutical companies.</w:t>
      </w:r>
    </w:p>
    <w:p>
      <w:pPr>
        <w:spacing w:after="0" w:line="17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Our headquarters – housing our CLIA-certified, CAP-accredited laboratory – is located in Menlo Park, CA. We were incorporated under the laws of the state of Delaware in February 2011 under the name Personalis, Inc. Our customers include biopharmaceutical companies (including large pharmaceutical companies), universities, non-profits, and government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Personalis: The Genomics Engine for Next-Generation Cancer Therapies</w:t>
      </w:r>
    </w:p>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Biopharmaceutical customers use our comprehensive platform across a diverse set of therapeutic approaches to cancer. We generate and analyze data from patients who participated in clinical trials, which we believe will enable these customers to develop more effective therapies. These opportunities represent a significant end market that is much larger than our initial clinical-trial focused market.</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information we generate is important to our customers developing three major classes of next-generation therapeutics: immunotherapies, targeted therapies, and personalized cancer therapies.</w:t>
      </w:r>
    </w:p>
    <w:p>
      <w:pPr>
        <w:spacing w:after="0" w:line="126" w:lineRule="exact"/>
        <w:rPr>
          <w:sz w:val="20"/>
          <w:szCs w:val="20"/>
          <w:color w:val="auto"/>
        </w:rPr>
      </w:pPr>
    </w:p>
    <w:p>
      <w:pPr>
        <w:jc w:val="both"/>
        <w:ind w:left="1120" w:hanging="370"/>
        <w:spacing w:after="0" w:line="274"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Immunotherapies: </w:t>
      </w:r>
      <w:r>
        <w:rPr>
          <w:rFonts w:ascii="Arial" w:cs="Arial" w:eastAsia="Arial" w:hAnsi="Arial"/>
          <w:sz w:val="17"/>
          <w:szCs w:val="17"/>
          <w:color w:val="auto"/>
        </w:rPr>
        <w:t>Over the past decade, a number of drugs have emerged based on the discovery that the immune system plays a key role</w:t>
      </w:r>
      <w:r>
        <w:rPr>
          <w:rFonts w:ascii="Arial" w:cs="Arial" w:eastAsia="Arial" w:hAnsi="Arial"/>
          <w:sz w:val="17"/>
          <w:szCs w:val="17"/>
          <w:b w:val="1"/>
          <w:bCs w:val="1"/>
          <w:color w:val="auto"/>
        </w:rPr>
        <w:t xml:space="preserve"> </w:t>
      </w:r>
      <w:r>
        <w:rPr>
          <w:rFonts w:ascii="Arial" w:cs="Arial" w:eastAsia="Arial" w:hAnsi="Arial"/>
          <w:sz w:val="17"/>
          <w:szCs w:val="17"/>
          <w:color w:val="auto"/>
        </w:rPr>
        <w:t>in addressing cancer. Checkpoint inhibitors, a specific type of immunotherapy, has generated substantial increases in worldwide sales over the past decade. The commercial success of these drugs has shown the potential of immunotherapy; however, the development of new therapies in this category has been challenged by difficulties understanding the precise interaction between cancer and the immune system. Since our platform provides comprehensive insights on tumor and immune biology, we believe it will enable biopharmaceutical companies to better understand how therapeutics are working in patients.</w:t>
      </w:r>
    </w:p>
    <w:p>
      <w:pPr>
        <w:spacing w:after="0" w:line="132" w:lineRule="exact"/>
        <w:rPr>
          <w:rFonts w:ascii="Arial" w:cs="Arial" w:eastAsia="Arial" w:hAnsi="Arial"/>
          <w:sz w:val="17"/>
          <w:szCs w:val="17"/>
          <w:color w:val="auto"/>
        </w:rPr>
      </w:pPr>
    </w:p>
    <w:p>
      <w:pPr>
        <w:jc w:val="both"/>
        <w:ind w:left="1120" w:hanging="370"/>
        <w:spacing w:after="0" w:line="291"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Targeted Therapies: </w:t>
      </w:r>
      <w:r>
        <w:rPr>
          <w:rFonts w:ascii="Arial" w:cs="Arial" w:eastAsia="Arial" w:hAnsi="Arial"/>
          <w:sz w:val="16"/>
          <w:szCs w:val="16"/>
          <w:color w:val="auto"/>
        </w:rPr>
        <w:t>A growing category of successful cancer treatments consists of therapies that target specific genes or molecular</w:t>
      </w:r>
      <w:r>
        <w:rPr>
          <w:rFonts w:ascii="Arial" w:cs="Arial" w:eastAsia="Arial" w:hAnsi="Arial"/>
          <w:sz w:val="16"/>
          <w:szCs w:val="16"/>
          <w:b w:val="1"/>
          <w:bCs w:val="1"/>
          <w:color w:val="auto"/>
        </w:rPr>
        <w:t xml:space="preserve"> </w:t>
      </w:r>
      <w:r>
        <w:rPr>
          <w:rFonts w:ascii="Arial" w:cs="Arial" w:eastAsia="Arial" w:hAnsi="Arial"/>
          <w:sz w:val="16"/>
          <w:szCs w:val="16"/>
          <w:color w:val="auto"/>
        </w:rPr>
        <w:t>mechanisms of cancer. These drugs are not designed to influence the immune system directly but the success of immunotherapies has brought acknowledgment that the immune system has a significant effect on their efficacy. Many of these targeted therapies are proposed to be tested in combination with immunotherapies. These therapies have grown to represent a considerable share of the overall oncology therapeutics market today. Comprehensively understanding each patient’s genomic and immune profile is critical to understanding which of these therapies a patient may respond to. We believe that more comprehensive coverage of all of the approximately 20,000 genes positions us competitively against existing cancer panels that cover roughly 50 to 500 genes. We are positioning our company to be a leading provider of the complex information that we believe will continue to inform the development of targeted cancer therapies.</w:t>
      </w:r>
    </w:p>
    <w:p>
      <w:pPr>
        <w:spacing w:after="0" w:line="118" w:lineRule="exact"/>
        <w:rPr>
          <w:rFonts w:ascii="Arial" w:cs="Arial" w:eastAsia="Arial" w:hAnsi="Arial"/>
          <w:sz w:val="16"/>
          <w:szCs w:val="16"/>
          <w:color w:val="auto"/>
        </w:rPr>
      </w:pPr>
    </w:p>
    <w:p>
      <w:pPr>
        <w:jc w:val="both"/>
        <w:ind w:left="1120" w:hanging="370"/>
        <w:spacing w:after="0" w:line="256"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Personalized Cancer Therapies: </w:t>
      </w:r>
      <w:r>
        <w:rPr>
          <w:rFonts w:ascii="Arial" w:cs="Arial" w:eastAsia="Arial" w:hAnsi="Arial"/>
          <w:sz w:val="18"/>
          <w:szCs w:val="18"/>
          <w:color w:val="auto"/>
        </w:rPr>
        <w:t>Many biopharmaceutical companies are pursuing personalized cancer therapies, which are designed and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manufactured, individually, for each patient based on genomic alterations in a given patient’s tumor. While there are many potential approaches to developing these therapies, including neoantigen-based vaccines and T-cell therapies, all of them can potentially benefit from the data and analytics that our platform can generate about a patient’s tumor. Many of our customers have leveraged our U.S. Food and Drug Administration (the “FDA”) Device Master File as a component of their investigational new drug (“IND”) filings with the FDA. We anticipate that if drugs are approved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120" w:right="20"/>
        <w:spacing w:after="0" w:line="342" w:lineRule="auto"/>
        <w:rPr>
          <w:sz w:val="20"/>
          <w:szCs w:val="20"/>
          <w:color w:val="auto"/>
        </w:rPr>
      </w:pPr>
      <w:r>
        <w:rPr>
          <w:rFonts w:ascii="Arial" w:cs="Arial" w:eastAsia="Arial" w:hAnsi="Arial"/>
          <w:sz w:val="16"/>
          <w:szCs w:val="16"/>
          <w:color w:val="auto"/>
        </w:rPr>
        <w:t>that used our platform in the clinical trials forming the basis for approval, we may be able to derive revenue in connection with the sale of these drugs. We believe we are working with the majority of companies developing neoantigen-targeted personalized cancer therapies.</w:t>
      </w:r>
    </w:p>
    <w:p>
      <w:pPr>
        <w:spacing w:after="0" w:line="8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anticipate that as the clinical utility of our platform is validated, we will have opportunities in connection with diagnostics and the commercialization of cancer therapeutics, which are significantly larger than our initial clinical-trial focused markets. Over time, we expect our biopharmaceutical customers and research collaborators to build evidence of clinical utility for our platform as a diagnostic for advanced cancer therapies. Separately, we are also acquiring samples and are building a database which will hold value for our biopharmaceutical customers and may ultimately allow us to discover new mechanisms of cancer treatment.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8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Our revenues have grown rapidly as our penetration of clinical trials in advanced oncology therapeutics and our relationship with the VA MVP has expanded, consistent with our reputation as a leader in the field. We generated revenues of $9.4 million, $37.8 million, and $65.2 million for the years ended December 31, 2017, 2018, and 2019, respectively. We also incurred net losses of $23.6 million, $19.9 million, and $25.1 million for the years ended December 31, 2017, 2018, and 2019, respectively.</w:t>
      </w:r>
    </w:p>
    <w:p>
      <w:pPr>
        <w:spacing w:after="0" w:line="14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As of December 31, 2019, we had $128.3 million of cash and cash equivalents and short-term investments, an increase of $108.5 million from December 31, 2018. Our revenues are primarily generated through sales of our services to the VA MVP and biopharmaceutical companies. Unlike diagnostic or therapeutic companies, we have not sought reimbursement through traditional healthcare payors. We raised $144.0 million in our June 2019 initial public offering, net of underwriter commissions, and prior to that had raised $89.6 million in preferred stock equity financing to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Our genomic sequencing and analytics solutions are focused on the following customer applications: Oncology research and immuno-oncology, oncology diagnostics, and whole genome sequencing. We have one reportable segment from the sale of sequencing and data analysis services and substantially all of our revenues to date have been derived from sales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 Research and Immuno-oncology</w:t>
      </w:r>
    </w:p>
    <w:p>
      <w:pPr>
        <w:spacing w:after="0" w:line="198"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We work closely with biopharmaceutical companies who are advancing new therapies in three major areas: immunotherapies, targeted therapies, and personalized cancer therapies. We have a critical role in generating new data and biological insight from patients in those clinical trials.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Platform</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Our NeXT Platform is a high-accuracy, clinical-grade, next-generation sequencing and analysis platform that enables two services for our customers: ImmunoID NeXT Tumor Biopsy and NeXT Liquid Biopsy (in development).</w:t>
      </w:r>
    </w:p>
    <w:p>
      <w:pPr>
        <w:spacing w:after="0" w:line="14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Our NeXT Platform is designed to provide comprehensive analysis of both a tumor and its immune microenvironment, from a single limited tissue sample. Our platform covers the deoxyribonucleic acid (“DNA”) sequence of all of the approximately 20,000 human genes. We also report on the entire transcriptome of a tumor, which encompasses ribonucleic acid (“RNA”) expression across the approximately 20,000 human genes, allowing us to more accurately determine which of the many genomic mutations might actually be driving tumor progression. Furthermore, our platform analyzes elements of the immune cells that have infiltrated a tumor both from the adaptive immune system and the innate immune system.</w:t>
      </w:r>
    </w:p>
    <w:p>
      <w:pPr>
        <w:spacing w:after="0" w:line="13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Given the practical challenges in obtaining high-quality tumor samples via biopsy, we have developed our platform to work with a limited tumor tissue sample. Biopharmaceutical companies face significant challenges in attempting to divide samples to ship to multiple service providers to perform different tests. If a biopharmaceutical company is successful in acquiring results from multiple service providers, it is challenging to compare the results across multiple data platforms from multiple service providers. Our sequencing approach, validated with orthogonal technologies, allows us to run multiple analyses on a single sample. Our platform is composed of multiple proprietary technologies, many of which we have developed from the ground up. The breadth of the assays that we have integrated into our platform, our proprietary sample preparation process, and the comprehensiveness of our platform allow us to maximize the utility of often limited tumor tissue samples that our customers have from their clinical trials. Revenues from early customer pilots of NeXT Tumor Biopsy were recognized in Q4 2019.</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 overview of key features and differentiators of our NeXT Platform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Comprehensive tumor and immune genomics from a single limited sample:</w:t>
      </w:r>
    </w:p>
    <w:p>
      <w:pPr>
        <w:spacing w:after="0" w:line="198" w:lineRule="exact"/>
        <w:rPr>
          <w:sz w:val="20"/>
          <w:szCs w:val="20"/>
          <w:color w:val="auto"/>
        </w:rPr>
      </w:pPr>
    </w:p>
    <w:p>
      <w:pPr>
        <w:ind w:left="1120" w:hanging="370"/>
        <w:spacing w:after="0" w:line="251"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Sequencing and analyzing all of the approximately 20,000 human genes generates more comprehensive molecular information than current tumor tissue and liquid biopsy panels focused on roughly 50 to 500 genes</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Covers a much broader set of biomarkers for new immunotherapies and traditional targeted therapies</w:t>
      </w:r>
    </w:p>
    <w:p>
      <w:pPr>
        <w:spacing w:after="0" w:line="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Analysis of both tumor DNA and RNA expression</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Analysis of both tumor and normal tissue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Analysis of non-human species such as oncoviruses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NeXT liquid biopsy, which we plan to launch in 2020, will target approximately 20,000 genes, enabling testing at multiple time points</w:t>
      </w:r>
    </w:p>
    <w:p>
      <w:pPr>
        <w:spacing w:after="0" w:line="20" w:lineRule="exact"/>
        <w:rPr>
          <w:rFonts w:ascii="Arial" w:cs="Arial" w:eastAsia="Arial" w:hAnsi="Arial"/>
          <w:sz w:val="17"/>
          <w:szCs w:val="17"/>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technology enables superior sequencing quality and advanced analytics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Makes single, comprehensive tumor molecular profiling practical for cancer patients:</w:t>
      </w:r>
    </w:p>
    <w:p>
      <w:pPr>
        <w:spacing w:after="0" w:line="185" w:lineRule="exact"/>
        <w:rPr>
          <w:sz w:val="20"/>
          <w:szCs w:val="20"/>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Tumor and immune molecular profiling from one limited tumor sample</w:t>
      </w:r>
    </w:p>
    <w:p>
      <w:pPr>
        <w:spacing w:after="0" w:line="23"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Engineered to be cost-effective and scalable, with rapid turnaround times, making it suitable for large-scale profiling of cancer patients</w:t>
      </w:r>
    </w:p>
    <w:p>
      <w:pPr>
        <w:spacing w:after="0" w:line="20" w:lineRule="exact"/>
        <w:rPr>
          <w:rFonts w:ascii="Arial" w:cs="Arial" w:eastAsia="Arial" w:hAnsi="Arial"/>
          <w:sz w:val="17"/>
          <w:szCs w:val="17"/>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Overcomes the need for fragmented tumor testing</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platform for both research and clinical 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Platform anticipates future cancer biomarkers that will come with evolving science:</w:t>
      </w:r>
    </w:p>
    <w:p>
      <w:pPr>
        <w:spacing w:after="0" w:line="185" w:lineRule="exact"/>
        <w:rPr>
          <w:sz w:val="20"/>
          <w:szCs w:val="20"/>
          <w:color w:val="auto"/>
        </w:rPr>
      </w:pPr>
    </w:p>
    <w:p>
      <w:pPr>
        <w:ind w:left="1120" w:hanging="370"/>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NeXT overcomes the limitations of small panels that become out of date when new genetic biomarkers or therapeutic targets are identified</w:t>
      </w:r>
    </w:p>
    <w:p>
      <w:pPr>
        <w:spacing w:after="0" w:line="46"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Comprehensive coverage of all genes, DNA and RNA, tumor and normal tissue, and immune biology enables our platform to accommodate new genetic biomarkers and signatures as they are published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Generates comprehensive, harmonized data across patients to enable large-scale database creation and insight:</w:t>
      </w:r>
    </w:p>
    <w:p>
      <w:pPr>
        <w:spacing w:after="0" w:line="198" w:lineRule="exact"/>
        <w:rPr>
          <w:sz w:val="20"/>
          <w:szCs w:val="20"/>
          <w:color w:val="auto"/>
        </w:rPr>
      </w:pPr>
    </w:p>
    <w:p>
      <w:pPr>
        <w:ind w:left="1120" w:hanging="370"/>
        <w:spacing w:after="0" w:line="251"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Comprehensive profiling for large cohorts of patients leads to more useful databases for biopharmaceutical customers using our platform and our internal database</w:t>
      </w:r>
    </w:p>
    <w:p>
      <w:pPr>
        <w:spacing w:after="0" w:line="1" w:lineRule="exact"/>
        <w:rPr>
          <w:rFonts w:ascii="Arial" w:cs="Arial" w:eastAsia="Arial" w:hAnsi="Arial"/>
          <w:sz w:val="18"/>
          <w:szCs w:val="18"/>
          <w:color w:val="auto"/>
        </w:rPr>
      </w:pPr>
    </w:p>
    <w:p>
      <w:pPr>
        <w:ind w:left="1120" w:hanging="370"/>
        <w:spacing w:after="0" w:line="249"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Opportunity for integration with other sources of real-world data (“RWD”) such as electronic health records to generate real-world evidence (“RWE”) that may be used by biopharmaceutical customers to inform and accelerate therapeutic development</w:t>
      </w: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harmonization, analytics, and machine learning maximize therapeutic insight</w:t>
      </w:r>
    </w:p>
    <w:p>
      <w:pPr>
        <w:spacing w:after="0" w:line="9" w:lineRule="exact"/>
        <w:rPr>
          <w:rFonts w:ascii="Arial" w:cs="Arial" w:eastAsia="Arial" w:hAnsi="Arial"/>
          <w:sz w:val="18"/>
          <w:szCs w:val="18"/>
          <w:color w:val="auto"/>
        </w:rPr>
      </w:pPr>
    </w:p>
    <w:p>
      <w:pPr>
        <w:ind w:left="1120" w:hanging="370"/>
        <w:spacing w:after="0" w:line="260"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Comprehensive nature of the platform provides long-lasting data relevance, yielding new insights over time as new biomarkers are identified</w:t>
      </w:r>
    </w:p>
    <w:p>
      <w:pPr>
        <w:spacing w:after="0" w:line="15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We have also shown that our NeXT Platform technology can analyze cell-free DNA (“cfDNA”) obtained from blood plasma, also known as a liquid biopsy. As with a tissue biopsy, we plan to analyze all of the approximately 20,000 human genes in each plasma sample, in contrast to currently marketed liquid biopsy panels. We expect this cfDNA to be obtained by a blood draw concurrently with a tissue sample. Together, the two samples can be used to provide a more comprehensive initial characterization of the tumor. Additionally, we expect to monitor changes in tumor genetics that arise in response to therapy through serial measurements using cfDNA samples collected across multiple time points. In 2020, we plan to launch our first liquid biopsy assay designed to analyze all human genes so as to detect potential neoantigens and tumor escape mechanisms that arise under therapeutic pressure. Although we believe our cfDNA test will offer new insights, we believe it will be most useful for our biopharmaceutical customers alongside our primary tumor biopsy product, given that a tumor biopsy is required to analyze gene expression and elucidate tumor-infiltrating lymphocytes which are critical to understanding cancer’s interaction with the immune system.</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 overview of key liquid biopsy capabilities follows.</w:t>
      </w:r>
    </w:p>
    <w:p>
      <w:pPr>
        <w:spacing w:after="0" w:line="185"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Liquid biopsy approaches look at cfDNA in plasma samples derived from the blood. cfDNA is DNA that is released into circulation by cells, including tumor cells, as a result of cell death. This cfDNA can be obtained by a blood draw and can be used to monitor changes in tumor genetics.</w:t>
      </w:r>
    </w:p>
    <w:p>
      <w:pPr>
        <w:spacing w:after="0" w:line="11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We believe tumor biopsy and liquid biopsy approaches to tumor molecular profiling can provide complementary information for each patient. Tumor biopsies provide tumor immune microenvironment and tumor gene expression information that current liquid biopsy panels do not provide. Liquid biopsies can be useful for providing additional DNA mutation information, especially for monitoring therapy response across different time points when tumor biopsies are not feasible. Unlike typical liquid biopsy panel approaches focused on roughly 50 to 500 driver genes, we are designing our cfDNA approach, NeXT Liquid Biopsy, which is currently in development, to sequence all of the approximately 20,000 genes in the human genome. Our broader liquid biopsy approach will help biopharmaceutical customers identify biological changes across multiple time points for each patient in their trials that they would otherwise miss with the current, narrowly focused liquid biopsy panels. We also believe broader coverage will enable better neoantigen prediction, broader biomarker coverage, and higher potential to identify new drug targets.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i w:val="1"/>
          <w:iCs w:val="1"/>
          <w:color w:val="auto"/>
        </w:rPr>
        <w:t>Figure 2: ImmunoID NeXT tumor biopsy and NeXT liquid biopsy (in development) yields complementary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220345</wp:posOffset>
            </wp:positionV>
            <wp:extent cx="4431665" cy="3728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3166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We believe that combining tumor biopsies with cfDNA can provide a more complete picture of the spectrum of mutations found in a cancer patient. As an example of this, we compared the mutations found in eight late-stage colorectal tumor biopsy samples with those found in the plasma taken at the same time. We found a range of overlap between tumor biopsy-identified sequence variations and the sequences generated using cfDNA. These observations show that, while there was significant overlap between the tumor and liquid biopsy results, there were also mutations unique to tumor biopsy and vice versa (see examples of this in Figure 3). This observation underscores the concept that tissue and liquid biopsies may be complementary, and when combined, may provide a more complete picture of the patient’s disease.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Figure 3. Overlap of sequence variations detected in matched tumor and blood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220345</wp:posOffset>
            </wp:positionV>
            <wp:extent cx="4852035" cy="1808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5203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Numbers indicate variants detected in the tumor only, plasma only, or in both.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 w:name="page8"/>
    <w:bookmarkEnd w:id="7"/>
    <w:p>
      <w:pPr>
        <w:jc w:val="both"/>
        <w:ind w:firstLine="749"/>
        <w:spacing w:after="0" w:line="263" w:lineRule="auto"/>
        <w:rPr>
          <w:sz w:val="20"/>
          <w:szCs w:val="20"/>
          <w:color w:val="auto"/>
        </w:rPr>
      </w:pPr>
      <w:r>
        <w:rPr>
          <w:rFonts w:ascii="Arial" w:cs="Arial" w:eastAsia="Arial" w:hAnsi="Arial"/>
          <w:sz w:val="18"/>
          <w:szCs w:val="18"/>
          <w:color w:val="auto"/>
        </w:rPr>
        <w:t>We anticipate that our liquid biopsy approach will have many applications, including monitoring of tumor response to therapy over many time points, detecting new genetic variants from evolution of the tumor under therapeutic pressure, detecting acquired mechanisms of resistance, and identifying neoantigens.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NeXT makes comprehensive tumor molecular profiling practical for cancer patients at scale</w:t>
      </w:r>
    </w:p>
    <w:p>
      <w:pPr>
        <w:spacing w:after="0" w:line="19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To deliver a comprehensive immune-genomic assessment of a tumor, we invested substantial resources to engineer NeXT to provide data and analysis that would otherwise be unavailable or require many individual technologies, which collectively present significant costs and logistical impracticalities. With NeXT, we built a proprietary platform that is comprehensive, cost-effective, and scalable and enables a short turnaround time, making it practical to profile cancer patients at scale. This has required innovation on a number of fronts.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ACE Platform</w:t>
      </w:r>
    </w:p>
    <w:p>
      <w:pPr>
        <w:spacing w:after="0" w:line="22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To address the limitations of typical NGS-based assay, we developed our patented Accuracy and Content Enhanced (“ACE”) technology for next-generation sequencing. ACE improves nucleic acid preparation processes and combines it with patented assay and sequencing methods to achieve superior, high-fidelity, clinical-grade sequencing quality that ensures high sensitivity for mutations that can inform clinical and therapeutic applications such as neoantigen prediction, biomarker identification, and novel drug target selection. Our ACE Platform powers multiple products and services to our customers including: ACE Extended Cancer Panel for DNA, ACE Extended Cancer Panel for RNA, ACE Cancer Research Exome, and ACE Cancer Research Transcriptome.</w:t>
      </w:r>
    </w:p>
    <w:p>
      <w:pPr>
        <w:spacing w:after="0" w:line="15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ACE technology provides coverage of difficult-to-sequence gene regions across all of the approximately 20,000 human genes, filling in key gaps left by other NGS approaches. ACE technology provides superior and uniform coverage of difficult genomic regions, such as high GC content areas, and fills gaps and inconsistencies in sequencing to achieve an optimal output. ACE is able to deliver more comprehensive coverage not by simply generating more data, but by generating higher quality data. We and others have shown in two publications that our ACE technology achieves superior gene sequencing coverage and finishing.</w:t>
      </w:r>
    </w:p>
    <w:p>
      <w:pPr>
        <w:spacing w:after="0" w:line="16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substantial majority of our revenues since inception, excluding revenues from the Veteran’s Affairs Million Veteran Program (discussed below), were derived from ACE Extended Cancer Panel and Cancer Research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 Diagnostics</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Over time, we expect to work with our biopharmaceutical customers and research collaborators to build evidence of clinical utility for our platform as a diagnostic for advanced cancer therapies. We see a growing long-term diagnostic opportunity for NeXT as a one-stop, universal tumor molecular profiling test for cancer patients covering all of the approximately 20,000 human genes compared to the roughly 50 to 500 genes covered by many currently marketed panels. We have released a diagnostic based on our NeXT Platform that we envision being used in clinical trials with biopharmaceutical and clinical partners. This product analyzes FFPE tumor samples with our NeXT Platform and returns a CLIA diagnostic report for physicians that details the therapeutic options for patient-based on the tumor mutations identified from our analysis of the sample. We also see this product as one that will help us build our internal NeXT database over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Dx Test</w:t>
      </w:r>
    </w:p>
    <w:p>
      <w:pPr>
        <w:spacing w:after="0" w:line="18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In January 2020, we announced the launch of the NeXT Dx Test to help oncologists identify potential therapies and clinical trial options for cancer patients. The Personalis NeXT Dx Test is one of the first cancer diagnostic platforms to profile approximately 20,000 genes in both the tumor exome and transcriptome, providing a comprehensive genomic testing solution that goes beyond many existing cancer diagnostic panels that focus on a few hundred genes. The Personalis NeXT Dx Test includes advanced analytics to provide a diagnostic report on genetic alterations in medically-important cancer genes, as well as emerging immunotherapy composite biomarkers of medical importance. Additionally, immunotherapy-related biomarkers such as microsatellite instability (“MSI”) status and tumor mutational burden (“TMB”) are included in the clinical report. The NeXT Dx Test is targeted to both leading clinical cancer centers as well as biopharmaceutical companies. No revenues from NeXT Dx were recognized in our fiscal year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ACE CancerPlus Test</w:t>
      </w:r>
    </w:p>
    <w:p>
      <w:pPr>
        <w:spacing w:after="0" w:line="1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June 2015, we launched our ACE CancerPlus Test based on a 1,400-gene panel. We built upon this experience by introducing the NeXT Dx Test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 Genome Sequencing</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Since 2012, we have been contracted to provide DNA sequencing and data analysis services to the United States Veterans Affair’s (the “VA”) Million Veteran Program (the “VA MVP”). The VA MVP began collecting samples in 2011 and is a landmark research effort aimed at better understanding how genetic variations affect health. Up to a million veterans are expected to enroll in the VA MVP study by 2021. With more than 825,000 enrollees to date, the VA MVP exceeds the enrollment numbers of any single VA study or research program in the past, and is in fact one of the largest population sequencing efforts in history. In September 2017, we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both"/>
        <w:spacing w:after="0" w:line="293" w:lineRule="auto"/>
        <w:rPr>
          <w:sz w:val="20"/>
          <w:szCs w:val="20"/>
          <w:color w:val="auto"/>
        </w:rPr>
      </w:pPr>
      <w:r>
        <w:rPr>
          <w:rFonts w:ascii="Arial" w:cs="Arial" w:eastAsia="Arial" w:hAnsi="Arial"/>
          <w:sz w:val="16"/>
          <w:szCs w:val="16"/>
          <w:color w:val="auto"/>
        </w:rPr>
        <w:t>entered into a one-year contract with three one-year renewal option periods with the VA for the VA MVP, and received orders under this contract in September 2017, 2018, and 2019. To date, we have been contracted to deliver approximately 115,000 genome sequence data sets to the VA MVP, and we expect revenue from the contracts awarded to date to continue into 2021. This relationship with the VA MVP has enabled us to scale our operational infrastructure and achieve greater efficiencies in our lab. It has also supported our development of industry-leading, large-scale cancer genomic testing. The substantial experience that we have and expect to continue to develop in whole genome sequencing also optimally positions us for what we anticipate to be the longer-term strategic direction of the cancer genomics industry, which may include whole genome sequencing of tumors.</w:t>
      </w:r>
    </w:p>
    <w:p>
      <w:pPr>
        <w:spacing w:after="0" w:line="13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VA MVP program has accounted for a substantial amount of our revenues in recent years, 67% of our total revenues in 2019 and 49% in 2018. In 2017, VA MVP accounted for less than 10% of our revenues.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Personalis is Valuable to Biopharmaceutical Companies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believe that our platform is valuable to our customers because:</w:t>
      </w:r>
    </w:p>
    <w:p>
      <w:pPr>
        <w:spacing w:after="0" w:line="194" w:lineRule="exact"/>
        <w:rPr>
          <w:sz w:val="20"/>
          <w:szCs w:val="20"/>
          <w:color w:val="auto"/>
        </w:rPr>
      </w:pPr>
    </w:p>
    <w:p>
      <w:pPr>
        <w:jc w:val="both"/>
        <w:ind w:left="1120" w:hanging="370"/>
        <w:spacing w:after="0" w:line="254"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Our tumor and immune molecular profiling capabilities provide an unprecedented breadth of data from a single limited tumor sample. </w:t>
      </w:r>
      <w:r>
        <w:rPr>
          <w:rFonts w:ascii="Arial" w:cs="Arial" w:eastAsia="Arial" w:hAnsi="Arial"/>
          <w:sz w:val="18"/>
          <w:szCs w:val="18"/>
          <w:color w:val="auto"/>
        </w:rPr>
        <w:t>We provide information on all of the approximately 20,000 human genes, as well as gene expression, the immune system,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elements of cancer biology, in contrast to other currently marketed panels that cover a limited range of roughly 50 to 500 genes and do not focus on immune cells. The commercial success of immunotherapy drugs has demonstrated the need to better understand the immune system. Unfortunately, development of new therapies in this category has been challenged by difficulties understanding the precise interaction between cancer and the immune system. Since our platform provides comprehensive insights on tumor and immune biology, including in both innate and adaptive immune cells, we believe it will enable drug companies to better understand the biological effect of therapeutics in patients.</w:t>
      </w:r>
    </w:p>
    <w:p>
      <w:pPr>
        <w:spacing w:after="0" w:line="151" w:lineRule="exact"/>
        <w:rPr>
          <w:rFonts w:ascii="Arial" w:cs="Arial" w:eastAsia="Arial" w:hAnsi="Arial"/>
          <w:sz w:val="18"/>
          <w:szCs w:val="18"/>
          <w:color w:val="auto"/>
        </w:rPr>
      </w:pPr>
    </w:p>
    <w:p>
      <w:pPr>
        <w:jc w:val="both"/>
        <w:ind w:left="1120" w:hanging="370"/>
        <w:spacing w:after="0" w:line="292"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Our platform enhances the opportunity to conduct translational research by analyzing tumor tissues from patients in clinical trials, rather than animal models or in vitro cancer cell lines, which have historically limited cancer research. </w:t>
      </w:r>
      <w:r>
        <w:rPr>
          <w:rFonts w:ascii="Arial" w:cs="Arial" w:eastAsia="Arial" w:hAnsi="Arial"/>
          <w:sz w:val="16"/>
          <w:szCs w:val="16"/>
          <w:color w:val="auto"/>
        </w:rPr>
        <w:t>While conventional pre-clinical model systems, such as animal models and cancer cell lines, have been instrumental in early-stage cancer research and drug development, translation of results to the clinic has been limited and remains a significant barrier to progress, in part because these models do not sufficiently reflect the complexity of human cancer and the human immune system. Over recent years, tools used to study tissue from patients have improved and the utilization of tissue from trials has increased. We believe our platform represents the next step in this transition by further enabling biopharmaceutical companies to address the historical limitations of analyzing patient tissue comprehensively.</w:t>
      </w:r>
    </w:p>
    <w:p>
      <w:pPr>
        <w:spacing w:after="0" w:line="120" w:lineRule="exact"/>
        <w:rPr>
          <w:rFonts w:ascii="Arial" w:cs="Arial" w:eastAsia="Arial" w:hAnsi="Arial"/>
          <w:sz w:val="16"/>
          <w:szCs w:val="16"/>
          <w:color w:val="auto"/>
        </w:rPr>
      </w:pPr>
    </w:p>
    <w:p>
      <w:pPr>
        <w:jc w:val="both"/>
        <w:ind w:left="1120" w:hanging="370"/>
        <w:spacing w:after="0" w:line="291"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The information we provide to personalized cancer therapy companies is used to design therapeutics</w:t>
      </w:r>
      <w:r>
        <w:rPr>
          <w:rFonts w:ascii="Arial" w:cs="Arial" w:eastAsia="Arial" w:hAnsi="Arial"/>
          <w:sz w:val="16"/>
          <w:szCs w:val="16"/>
          <w:color w:val="auto"/>
        </w:rPr>
        <w:t>. Many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are pursuing personalized cancer therapies, which are designed and manufactured, individually, for each patient based on genomic alterations in a given patient’s tumor. While there are many potential approaches towards developing these therapies including neoantigen therapeutics, peptide-based vaccines, RNA and DNA vaccines, virally or bacterially encoded vaccines, and adoptive cell therapies, all of them benefit from the data and analytics that our platform can generate about a patient’s tumor. We anticipate that drugs approved based on these therapeutic strategies may specify the use of our platform, enabling us to derive revenue in connection with the sale of commercial drugs, including the data generation and information processing required to treat each patient. We believe we are working with the majority of companies developing neoantigen-targeted personalized cancer therapies.</w:t>
      </w:r>
    </w:p>
    <w:p>
      <w:pPr>
        <w:spacing w:after="0" w:line="118" w:lineRule="exact"/>
        <w:rPr>
          <w:rFonts w:ascii="Arial" w:cs="Arial" w:eastAsia="Arial" w:hAnsi="Arial"/>
          <w:sz w:val="16"/>
          <w:szCs w:val="16"/>
          <w:color w:val="auto"/>
        </w:rPr>
      </w:pPr>
    </w:p>
    <w:p>
      <w:pPr>
        <w:jc w:val="both"/>
        <w:ind w:left="1120" w:hanging="370"/>
        <w:spacing w:after="0" w:line="298"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Our enterprise-grade operational infrastructure is scalable, enables rapid turnaround times, and is tailored to meet the unique workflow needs of our customers. </w:t>
      </w:r>
      <w:r>
        <w:rPr>
          <w:rFonts w:ascii="Arial" w:cs="Arial" w:eastAsia="Arial" w:hAnsi="Arial"/>
          <w:sz w:val="16"/>
          <w:szCs w:val="16"/>
          <w:color w:val="auto"/>
        </w:rPr>
        <w:t>We have invested significant resources to develop an operational infrastructure that allows us to easily</w:t>
      </w:r>
      <w:r>
        <w:rPr>
          <w:rFonts w:ascii="Arial" w:cs="Arial" w:eastAsia="Arial" w:hAnsi="Arial"/>
          <w:sz w:val="16"/>
          <w:szCs w:val="16"/>
          <w:b w:val="1"/>
          <w:bCs w:val="1"/>
          <w:color w:val="auto"/>
        </w:rPr>
        <w:t xml:space="preserve"> </w:t>
      </w:r>
      <w:r>
        <w:rPr>
          <w:rFonts w:ascii="Arial" w:cs="Arial" w:eastAsia="Arial" w:hAnsi="Arial"/>
          <w:sz w:val="16"/>
          <w:szCs w:val="16"/>
          <w:color w:val="auto"/>
        </w:rPr>
        <w:t>customize our services for each of our customers and scale rapidly to meet their potential research and commercial demands. Moreover, our infrastructure provides customers with visibility and control over processes, ensures consistency across all components used for the duration of each clinical trial, is fully traceable for compliance purposes, and allows us to scale while maintaining rapid turnaround times.</w:t>
      </w:r>
    </w:p>
    <w:p>
      <w:pPr>
        <w:spacing w:after="0" w:line="113" w:lineRule="exact"/>
        <w:rPr>
          <w:rFonts w:ascii="Arial" w:cs="Arial" w:eastAsia="Arial" w:hAnsi="Arial"/>
          <w:sz w:val="16"/>
          <w:szCs w:val="16"/>
          <w:color w:val="auto"/>
        </w:rPr>
      </w:pPr>
    </w:p>
    <w:p>
      <w:pPr>
        <w:jc w:val="both"/>
        <w:ind w:left="1120" w:hanging="370"/>
        <w:spacing w:after="0" w:line="291"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We are developing a complementary liquid biopsy test, which also offers broad 20,000-gene coverage versus more narrowly focused liquid biopsy tests that are currently available. </w:t>
      </w:r>
      <w:r>
        <w:rPr>
          <w:rFonts w:ascii="Arial" w:cs="Arial" w:eastAsia="Arial" w:hAnsi="Arial"/>
          <w:sz w:val="16"/>
          <w:szCs w:val="16"/>
          <w:color w:val="auto"/>
        </w:rPr>
        <w:t>We have also shown that our technology can analyze DNA obtained from blood plasma,</w:t>
      </w:r>
      <w:r>
        <w:rPr>
          <w:rFonts w:ascii="Arial" w:cs="Arial" w:eastAsia="Arial" w:hAnsi="Arial"/>
          <w:sz w:val="16"/>
          <w:szCs w:val="16"/>
          <w:b w:val="1"/>
          <w:bCs w:val="1"/>
          <w:color w:val="auto"/>
        </w:rPr>
        <w:t xml:space="preserve"> </w:t>
      </w:r>
      <w:r>
        <w:rPr>
          <w:rFonts w:ascii="Arial" w:cs="Arial" w:eastAsia="Arial" w:hAnsi="Arial"/>
          <w:sz w:val="16"/>
          <w:szCs w:val="16"/>
          <w:color w:val="auto"/>
        </w:rPr>
        <w:t>also known as a liquid biopsy. As with a tissue biopsy, we analyze all of the approximately 20,000 human genes. We are not aware of any other company developing a cfDNA platform that analyzes all of the approximately 20,000 human genes. We expect this cfDNA to be obtained by a blood draw concurrently with a tissue sample. Together, the two samples can be used to provide a more comprehensive initial characterization of the tumor. Additionally, we expect to monitor changes in tumor genetics that arise in response to therapy through serial measurements using cfDNA samples collected across multiple time points. In 2020, we plan to launch our first liquid biopsy assay designed to monitor known neoantigens and detect novel neoantigens and tumor escape mechanisms that arise under therapeutic pressure.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Strategy</w:t>
      </w:r>
    </w:p>
    <w:p>
      <w:pPr>
        <w:spacing w:after="0" w:line="202"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Our mission is to transform the development of next-generation cancer therapies by providing more comprehensive molecular data about each patient’s tumor. To achieve this mission, our strategy is to:</w:t>
      </w:r>
    </w:p>
    <w:p>
      <w:pPr>
        <w:spacing w:after="0" w:line="126" w:lineRule="exact"/>
        <w:rPr>
          <w:sz w:val="20"/>
          <w:szCs w:val="20"/>
          <w:color w:val="auto"/>
        </w:rPr>
      </w:pPr>
    </w:p>
    <w:p>
      <w:pPr>
        <w:jc w:val="both"/>
        <w:ind w:left="1120" w:hanging="370"/>
        <w:spacing w:after="0" w:line="292"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Drive adoption of our platform by establishing and expanding relationships with leading developers of oncology therapeutics.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we can address the leading companies in oncology therapeutics with a small team of sales representatives and highly targeted marketing efforts. We augment this team with Ph.D.-level Field Application Specialists that provide deep understanding and expertise in the areas of oncology and genomics applications, allowing us to develop sciences-based dialog with our customers who are conducting clinical trials in many parts of their organizations. Once we have completed pilot studies with these customers, we work to expand our footprint by partnering with them on additional clinical trials using the newest versions of our technology. We plan to continue to enter into such partnerships and pursue a publication strategy that further demonstrates the utility of our platform.</w:t>
      </w:r>
    </w:p>
    <w:p>
      <w:pPr>
        <w:spacing w:after="0" w:line="120" w:lineRule="exact"/>
        <w:rPr>
          <w:rFonts w:ascii="Arial" w:cs="Arial" w:eastAsia="Arial" w:hAnsi="Arial"/>
          <w:sz w:val="16"/>
          <w:szCs w:val="16"/>
          <w:color w:val="auto"/>
        </w:rPr>
      </w:pPr>
    </w:p>
    <w:p>
      <w:pPr>
        <w:jc w:val="both"/>
        <w:ind w:left="1120" w:hanging="370"/>
        <w:spacing w:after="0" w:line="277"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Invest in new product innovations and enhancements to maintain our leading position. </w:t>
      </w:r>
      <w:r>
        <w:rPr>
          <w:rFonts w:ascii="Arial" w:cs="Arial" w:eastAsia="Arial" w:hAnsi="Arial"/>
          <w:sz w:val="17"/>
          <w:szCs w:val="17"/>
          <w:color w:val="auto"/>
        </w:rPr>
        <w:t>We will continue to make investments in new</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that enhance our platform and further our competitive advantages. As the breadth of data used in drug development and cancer treatment becomes more and more complex, we believe our biopharmaceutical customers will look to our platform as a complete solution to drive efficiency in research and development. In 2020 we expect to launch a liquid biopsy test, which also offers broad 20,000-gene coverage versus the more narrowly focused liquid biopsy tests that are currently available.</w:t>
      </w:r>
    </w:p>
    <w:p>
      <w:pPr>
        <w:spacing w:after="0" w:line="127" w:lineRule="exact"/>
        <w:rPr>
          <w:rFonts w:ascii="Arial" w:cs="Arial" w:eastAsia="Arial" w:hAnsi="Arial"/>
          <w:sz w:val="17"/>
          <w:szCs w:val="17"/>
          <w:color w:val="auto"/>
        </w:rPr>
      </w:pPr>
    </w:p>
    <w:p>
      <w:pPr>
        <w:jc w:val="both"/>
        <w:ind w:left="1120" w:hanging="370"/>
        <w:spacing w:after="0" w:line="281"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Continue to build a body of evidence demonstrating the utility of comprehensive genomic data. </w:t>
      </w:r>
      <w:r>
        <w:rPr>
          <w:rFonts w:ascii="Arial" w:cs="Arial" w:eastAsia="Arial" w:hAnsi="Arial"/>
          <w:sz w:val="17"/>
          <w:szCs w:val="17"/>
          <w:color w:val="auto"/>
        </w:rPr>
        <w:t>We expect the actionable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that customers gain from our platform will increase demand for our services. We intend to align ourselves with our customers, enabling them to develop better cancer therapeutics, which in turn demonstrates the utility of our platform. We expect this supportive cycle to increase our penetration into pharmaceutical and biotechnology enterprises over time.</w:t>
      </w:r>
    </w:p>
    <w:p>
      <w:pPr>
        <w:spacing w:after="0" w:line="124" w:lineRule="exact"/>
        <w:rPr>
          <w:rFonts w:ascii="Arial" w:cs="Arial" w:eastAsia="Arial" w:hAnsi="Arial"/>
          <w:sz w:val="17"/>
          <w:szCs w:val="17"/>
          <w:color w:val="auto"/>
        </w:rPr>
      </w:pPr>
    </w:p>
    <w:p>
      <w:pPr>
        <w:jc w:val="both"/>
        <w:ind w:left="1120" w:hanging="370"/>
        <w:spacing w:after="0" w:line="261"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Continue to grow our relationship with the VA MVP. </w:t>
      </w:r>
      <w:r>
        <w:rPr>
          <w:rFonts w:ascii="Arial" w:cs="Arial" w:eastAsia="Arial" w:hAnsi="Arial"/>
          <w:sz w:val="18"/>
          <w:szCs w:val="18"/>
          <w:color w:val="auto"/>
        </w:rPr>
        <w:t>In addition to providing a stable source of revenue, our relationship with the VA</w:t>
      </w:r>
      <w:r>
        <w:rPr>
          <w:rFonts w:ascii="Arial" w:cs="Arial" w:eastAsia="Arial" w:hAnsi="Arial"/>
          <w:sz w:val="18"/>
          <w:szCs w:val="18"/>
          <w:b w:val="1"/>
          <w:bCs w:val="1"/>
          <w:color w:val="auto"/>
        </w:rPr>
        <w:t xml:space="preserve"> </w:t>
      </w:r>
      <w:r>
        <w:rPr>
          <w:rFonts w:ascii="Arial" w:cs="Arial" w:eastAsia="Arial" w:hAnsi="Arial"/>
          <w:sz w:val="18"/>
          <w:szCs w:val="18"/>
          <w:color w:val="auto"/>
        </w:rPr>
        <w:t>MVP has enabled us to innovate, scale our operational infrastructure, and achieve greater efficiencies in our lab. The substantial experience that we have and expect to continue to develop in whole genome sequencing also optimally positions us for what we anticipate to be the longer-term strategic direction of the cancer genomics industry.</w:t>
      </w:r>
    </w:p>
    <w:p>
      <w:pPr>
        <w:spacing w:after="0" w:line="139" w:lineRule="exact"/>
        <w:rPr>
          <w:rFonts w:ascii="Arial" w:cs="Arial" w:eastAsia="Arial" w:hAnsi="Arial"/>
          <w:sz w:val="18"/>
          <w:szCs w:val="18"/>
          <w:color w:val="auto"/>
        </w:rPr>
      </w:pPr>
    </w:p>
    <w:p>
      <w:pPr>
        <w:jc w:val="both"/>
        <w:ind w:left="1120" w:hanging="370"/>
        <w:spacing w:after="0" w:line="292"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Leverage a growing body of evidence from our platform to develop a diagnostic. </w:t>
      </w:r>
      <w:r>
        <w:rPr>
          <w:rFonts w:ascii="Arial" w:cs="Arial" w:eastAsia="Arial" w:hAnsi="Arial"/>
          <w:sz w:val="16"/>
          <w:szCs w:val="16"/>
          <w:color w:val="auto"/>
        </w:rPr>
        <w:t>It is estimated that over 70% of oncology therapeutics</w:t>
      </w:r>
      <w:r>
        <w:rPr>
          <w:rFonts w:ascii="Arial" w:cs="Arial" w:eastAsia="Arial" w:hAnsi="Arial"/>
          <w:sz w:val="16"/>
          <w:szCs w:val="16"/>
          <w:b w:val="1"/>
          <w:bCs w:val="1"/>
          <w:color w:val="auto"/>
        </w:rPr>
        <w:t xml:space="preserve"> </w:t>
      </w:r>
      <w:r>
        <w:rPr>
          <w:rFonts w:ascii="Arial" w:cs="Arial" w:eastAsia="Arial" w:hAnsi="Arial"/>
          <w:sz w:val="16"/>
          <w:szCs w:val="16"/>
          <w:color w:val="auto"/>
        </w:rPr>
        <w:t>in development are classified as personalized medicines, which require specific diagnostic testing prior to administration. We see a growing long-term diagnostic opportunity for NeXT as a one-stop, universal tumor profiling test for cancer patients. We announced the launch of our NeXT Dx Test in January 2020, which is a clinical diagnostic test based on our ImmunoID NeXT Platform and is one of the first cancer diagnostic platforms to profile all of the approximately 20,000 genes in both the tumor exome and transcriptome, providing a comprehensive genomic testing solution that goes beyond many existing cancer diagnostic panels that focus on a few hundred genes. NeXT Dx is targeted initially at leading clinical cancer centers as well as biopharmaceutical companies for use in clinical trials.</w:t>
      </w:r>
    </w:p>
    <w:p>
      <w:pPr>
        <w:spacing w:after="0" w:line="120" w:lineRule="exact"/>
        <w:rPr>
          <w:rFonts w:ascii="Arial" w:cs="Arial" w:eastAsia="Arial" w:hAnsi="Arial"/>
          <w:sz w:val="16"/>
          <w:szCs w:val="16"/>
          <w:color w:val="auto"/>
        </w:rPr>
      </w:pPr>
    </w:p>
    <w:p>
      <w:pPr>
        <w:jc w:val="both"/>
        <w:ind w:left="1120" w:hanging="370"/>
        <w:spacing w:after="0" w:line="255"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Build out a comprehensive tumor-genomics database</w:t>
      </w:r>
      <w:r>
        <w:rPr>
          <w:rFonts w:ascii="Arial" w:cs="Arial" w:eastAsia="Arial" w:hAnsi="Arial"/>
          <w:sz w:val="18"/>
          <w:szCs w:val="18"/>
          <w:color w:val="auto"/>
        </w:rPr>
        <w:t>. We also see a growing long-term opportunity to generate rich databases of content</w:t>
      </w:r>
      <w:r>
        <w:rPr>
          <w:rFonts w:ascii="Arial" w:cs="Arial" w:eastAsia="Arial" w:hAnsi="Arial"/>
          <w:sz w:val="18"/>
          <w:szCs w:val="18"/>
          <w:b w:val="1"/>
          <w:bCs w:val="1"/>
          <w:color w:val="auto"/>
        </w:rPr>
        <w:t xml:space="preserve"> </w:t>
      </w:r>
      <w:r>
        <w:rPr>
          <w:rFonts w:ascii="Arial" w:cs="Arial" w:eastAsia="Arial" w:hAnsi="Arial"/>
          <w:sz w:val="18"/>
          <w:szCs w:val="18"/>
          <w:color w:val="auto"/>
        </w:rPr>
        <w:t>across a large number of cancer patients. Most current diagnostic based databases built using cancer panels cover just a small fraction of genes and miss information about the immune system whereas our platform will provide comprehensive information. This database would serve as a valuable tool to discover new cancer biology, new biomarkers, and potential therapeutic targets. It may include integration with other sources of RWD, such as electronic health records, which can generate RWE that may be used to reduce risk in early discovery by helping to identify biomarkers of response, improve trial execution through external control arms, expand indications for therapy, reduce trial size, and improve trial design.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Software and Robust Operational Infrastructure</w:t>
      </w:r>
    </w:p>
    <w:p>
      <w:pPr>
        <w:spacing w:after="0" w:line="18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We have invested significant resources to develop an operational infrastructure that allows us to easily customize our services for each of our customers and scale rapidly to meet their potential research and commercial demands. Our NeXT Platform is complemented by our enterprise-grade software and bespoke information management systems that we tailor to meet our customers’ unique needs and integrate with their workflows. Moreover, our infrastructure provides customers with visibility and control over processes, ensures consistency across all components used for the duration of each clinical trial, is traceable for compliance purposes, and allows us to scale while maintaining rapid turnaround times.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jc w:val="both"/>
        <w:ind w:firstLine="749"/>
        <w:spacing w:after="0" w:line="255" w:lineRule="auto"/>
        <w:rPr>
          <w:sz w:val="20"/>
          <w:szCs w:val="20"/>
          <w:color w:val="auto"/>
        </w:rPr>
      </w:pPr>
      <w:r>
        <w:rPr>
          <w:rFonts w:ascii="Arial" w:cs="Arial" w:eastAsia="Arial" w:hAnsi="Arial"/>
          <w:sz w:val="18"/>
          <w:szCs w:val="18"/>
          <w:color w:val="auto"/>
        </w:rPr>
        <w:t>We designed our proprietary informatics system, the Symphony Enterprise Informatics System (“Symphony”), as a flexible and scalable enterprise-grade system used to manage the unique complexities and challenges of our genomics laboratory. Symphony integrates laboratory information management systems (“LIMS”) and bioinformatics systems to connect laboratory operations with downstream data analysis. Symphony orchestrates all operational activities from our laboratory starting with sample receipt to the reporting of results of the genomic profiling and data delivery. We also use machine learning and artificial intelligence approaches to generate substantial performance advantages for our algorithms, such as neoantigen binding prediction.</w:t>
      </w:r>
    </w:p>
    <w:p>
      <w:pPr>
        <w:spacing w:after="0" w:line="165"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We are sequencing and analyzing up to 180 trillion bases of DNA per week in our facility. We believe this capacity is already larger than most cancer genomics companies and we are building the automation and other infrastructure to scale further as demand increases and in support of the planned 2020 launch of our NeXT liquid biopsy assay.</w:t>
      </w:r>
    </w:p>
    <w:p>
      <w:pPr>
        <w:spacing w:after="0" w:line="14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rely on a limited number of suppliers for sequencers and other equipment and raw materials that we use in our laboratory operations. For example, we rely on Illumina, Inc. (“Illumina”) as the sole supplier of sequencers and various associated reagents, and as the sole provider of maintenance and repair services for these sequencers. We have in place certain agreements and purchase arrangements with Illumina to satisfy the needs of our laboratory operations.</w:t>
      </w:r>
    </w:p>
    <w:p>
      <w:pPr>
        <w:spacing w:after="0" w:line="14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We believe our platform is well positioned to scale rapidly and substantially as the field of personalized cancer therapies matures. We believe that our platform could be essential to the composition and manufacture of any personalized cancer therapy developed using our platform. Furthermore, we expect that patients would be tested at multiple time points during the course of treatment: first to design a therapy according to an initial genomic profile generated from a tissue and/or liquid biopsy, and then as follow-up testing via liquid biopsy to detect any changes that would require therapy modifications after initial therapeutic interventions. If a therapy that uses our NeXT Platform achieves regulatory approval, we believe that our commercial opportunity may increase substantially.</w:t>
      </w:r>
    </w:p>
    <w:p>
      <w:pPr>
        <w:spacing w:after="0" w:line="16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leverage our proprietary software, laboratory automation and protocols, and other operational and technological know how to power our NeXT Platform.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8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 xml:space="preserve">Over the past decade, the biopharmaceutical community has achieved major advances in the treatment of cancer, including approval of therapies capable of targeting specific genetic drivers of cancer and novel immunotherapies that empower the immune system to attack cancer cells. Despite these advances, the substantial majority of currently available cancer therapies have significant limitations, including efficacy only in certain subsets of patients, limited long-term survival rates, and significant toxicities. Moreover, the current research and development paradigm in oncology is beset by significant inefficiencies and substantial costs, with the average cost per patient in clinical trials reaching approximately $60,000 (Battelle Technology Partnership Practice, </w:t>
      </w:r>
      <w:r>
        <w:rPr>
          <w:rFonts w:ascii="Arial" w:cs="Arial" w:eastAsia="Arial" w:hAnsi="Arial"/>
          <w:sz w:val="16"/>
          <w:szCs w:val="16"/>
          <w:i w:val="1"/>
          <w:iCs w:val="1"/>
          <w:color w:val="auto"/>
        </w:rPr>
        <w:t>Biopharmaceutical Industry-Sponsored Clinical Trials: Impact on State Economies</w:t>
      </w:r>
      <w:r>
        <w:rPr>
          <w:rFonts w:ascii="Arial" w:cs="Arial" w:eastAsia="Arial" w:hAnsi="Arial"/>
          <w:sz w:val="16"/>
          <w:szCs w:val="16"/>
          <w:color w:val="auto"/>
        </w:rPr>
        <w:t>, March 2015). While tumor molecular profiling technologies have enhanced research and development efforts, most current tumor biopsy and liquid biopsy tests analyze a relatively narrow set of roughly 50 to 500 tumor genes, missing key genes and immune mechanisms underlying cancer therapy. With the lack of a comprehensive profiling solution, biopharmaceutical companies often attempt to use a disparate array of tests to compensate, resulting in a fragmented view of the tumor biology, insufficient tumor sample, logistical complexities, and increased costs. The resulting data heterogeneity makes it difficult to mine for new biological insights across cohorts of patients in clinical trials. These piecemeal approaches to tumor molecular profiling often result in solutions that are difficult to use at scale, especially in a clinical or therapeutic setting where simplicity, cost, turnaround time, and validation are important.</w:t>
      </w:r>
    </w:p>
    <w:p>
      <w:pPr>
        <w:spacing w:after="0" w:line="14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Our platform helps biopharmaceutical companies seeking to develop more efficacious therapies by comprehensively interrogating a patient’s tumor and immune cells in detail, both to discover tumor vulnerabilities and elucidate potential therapeutic alternatives. To meet the demands of our customers, we built our NeXT Platform to be cost-effective and scalable with rapid turnaround times for tissue sample data and analytics. NeXT represents the next step of our existing ACE platform, allowing customers to move up the value chain by gaining more information from a single sample. We believe that our platform has the potential to enable a research, development, and treatment paradigm that is dynamic and adaptive to the evolving genomic and immune system landscape of patients’ tumors over time. We believe our technology will drive this evolving paradigm, which will ultimately enable our customers to develop safer and more efficacious therapeutics (see Figure 1). As the clinical utility of our platform increases, we expect to grow our diagnostic capabilities, including the ability to guide therapy based on a patient’s changing tumor and immune system, and supporting the commercialization of therapeutics developed by our biopharmaceutical customers.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i w:val="1"/>
          <w:iCs w:val="1"/>
          <w:color w:val="auto"/>
        </w:rPr>
        <w:t>Figure 1. Personalis NeXT Platform addresses the increasingly complex understanding of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220345</wp:posOffset>
            </wp:positionV>
            <wp:extent cx="4654550" cy="3000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5455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Despite the large sums invested in research and despite new treatments, cancer remains a major challenge for modern medicine and a source of high unmet medical need. According to a 2020 American Cancer Society report, “Cancer Facts &amp; Figures,” as of January 1, 2019, there were more than 16.9 million people in the United States who were suffering from cancer or who had previously suffered from cancer, and more than 1.8 million people were expected to be diagnosed with the disease in 2020. Cancer prevalence is increasing globally as well. The World Health Organization (the “WHO”) predicted in its September 2018 estimates on the global prevalence of cancer that there would be 18.1 million new cancer cases and nearly 10 million cancer deaths globally in 2018. According to the WHO, the total economic impact of healthcare expenditure and loss of productivity resulting from cancer worldwide was approximately $1.2 trillion in 2010.</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Improving Cancer Treatment is Increasingly About Leveraging Molecular Data</w:t>
      </w:r>
    </w:p>
    <w:p>
      <w:pPr>
        <w:spacing w:after="0" w:line="18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 xml:space="preserve">Despite the rapid evolution of cancer therapies, the current research and development paradigm in oncology is beset by significant inefficiencies and costs. Cancer therapeutics have one of the lowest clinical trial success rates of all major diseases. According to a study of 7,455 drug development programs during 2006 to 2015, the overall likelihood of FDA approval from Phase I clinical trial for oncology developmental candidates was 5.1% (BIO Industry Analysis, </w:t>
      </w:r>
      <w:r>
        <w:rPr>
          <w:rFonts w:ascii="Arial" w:cs="Arial" w:eastAsia="Arial" w:hAnsi="Arial"/>
          <w:sz w:val="17"/>
          <w:szCs w:val="17"/>
          <w:i w:val="1"/>
          <w:iCs w:val="1"/>
          <w:color w:val="auto"/>
        </w:rPr>
        <w:t>Clinical Development Success Rates 2006-2015</w:t>
      </w:r>
      <w:r>
        <w:rPr>
          <w:rFonts w:ascii="Arial" w:cs="Arial" w:eastAsia="Arial" w:hAnsi="Arial"/>
          <w:sz w:val="17"/>
          <w:szCs w:val="17"/>
          <w:color w:val="auto"/>
        </w:rPr>
        <w:t>, June 2016). The majority of currently available cancer therapeutics have serious limitations, including efficacy only in certain subsets of patients, limited long-term survival rates, and significant toxicities. The mechanisms underlying the success or failure of clinical trials are often poorly understood. To develop more efficacious cancer treatments, the biopharmaceutical community is faced with multiple key questions for a given therapeutic approach:</w:t>
      </w:r>
    </w:p>
    <w:p>
      <w:pPr>
        <w:spacing w:after="0" w:line="150" w:lineRule="exact"/>
        <w:rPr>
          <w:sz w:val="20"/>
          <w:szCs w:val="20"/>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Why do some patients respond to treatment and others do not?</w:t>
      </w:r>
    </w:p>
    <w:p>
      <w:pPr>
        <w:spacing w:after="0" w:line="1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What are the underlying mechanisms of treatment resistance?</w:t>
      </w:r>
    </w:p>
    <w:p>
      <w:pPr>
        <w:spacing w:after="0" w:line="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there additional therapeutic targets or alternative pathways that can improve outcomes?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What therapeutic combinations can improve outcomes?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there ways to increase patient response through personalized therapeutics?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there ways to reduce toxicity?</w:t>
      </w:r>
    </w:p>
    <w:p>
      <w:pPr>
        <w:spacing w:after="0" w:line="18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There is a growing recognition that there is a tremendous amount of untapped molecular data that can be derived from analyzing tumors from large numbers of cancer patients, whether in cancer clinical trials or post-commercialization, that can help answer some of these seminal questions and accelerate therapeutic development. The threefold increase in probability of FDA approval from Phase I clinical trial for therapies with biomarkers across all diseases and therapeutic types provides an indication of the benefits of leveraging molecular data.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ind w:left="760"/>
        <w:spacing w:after="0"/>
        <w:rPr>
          <w:sz w:val="20"/>
          <w:szCs w:val="20"/>
          <w:color w:val="auto"/>
        </w:rPr>
      </w:pPr>
      <w:r>
        <w:rPr>
          <w:rFonts w:ascii="Arial" w:cs="Arial" w:eastAsia="Arial" w:hAnsi="Arial"/>
          <w:sz w:val="18"/>
          <w:szCs w:val="18"/>
          <w:b w:val="1"/>
          <w:bCs w:val="1"/>
          <w:i w:val="1"/>
          <w:iCs w:val="1"/>
          <w:color w:val="auto"/>
        </w:rPr>
        <w:t>Current Tumor Molecular Profiling Solutions Have Not Kept Pace with New Cancer Therapies</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Biopharmaceutical companies are increasingly turning to tumor molecular profiling across large cohorts of patients to generate the data needed to answer these questions. Unfortunately, current tumor molecular profiling methods have not kept pace with new therapy development and overlook crucial elements of our evolving understanding of cancer biology.</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Current tumor molecular profiling falls short for new cancer immunotherapies</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Most current tumor molecular profiling panels were designed with a focus on targeted therapies, which, along with chemotherapy, have been used for cancer treatment for the past several decades. Targeted therapies treat cancers based on the specific genomic alterations driving their growth. Some targeted therapies have been developed to target specific molecules that are overexpressed or mutated in cancer cells. Because targeted therapies focus on cancer driver genes, the vast majority of tumor molecular profiling panels today, whether tissue or liquid biopsy based, typically sequence the DNA of between 50 to 500 genes, just a small fraction of the approximately 20,000 human genes.</w:t>
      </w:r>
    </w:p>
    <w:p>
      <w:pPr>
        <w:spacing w:after="0" w:line="14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Recently, however, transformational new approaches to cancer therapy that have been developed to harness the patient’s own immune system have changed the treatment paradigm and our understanding of cancer biology. These new immunotherapies have dramatically improved the treatment of certain tumors that have previously been difficult to treat. Among these new immunotherapies, checkpoint inhibitors of the CTLA-4 and PD-1/PD-L1 genes are particularly effective. These therapies help “take the brakes off” the immune system and elicit a stronger immune response against the tumor. Patients can also be treated by adoptive cell therapy, in which the patient’s immune system is supplemented with cytotoxic cells that have been programmed to attack cells expressing specific antigens on their tumors. There are also new opportunities for personalized cancer therapies where a new therapeutic vaccine or cell therapy is developed for each patient. Despite early success, the majority of patients today still do not respond to immunotherapy, underscoring the importance of gathering data that can help biopharmaceutical companies understand factors governing response and resistance to therapy.</w:t>
      </w:r>
    </w:p>
    <w:p>
      <w:pPr>
        <w:spacing w:after="0" w:line="15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With these new immunotherapies and our rapidly evolving understanding of cancer biology, we believe the data needed to inform therapeutic development goes far beyond the typical 50 to 500 genes on current tumor molecular profiling panels. The paradigm has shifted from the need to understand mechanisms behind a single gene target to a dynamic, systems biology view involving complex interactions between thousands of genes in the tumor and the immune system in the pathogenesis of cancer and cancer drug response.</w:t>
      </w:r>
    </w:p>
    <w:p>
      <w:pPr>
        <w:spacing w:after="0" w:line="14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Information about all of the approximately 20,000 human genes allows deeper insight into the biology of cancer, identifying novel or patient-specific therapeutic targets, including neoantigens, and predictive biomarkers of response to therapy. Understanding the immune cell signatures in the tumor microenvironment and immune repertoire changes is critical for understanding drug response. In addition to DNA, comprehensive RNA expression information from the tumor is needed to analyze complex pathways that may be activated in the tumor. It is important to identify the increasingly complex mechanisms of tumor response and resistance to cancer therapy, such as neoantigen burden, tumor antigens, deficient antigen presentation, oncogenic pathways, immune evasion pathways, HLA mutations, T-cell clonality, immune infiltration, and others. Table 1 describes some of the biological gaps in current panels. Most of these elements go beyond the capabilities of today’s tumor molecular profiling panels.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i w:val="1"/>
          <w:iCs w:val="1"/>
          <w:color w:val="auto"/>
        </w:rPr>
        <w:t>Table 1. Most current tumor tissue and liquid biopsy profiling panels miss critical tumor and immune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151765</wp:posOffset>
            </wp:positionV>
            <wp:extent cx="3857625" cy="3677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57625"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Fragmented tumor molecular profiling approaches result in a fragmented view of biology and limited insights</w:t>
      </w:r>
    </w:p>
    <w:p>
      <w:pPr>
        <w:spacing w:after="0" w:line="19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With the lack of a comprehensive profiling solution, biopharmaceutical companies often turn to fragmented, piecemeal approaches to tumor molecular profiling as a stopgap measure. Those fragmented tumor molecular profiling approaches lead to major problems for therapeutic development. Limitations in available tumor samples, including liquid biopsies, force scientists to pick and choose which profiling platforms to include and which to omit, resulting in a fragmented picture of the biology. Fragmented profiling solutions also result in inconsistent profiling from patient to patient, and clinical trial to clinical trial. This results in data heterogeneity that makes it difficult to mine for new biological insights across cohorts of patients in trials. Finally, these piecemeal approaches to tumor molecular profiling result in solutions that often are difficult to use at scale in a clinical or therapeutic setting where logistical simplicity, cost, turnaround time, and validation are important.</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Current tumor molecular profiling panels can become antiquated with evolving science</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With the explosion of immunotherapy and advances in our understanding of cancer, new insights into the underlying mechanisms of response and resistance have emerged. New putative genetic or immune biomarkers of response are regularly identified for different therapies in the context of different cancers. For instance, new biomarkers have been identified including tumor mutational burden, neoantigens, HLA type, B2M mutations, TGFß, JAK1/JAK2 mutations, expression signatures, cytotoxicity signatures, and T-cell clonality, among others. A recent Nature Medicine review identified 18 different categories of biomarkers correlating with immunotherapy response spanning tumor, immune cells, and the tumor microenvironment. Due to the limited coverage of most cancer panels, they may miss new biomarkers. We believe this problem will continue as research uncovers new insights into cancer.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ind w:left="760"/>
        <w:spacing w:after="0"/>
        <w:rPr>
          <w:sz w:val="20"/>
          <w:szCs w:val="20"/>
          <w:color w:val="auto"/>
        </w:rPr>
      </w:pPr>
      <w:r>
        <w:rPr>
          <w:rFonts w:ascii="Arial" w:cs="Arial" w:eastAsia="Arial" w:hAnsi="Arial"/>
          <w:sz w:val="18"/>
          <w:szCs w:val="18"/>
          <w:b w:val="1"/>
          <w:bCs w:val="1"/>
          <w:i w:val="1"/>
          <w:iCs w:val="1"/>
          <w:color w:val="auto"/>
        </w:rPr>
        <w:t>Sequencing Quality and Coverage</w:t>
      </w:r>
    </w:p>
    <w:p>
      <w:pPr>
        <w:spacing w:after="0" w:line="19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Next generation sequencing (“NGS”) is the technological basis for many tumor molecular profiling platforms today. NGS rapidly sequences nucleic acids and then uses a computationally intensive process to reconstruct gene sequences from millions of short sequence segments. These segments are processed in parallel, an approach that greatly increases the speed that the sequence data can be generated. However, because the segments come from random locations in the genome, reassembling the original sequence is both a technically and computationally challenging process. A key objective is to ensure that every portion of the genes being sequenced is covered by at least one sequence segment. The average number of sequence segments representing a gene is referred to as the sequence depth. The deeper the coverage, the greater fraction of the gene is likely to be covered and the higher confidence that low-frequency variants can be found.</w:t>
      </w:r>
    </w:p>
    <w:p>
      <w:pPr>
        <w:spacing w:after="0" w:line="13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However, even when sequenced to high depth, typical NGS approaches can leave uneven, poor coverage in genes with mutations linked to cancer and cancer therapy. Many of these regions cannot be fully covered by simply sequencing to higher depth because their sequencing coverage deficits are due to inherent limitations of the NGS platform. Regions of high guanine-cytosine (“GC”) content or repetitive sequence regions are two such examples of regions that are difficult to cover with standard NGS assays. This can leave gaps in coverage of therapeutically important genes. This is particularly problematic in cancer, where there can be significant heterogeneity in the tumor samples that can make it even harder to see mutations in regions of poor coverage.</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To address the limitations of typical NGS-based assay, we have developed our patented ACE technology for next-generation sequencing. ACE improves nucleic acid preparation processes and combines it with patented assay and sequencing methods to achieve superior, high-fidelity, clinical-grade sequencing quality that ensures high sensitivity for mutations that can inform clinical and therapeutic applications such as neoantigen prediction, biomarker identification, and novel drug target selection.</w:t>
      </w:r>
    </w:p>
    <w:p>
      <w:pPr>
        <w:spacing w:after="0" w:line="14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NeXT Platform uses our ACE technology to provide coverage of difficult-to-sequence gene regions across all of the approximately 20,000 human genes, filling in key gaps left by other NGS approaches. ACE technology provides superior and uniform coverage of difficult genomic regions, such as high GC content areas, and fills gaps and inconsistencies in sequencing to achieve an optimal output. ACE is able to deliver more comprehensive coverage not by simply generating more data, but by generating higher quality data. We and others have shown in two publications that our ACE technology achieves superior gene sequencing coverage and finishing.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89"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We commercialize our products in the United States and Europe through our targeted sales organization. In 2019, we derived substantially all of our revenues from our customers in the United States. Our sales representatives have extensive experience in enterprise/consultative selling in the genomics space. We augment this team with Ph.D.-level Field Application Specialists that provide deep understanding and expertise in the areas of oncology and genomics applications, ensuring top-quality pre- and post-sales customer support. Our commercial efforts are focused on demonstrating the value proposition of the NeXT Platform to biopharmaceutical customers with the goal of both increasing utilization of the product at existing accounts and to drive adoption in new targeted accounts. Our entire commercial organization promotes our ability to support biopharmaceutical customers across several application areas including biomarker discovery, new target discovery, therapy development, and treatment monitoring.</w:t>
      </w:r>
    </w:p>
    <w:p>
      <w:pPr>
        <w:spacing w:after="0" w:line="12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We anticipate that patients in clinical trials for cancer therapies will increasingly be tested pre-treatment and periodically afterwards to understand response to treatment in deep molecular detail, as their tumors evolve under therapeutic pressure. Although the majority of our revenues come from single time point testing, we believe our revenues from multiple time point testing will continue to grow. We also derive revenues from analysis of multiple customer samples from the same patient and time point to assess genetic differences between the primary tumor and metastases. Given the value of comprehensive genomic information from multiple time points or samples, we anticipate that our revenue, and the available market, will continue to grow.</w:t>
      </w:r>
    </w:p>
    <w:p>
      <w:pPr>
        <w:spacing w:after="0" w:line="16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As the clinical utility of advanced biomarkers is further established, we expect there to be a patient-centered diagnostic opportunity whereby some patients would be guided to personalized therapies. We believe that our platform’s ability to support biomarkers for a broad range of therapeutics positions us to be a leader in therapy selection for patients. We announced the launch of our NeXT Dx Test in January 2020, which is a clinical diagnostic test based on our ImmunoID NeXT Platform and is one of the first cancer diagnostic platforms to profile all of the approximately 20,000 genes in both the tumor exome and transcriptome, providing a comprehensive genomic testing solution that goes beyond many existing cancer diagnostic panels that focus on a few hundred genes. NeXT Dx is targeted initially at leading clinical cancer centers as well as biopharmaceutical companies for use in clinical trials.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Since inception, we have provided our services to more than 50 biopharmaceutical customers, including several of the largest pharmaceutical companies in the world. We have also provided our services to universities and non-profits, diagnostics companies, and government entities. Some of our announced customers include Pfizer Inc., Merck &amp; Co., Inc., and Indivumed GmbH.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5" w:name="page16"/>
    <w:bookmarkEnd w:id="15"/>
    <w:p>
      <w:pPr>
        <w:jc w:val="both"/>
        <w:ind w:firstLine="749"/>
        <w:spacing w:after="0" w:line="286" w:lineRule="auto"/>
        <w:rPr>
          <w:sz w:val="20"/>
          <w:szCs w:val="20"/>
          <w:color w:val="auto"/>
        </w:rPr>
      </w:pPr>
      <w:r>
        <w:rPr>
          <w:rFonts w:ascii="Arial" w:cs="Arial" w:eastAsia="Arial" w:hAnsi="Arial"/>
          <w:sz w:val="17"/>
          <w:szCs w:val="17"/>
          <w:color w:val="auto"/>
        </w:rPr>
        <w:t>In 2019, VA MVP and Pfizer Inc. accounted for 67% and 13% of our revenues, respectively. No other customer accounted for 10% or more of our revenues. In 2018, we had three customers account for 10% or more of our revenues: VA MVP at 49%, Merck &amp; Co., Inc. at 12%, and Pfizer Inc. at 10%. In 2017, Merck &amp; Co., Inc. accounted for 11% of our revenues while two other customers also contributed 10% or more of our revenues.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provide a comprehensive, exome-scale analysis of both a tumor and its microenvironment, including the immune cells, from a single tissue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sample.</w:t>
      </w:r>
    </w:p>
    <w:p>
      <w:pPr>
        <w:spacing w:after="0" w:line="17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Our primary competition comes from companies offering genomic profiling services for either the tumor or the immune microenvironment. These companies offer services that implement various technological approaches including next-generation sequencing and microarray analyses. These competitors include Guardant Health, Inc., Foundation Medicine, Inc., which was acquired by Roche Holdings, Inc. in July 2018, Roche Molecular Systems, Inc., NanoString Technologies, Inc., Personal Genome Diagnostics, Inc., and Adaptive Biotechnologies Corporation.</w:t>
      </w:r>
    </w:p>
    <w:p>
      <w:pPr>
        <w:spacing w:after="0" w:line="144"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Competitors within the broader genomics profiling space include laboratory companies such as Laboratory Corporation of America Holdings, Quest Diagnostics, Inc., Caris Life Sciences, Inc., Myriad Genetics, Inc., Tempus, Inc., InVitae Corp., BGI Group, Macrogen, Inc., Natera, Inc., Illumina, Thermo Fisher Scientific Inc., NeoGenomics, Inc., and MedGenome Inc., as well as other companies that provide sequencing services to biopharmaceutical companies. Additionally, several companies develop next-generation sequencing platforms that can be used for genomic profiling for biopharmaceutical research and development applications. These include Illumina, Thermo Fisher Scientific Inc., and other organizations that specialize in the development of next-generation sequencing instrumentation that can be sold directly to biopharmaceutical companies, clinical laboratories, and research centers. Separate from their instrumentation product lines, both Illumina and Thermo Fisher Scientific Inc., for example, currently market next-generation sequencing clinical oncology kits that are sold to customers who have bought and operate their respective sequencing instruments.</w:t>
      </w:r>
    </w:p>
    <w:p>
      <w:pPr>
        <w:spacing w:after="0" w:line="1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believe that we compete favorably because of the integrity and comprehensiveness of the data generated by our NeXT Platform. Maximizing insights into both the tumor- and immune-related components of the tumor microenvironment is essential in identifying and understanding the reasons why certain cancer patients respond more favorably to oncology therapies than others. It is via access to such a comprehensive dataset for each patient that our customers can begin to discover new, clinically relevant biomarkers for the immunotherapy era, and ultimately improve cancer patient outcomes with the development of more efficacious therapeutics.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Protection of our intellectual property is fundamental to the long-term success of our business. Specifically, our success is dependent on our ability to obtain and maintain proprietary protection for our technology and the know-how related to our business, defend and enforce our intellectual property rights, and operate our business without infringing, misappropriating, or otherwise violating valid and enforceable intellectual property rights of others. We seek to protect our investments made into the development of our technology by relying on a combination of patents, trademarks, copyrights, trade secrets, know-how, confidentiality agreements and procedures, non-disclosure agreements with third parties, employee disclosure and invention assignment agreements, and other contractual rights.</w:t>
      </w:r>
    </w:p>
    <w:p>
      <w:pPr>
        <w:spacing w:after="0" w:line="15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Our patent strategy is focused on seeking coverage for our core technology, our ACE assay, and specific follow-on applications and implementations for enhancing sequencing coverage of certain genomic regions and analyzing cell-free nucleic acids. In addition, we file for patent protection on our ongoing research and development, particularly other novel assay technologies which may be applicable in cancer cases and other diseases.</w:t>
      </w:r>
    </w:p>
    <w:p>
      <w:pPr>
        <w:spacing w:after="0" w:line="14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Notwithstanding these efforts, we cannot be sure that patents will be granted with respect to any patent applications we have filed or may license or file in the future, and we cannot be sure that any patents we have or may be licensed or granted to us in the future, will not be challenged, invalidated, or circumvented, or that such patents will be commercially useful in protecting our technology. Moreover, we rely, in part, on trade secrets to protect aspects of our business that are not amenable to, or that we do not consider appropriate for, patent protection. However, trade secrets can be difficult to protect. While we take steps to protect and preserve our trade secrets, including by entering into confidentiality agreements with our employees, consultants, scientific advisors, and contractors, and maintaining physical security of our premises and physical and electronic security of our information technology systems,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“Risk Factors—Risks Related to Our Intellectual Property.”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ind w:right="20" w:firstLine="749"/>
        <w:spacing w:after="0" w:line="277" w:lineRule="auto"/>
        <w:rPr>
          <w:sz w:val="20"/>
          <w:szCs w:val="20"/>
          <w:color w:val="auto"/>
        </w:rPr>
      </w:pPr>
      <w:r>
        <w:rPr>
          <w:rFonts w:ascii="Arial" w:cs="Arial" w:eastAsia="Arial" w:hAnsi="Arial"/>
          <w:sz w:val="18"/>
          <w:szCs w:val="18"/>
          <w:color w:val="auto"/>
        </w:rPr>
        <w:t>Our patent portfolio is comprised of patents and patent applications owned by the company. These patents and patent applications generally fall into four broad categories:</w:t>
      </w:r>
    </w:p>
    <w:p>
      <w:pPr>
        <w:spacing w:after="0" w:line="143" w:lineRule="exact"/>
        <w:rPr>
          <w:sz w:val="20"/>
          <w:szCs w:val="20"/>
          <w:color w:val="auto"/>
        </w:rPr>
      </w:pPr>
    </w:p>
    <w:p>
      <w:pPr>
        <w:jc w:val="both"/>
        <w:ind w:left="1120" w:hanging="370"/>
        <w:spacing w:after="0" w:line="283"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ACE assay technology, including claims directed to methods for enriching sample nucleic acids based on differences in GC-content, molecular size, presence of genetic variations or rearrangements, epigenetic modifications, and species-origin (e.g., human and non-human);</w:t>
      </w:r>
    </w:p>
    <w:p>
      <w:pPr>
        <w:ind w:left="1120" w:hanging="370"/>
        <w:spacing w:after="0" w:line="249"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hybrid exome-genome technologies, including claims directed to methods for combining exome and genome sequencing data generated from a sample to identify polymorphisms;</w:t>
      </w:r>
    </w:p>
    <w:p>
      <w:pPr>
        <w:ind w:left="1120" w:hanging="370"/>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 biopsy methods, including claims directed to methods of analyzing sequenced cell-free and leukocyte-derived nucleic acids in a blood sample to identify a tissue source, or recommend a drug treatment; and</w:t>
      </w: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clinical interpretation methods, including claims directed to methods of ranking genes associated with a phenotype and inheritance pattern.</w:t>
      </w:r>
    </w:p>
    <w:p>
      <w:pPr>
        <w:spacing w:after="0" w:line="20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As of December 31, 2019, we own twelve issued U.S. and foreign patents in China and the United Kingdom and several pending U.S. and foreign patent applications. Issued U.S. patents in our portfolio of company-owned patents and patent applications are expected to expire between 2033 and 2037, excluding any additional term for patent term adjustments or patent term extensions.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Federal and State Laboratory Licensing Requirements</w:t>
      </w:r>
    </w:p>
    <w:p>
      <w:pPr>
        <w:spacing w:after="0" w:line="19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Under the Clinical Laboratory Improvement Amendments of 1988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3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To renew our CLIA certificate, we are subject to survey and inspection every two years to assess compliance with program standards. Because we are a College of American Pathologists (“CAP”) accredited laboratory, the Centers for Medicare &amp; Medicaid Services (“CMS”) does not perform this survey and inspection and relies on our CAP survey and inspection. We also may be subject to additional unannounced inspections. Laboratories performing high complexity testing are required to meet more stringent requirements than laboratories performing less complex tests. In addition, a laboratory that is certified as “high complexity” under CLIA may develop, manufacture, validate, and use proprietary tests referred to as laboratory developed tests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38"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Because our laboratory is located in the state of California, we are required to and do maintain a California state laboratory license. We also maintain licenses to conduct testing in other states where nonresident laboratories are required to obtain state laboratory licenses. We maintain a current license with the New York State Department of Health for our laboratory. Other states may currently have or adopt similar licensure requirements in the future, which may require us to modify, delay, or stop its operations in those states.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Regulatory framework for medical devices in the United States</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Pursuant to its authority under the Federal Food, Drug and Cosmetic Act (the “FDC Act”), the FDA has jurisdiction over medical devices, which are defined to include, among other things, in vitro diagnostic devices (“IVDs”). The FDA regulates, among other things, the research, design, development, pre-clinical and clinical testing, manufacturing, safety, effectiveness, packaging, labeling, storage, recordkeeping, pre-market clearance or approval, adverse event reporting, marketing, promotion, sales, distribution, and import and export of medical devices. Unless an exemption applies, each new or significantly modified medical device we seek to commercially distribute in the United States will require either a premarket notification to the FDA requesting permission for commercial distribution under Section 510(k) of the FDC Act, also referred to as a 510(k) clearance, or approval from the FDA of a PMA. Both the 510(k) clearance and PMA processes can be resource intensive, expensive, and lengthy, and require payment of significant user fees.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jc w:val="both"/>
        <w:ind w:firstLine="749"/>
        <w:spacing w:after="0" w:line="257" w:lineRule="auto"/>
        <w:rPr>
          <w:sz w:val="20"/>
          <w:szCs w:val="20"/>
          <w:color w:val="auto"/>
        </w:rPr>
      </w:pPr>
      <w:r>
        <w:rPr>
          <w:rFonts w:ascii="Arial" w:cs="Arial" w:eastAsia="Arial" w:hAnsi="Arial"/>
          <w:sz w:val="18"/>
          <w:szCs w:val="18"/>
          <w:color w:val="auto"/>
        </w:rPr>
        <w:t>Although the FDA regulates medical devices, including IVDs, the FDA has historically exercised its enforcement discretion and not enforced applicable provisions of the FDC Act and FDA regulations with respect to LDTs, which are a subset of IVDs that are intended for clinical use and developed, validated, and offered within a single laboratory for use only in that laboratory. We currently intend to market a diagnostic test based on the NeXT Platform as an LDT. As a result, we believe our diagnostic services are not currently subject to the FDA’s enforcement of its medical device regulations and the applicable FDC Act provisions.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are subject to federal fraud and abuse laws such as the federal Anti-Kickback Statute (the “AKS”), the federal prohibition against physician self-referral (the “Stark Law”), and the federal false claims law, or the False Claims Act (the “FCA”). We are also subject to similar state and foreign fraud and abuse laws.</w:t>
      </w:r>
    </w:p>
    <w:p>
      <w:pPr>
        <w:spacing w:after="0" w:line="143"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AKS prohibits, among other things,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w:t>
      </w:r>
    </w:p>
    <w:p>
      <w:pPr>
        <w:spacing w:after="0" w:line="122"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The Stark Law and similar state laws, including California’s Physician Ownership and Referral Act, generally prohibit, among other things, clinical laboratories and other entities from billing a patient or any governmental or commercial payer for any diagnostic services when the physician ordering the service, or any member of such physician’s immediate family, has a direct or indirect investment interest in or compensation arrangement with us, unless the arrangement meets an exception to the prohibition.</w:t>
      </w:r>
    </w:p>
    <w:p>
      <w:pPr>
        <w:spacing w:after="0" w:line="14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Other federal fraud and abuse laws to which we are subject include, but are not limited to, the federal civil and criminal false claims laws including the FCA, which imposes liability on any person or entity that, among other things, knowingly presents, or causes to be presented, a false or fraudulent claim for payment to the federal government, and 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Under the FCA, private citizens can bring claims on behalf of the government through qui tam actions. We must also operate within the bounds of the fraud and abuse laws of the states in which we do business which may apply to items or services reimbursed by non-governmental third-party payers, including private insurers.</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If any of the physicians or other healthcare providers or entities with whom we do business is found to be not in compliance with applicable laws, they may be subject to significant criminal, civil or administrative sanctions, including exclusions from government-funded healthcare programs.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8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(“HIPAA”), as amended by the Health Information Technology for Economic and Clinical Health Act “HITECH”), the U.S. Department of Health and Human Services (“HHS”) issued regulations that establish uniform standards governing the conduct of certain electronic healthcare transactions and requirements for protecting the privacy and security of protected health information (“PHI”), used or disclosed by covered entities and business associates. Covered entities and business associates are subject to HIPAA and HITECH. Our subcontractors that create, receive, maintain, transmit, or otherwise process PHI on behalf of us are HIPAA “business associates” and must also comply with HIPAA as a business associate.</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HIPAA and HITECH include privacy and security rules, breach notification requirements, and electronic transaction standards.</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Privacy Rule covers the use and disclosure of PHI by covered entities and business associates. The Privacy Rule generally prohibits the use or disclosure of PHI, except as permitted under the Rule. The Privacy Rule also sets forth individual patient rights, such as the right to access or amend certain records containing his or her PHI, or to request restrictions on the use or disclosure of his or her PHI.</w:t>
      </w:r>
    </w:p>
    <w:p>
      <w:pPr>
        <w:spacing w:after="0" w:line="1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Security Rule requires covered entities and business associates to safeguard the confidentiality, integrity, and availability of electronically transmitted or stored PHI by implementing administrative, physical, and technical safeguards. Under HITECH’s Breach Notification Rule, a covered entity must notify individuals, the Secretary of the HHS, and in some circumstances, the media of breaches of unsecured PHI.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jc w:val="both"/>
        <w:ind w:firstLine="749"/>
        <w:spacing w:after="0" w:line="257" w:lineRule="auto"/>
        <w:rPr>
          <w:sz w:val="20"/>
          <w:szCs w:val="20"/>
          <w:color w:val="auto"/>
        </w:rPr>
      </w:pPr>
      <w:r>
        <w:rPr>
          <w:rFonts w:ascii="Arial" w:cs="Arial" w:eastAsia="Arial" w:hAnsi="Arial"/>
          <w:sz w:val="18"/>
          <w:szCs w:val="18"/>
          <w:color w:val="auto"/>
        </w:rPr>
        <w:t>In addition, we may be subject to state health information privacy and data breach notification laws, which may govern the collection, use, disclosure, and protection of health-related and other personal information. California, for example, has enacted the Confidentiality of Medical Information Act, which sets forth standards in addition to HIPAA and HITECH with which all California health care providers like us must abide. State laws may be more stringent, broader in scope, or offer greater individual rights with respect to PHI than HIPAA, and state laws may differ from each other, which may complicate compliance efforts.</w:t>
      </w:r>
    </w:p>
    <w:p>
      <w:pPr>
        <w:spacing w:after="0" w:line="16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Entities that are found to be in violation of HIPAA as the result of a failure to secure PHI, a complaint about our privacy practices or an audit by HHS, may be subject to significant civil and criminal fines and penalties and additional reporting and oversight obligations if such entities are required to enter into a resolution agreement and corrective action plan with HHS to settle allegations of HIPAA non-compliance.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85"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In the United States, there have been a number of legislative and regulatory changes at the federal and state levels that seek to reduce healthcare costs and improve the quality of healthcare. For example, in March 2010, the Patient Protection and Affordable Care Act, as amended by the Health Care and Education Reconciliation Act (collectively, the “ACA”), became law. This law substantially changed the way health care is financed by both commercial payers and government payers, and significantly impacted our industry. The ACA contained a number of provisions expected to impact the clinical laboratory industry, such as changes governing enrollment in state and federal health care programs, reimbursement changes, and fraud and abuse.</w:t>
      </w:r>
    </w:p>
    <w:p>
      <w:pPr>
        <w:spacing w:after="0" w:line="13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December 14, 2018, a Texas U.S. District Court Judge ruled that the ACA is unconstitutional in its entirety because the “individual mandate” was repealed by Congress as part of the Tax Cuts and Jobs Act of 2017.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w:t>
      </w:r>
    </w:p>
    <w:p>
      <w:pPr>
        <w:spacing w:after="0" w:line="145"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We anticipate there will continue to be proposals by legislators at both the federal and state levels, regulators and commercial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VA MVP Agreement</w:t>
      </w:r>
    </w:p>
    <w:p>
      <w:pPr>
        <w:spacing w:after="0" w:line="18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On September 28, 2017, we entered into a contract with the VA for the VA MVP to provide them with a combination of whole genome sequencing services (the “VA MVP Agreement”). The performance period for the services includes a base period of one year (September 2017 to August 2018), with three one-year renewal option periods that may be exercised upon discretion of the VA MVP (September 2018 to August 2019; September 2019 to August 2020; and September 2020 to August 2021). Each task order issued against the VA MVP Agreement has a separate period of performance and is subject to the terms and conditions of the VA MVP Agreement. Funds are obligated by the VA MVP under each task order based on actual needs. To date, the VA MVP has exercised two of its three one-year renewal options, meaning that our current task order extends through August 2020.</w:t>
      </w:r>
    </w:p>
    <w:p>
      <w:pPr>
        <w:spacing w:after="0" w:line="12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All materials and samples utilized during the course of the VA MVP Agreement and all data first produced or delivered under the VA MVP Agreement are the sole property of the VA MVP. Under the VA MVP Agreement, we are subject to confidentiality and security obligations, as well as various obligations upon events of default.</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VA MVP may terminate the VA MVP Agreement, or any part thereof, at its sole convenience. Subject to the terms of the VA MVP Agreement, we shall be paid a percentage of the contract price reflecting the percentage of the work performed prior to the notice of termination, plus reasonable charges that we can demonstrate have resulted from the termination.</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VA MVP may terminate the VA MVP Agreement, or any part thereof, for cause in the event of any default by us, or if we fail to comply with any contract terms and conditions, or fail to provide the VA MVP, upon request, with adequate assurances of future performance. In the event of termination for cause, the VA MVP shall not be liable to us for any amount for supplies or services not accepted, and we shall be liable to the VA MVP for any and all rights and remedies provided by law. If it is determined that the VA MVP improperly terminated this contract for default, such termination shall be deemed a termination for convenience.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ind w:left="760"/>
        <w:spacing w:after="0"/>
        <w:rPr>
          <w:sz w:val="20"/>
          <w:szCs w:val="20"/>
          <w:color w:val="auto"/>
        </w:rPr>
      </w:pPr>
      <w:r>
        <w:rPr>
          <w:rFonts w:ascii="Arial" w:cs="Arial" w:eastAsia="Arial" w:hAnsi="Arial"/>
          <w:sz w:val="18"/>
          <w:szCs w:val="18"/>
          <w:b w:val="1"/>
          <w:bCs w:val="1"/>
          <w:i w:val="1"/>
          <w:iCs w:val="1"/>
          <w:color w:val="auto"/>
        </w:rPr>
        <w:t>Agreements with Illumina</w:t>
      </w:r>
    </w:p>
    <w:p>
      <w:pPr>
        <w:spacing w:after="0" w:line="19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On March 21, 2017 we received a quotation for supply of genetic analysis products (the “Quote”) from Illumina. The Quote provided information as to the cost of five Illumina</w:t>
      </w:r>
      <w:r>
        <w:rPr>
          <w:rFonts w:ascii="Arial" w:cs="Arial" w:eastAsia="Arial" w:hAnsi="Arial"/>
          <w:sz w:val="13"/>
          <w:szCs w:val="13"/>
          <w:color w:val="auto"/>
        </w:rPr>
        <w:t>®</w:t>
      </w:r>
      <w:r>
        <w:rPr>
          <w:rFonts w:ascii="Arial" w:cs="Arial" w:eastAsia="Arial" w:hAnsi="Arial"/>
          <w:sz w:val="16"/>
          <w:szCs w:val="16"/>
          <w:color w:val="auto"/>
        </w:rPr>
        <w:t xml:space="preserve"> Product Care NovaSeq</w:t>
      </w:r>
      <w:r>
        <w:rPr>
          <w:rFonts w:ascii="Arial" w:cs="Arial" w:eastAsia="Arial" w:hAnsi="Arial"/>
          <w:sz w:val="13"/>
          <w:szCs w:val="13"/>
          <w:color w:val="auto"/>
        </w:rPr>
        <w:t>®</w:t>
      </w:r>
      <w:r>
        <w:rPr>
          <w:rFonts w:ascii="Arial" w:cs="Arial" w:eastAsia="Arial" w:hAnsi="Arial"/>
          <w:sz w:val="16"/>
          <w:szCs w:val="16"/>
          <w:color w:val="auto"/>
        </w:rPr>
        <w:t>6000 Comprehensive Plans and five NovaSeq™6000 Sequencing System instruments. The term of the Quote extended through March 31, 2017. On March 31, 2017, we submitted a purchase order to Illumina for five NovaSeq™6000 Sequencing System instruments, all of which we have received. On March 1, 2019, we received another quotation for supply of genetic analysis products (the “Second Quote”) from Illumina. The Second Quote provided information as to the cost of five NovaSeq</w:t>
      </w:r>
      <w:r>
        <w:rPr>
          <w:rFonts w:ascii="Arial" w:cs="Arial" w:eastAsia="Arial" w:hAnsi="Arial"/>
          <w:sz w:val="13"/>
          <w:szCs w:val="13"/>
          <w:color w:val="auto"/>
        </w:rPr>
        <w:t>TM</w:t>
      </w:r>
      <w:r>
        <w:rPr>
          <w:rFonts w:ascii="Arial" w:cs="Arial" w:eastAsia="Arial" w:hAnsi="Arial"/>
          <w:sz w:val="16"/>
          <w:szCs w:val="16"/>
          <w:color w:val="auto"/>
        </w:rPr>
        <w:t>6000 Sequencing System instruments. The term of the Second Quote extended through March 31, 2019. On March 20, 2019, we submitted a purchase order to Illumina for five NovaSeq</w:t>
      </w:r>
      <w:r>
        <w:rPr>
          <w:rFonts w:ascii="Arial" w:cs="Arial" w:eastAsia="Arial" w:hAnsi="Arial"/>
          <w:sz w:val="13"/>
          <w:szCs w:val="13"/>
          <w:color w:val="auto"/>
        </w:rPr>
        <w:t>TM</w:t>
      </w:r>
      <w:r>
        <w:rPr>
          <w:rFonts w:ascii="Arial" w:cs="Arial" w:eastAsia="Arial" w:hAnsi="Arial"/>
          <w:sz w:val="16"/>
          <w:szCs w:val="16"/>
          <w:color w:val="auto"/>
        </w:rPr>
        <w:t>6000 Sequencing System instruments, four of which we have received and one of which will be received on or before the due date of March 23, 2023.</w:t>
      </w:r>
    </w:p>
    <w:p>
      <w:pPr>
        <w:spacing w:after="0" w:line="12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On November 1, 2017, we entered into a master services subcontract agreement (the “Subcontract Agreement”) with Illumina. Under the terms of the Subcontract Agreement, we engaged Illumina as our subcontractor to perform certain genotyping services (the “Services”) on our behalf pursuant to written purchase orders in fulfillment of our VA MVP Agreement. The price for Illumina’s Services set forth in the Subcontract Agreement is effective through December 31, 2021, or later if the VA MVP Agreement is extended.</w:t>
      </w:r>
    </w:p>
    <w:p>
      <w:pPr>
        <w:spacing w:after="0" w:line="14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The Subcontract Agreement extends through the last day of the VA MVP Agreement, currently August 2021 but as may be extended, unless it is otherwise terminated early pursuant to its terms. All or part of the Subcontract Agreement may be terminated at our convenience in the event that the VA MVP terminates the VA MVP Agreement or terminates the part of the VA MVP Agreement that affects the Services provided by Illumina. Each party may terminate the Subcontract Agreement for default in the event that the other party materially fails to perform any of the provisions of the Subcontract Agreement, materially fails to make progress so as to endanger performance of the Subcontract Agreement in accordance with its terms, or becomes financially or legally incapable of completing the work and does not provide a plan of correction or recovery within the provided period of time to cure such failure. The Subcontract Agreement may be renewed for subsequent one-year terms as agreed by the parties subject to a four-year limit.</w:t>
      </w:r>
    </w:p>
    <w:p>
      <w:pPr>
        <w:spacing w:after="0" w:line="13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On November 22, 2017, we entered into a pricing agreement with Illumina. The pricing agreement provided pricing terms for the NovaSeq™ 5000/6000 S4 Reagent Kit (each, a “Kit”). On March 26, 2019, we entered into a new pricing agreement with Illumina, which replaced in its entirety the agreement dated November 22, 2017. The new pricing agreement had a purchase commitment of $1.7 million by June 30, 2019 to purchase these Kits, which we fulfilled in the ordinary course of business. The term of the pricing agreement extends through December 31, 2022.</w:t>
      </w:r>
    </w:p>
    <w:p>
      <w:pPr>
        <w:spacing w:after="0" w:line="131"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On December 13, 2017, we received a Fast Track genetic analysis services agreement (the “Services Agreement”) from Illumina that provided pricing information for the Infinium Global Screening Array V2.0 Fast Track Service, a service we used to fulfill one of our VA MVP task orders. The term of the Services Agreement extended through June 30, 2019. Illumina continues to provide us similar genotyping Fast Track services that we use to fulfill our VA MVP task orders, but such services are now pursuant to Illumina’s standard terms and conditions rather than a separate services agreement.</w:t>
      </w:r>
    </w:p>
    <w:p>
      <w:pPr>
        <w:spacing w:after="0" w:line="11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February 22, 2019 we received a quotation for supply of genetic analysis products (the “Master Quote”) from Illumina that provides for additional pricing terms on Illumina products, which was updated on November 19, 2019. The term of the Master Quote extends through December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89"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As of December 31, 2019, we had 182 employees, of which 181 were full-time employees. Of these full-time employees, 71 were in research and development, 56 in laboratory operations, 29 in commercial operations and 25 in general and administrative functions. 177 of our full-time employees are located in the United States (including 158 who work at our corporate headquarters in Menlo Park, California and 19 who work remotely) and 4 are located in Europe. As of December 31, 2019, more than 75 of our employees had completed a Ph.D. or other advanced science or medical degree.</w:t>
      </w:r>
    </w:p>
    <w:p>
      <w:pPr>
        <w:spacing w:after="0" w:line="11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None of our employees are represented by a labor union or covered by collective bargaining agreements, and we have not experienced any work stoppages. We consider our relations with our employees to be good.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Our Facilities</w:t>
      </w:r>
    </w:p>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Our corporate headquarters are located in Menlo Park, California, and comprise approximately 31,280 square feet of space, pursuant to an operating lease that expires in 2020. This lease includes an option to extend for an additional three years, at market rates that prevail at the time of our election to extend. Our CLIA-certified laboratory is located in this facility.</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believe that this facility is sufficient to meet our current needs. We also believe we will be able to obtain additional space, as needed, on commercially reasonable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Our website is located at https://www.personalis.com. Our Annual Reports on Form 10-K, Quarterly Reports on Form 10-Q, Current Reports on Form 8-K, including their exhibits, proxy and information statements, and amendments to those reports filed or furnished pursuant to Sections 13(a), 14, and 15(d) of the Securities Exchange Act of 1934, as amended, are available through the “Investors”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or therein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8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have a history of losses, and as our costs increase, we expect to incur significant losses for the foreseeable future and may not be able to generate sufficient revenues to achieve or sustain profitability.</w:t>
      </w:r>
    </w:p>
    <w:p>
      <w:pPr>
        <w:spacing w:after="0" w:line="14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We have incurred net losses since our inception. For the years ended December 31, 2019, 2018, and 2017 we had net losses of $25.1 million, $19.9 million, and $23.6 million, respectively. As of December 31, 2019, we had an accumulated deficit of $140.6 million. To date, we have not generated sufficient revenues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revenues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38"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revenues to achieve profitability and sustain our business.</w:t>
      </w:r>
    </w:p>
    <w:p>
      <w:pPr>
        <w:spacing w:after="0" w:line="143"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currently derive substantially all of our revenues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revenues to become profitable.</w:t>
      </w:r>
    </w:p>
    <w:p>
      <w:pPr>
        <w:spacing w:after="0" w:line="13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In addition, as a growing genomics company, we have engaged in targeted sales and marketing activities for our services. Although we have had revenues from sales of our services since 2013, our services may never gain significant acceptance in the marketplace and therefore may never generate substantial revenues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Our ability to successfully market our services that we have developed, and may develop in the future, will depend on numerous factors,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170" w:lineRule="exact"/>
        <w:rPr>
          <w:sz w:val="20"/>
          <w:szCs w:val="20"/>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demonstrate the utility and value of our services to our customers;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sales force;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biopharmaceutical companies accept that our services are sufficiently sensitive and specific;</w:t>
      </w:r>
    </w:p>
    <w:p>
      <w:pPr>
        <w:spacing w:after="0" w:line="184"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convince biopharmaceutical companies of the utility of the comprehensiveness of our services and of testing patients at multiple time points;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fund sales and marketing activities;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our services are considered superior to those of our competitors;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negative publicity regarding our or our competitors’ services resulting from defects or errors;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obtaining and maintaining patent and trade secret protection for our services and technologies; and</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enforcing and defending intellectual property rights and claims.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221"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in the San Francisco Bay Area, which is currently subject to shelter-in-place orders, and the business or operations of our manufacturers, customers or other third parties with whom we conduct business.</w:t>
      </w:r>
    </w:p>
    <w:p>
      <w:pPr>
        <w:spacing w:after="0" w:line="131"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color w:val="auto"/>
        </w:rPr>
        <w:t>Our business could be adversely impacted by the effects of a health crisis, such as the ongoing COVID-19 outbreak and could cause significant disruption in the operations of our customers and third-party manufacturers upon whom we rely. Our sole laboratory,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 For example, in December 2019, a novel strain of coronavirus, SARS-CoV-2, causing a disease referred to as COVID-19, was reported to have surfaced in Wuhan, China. Since then, COVID-19 has spread to over 140 countries, including the United States. On March 10, 2020, the World Health Organization declared the COVID-19 outbreak a pandemic, and the U.S. government imposed restrictions on travel between the United States and Europe for a 30-day period. Further, on March 13, 2020, the President of the United States declared the COVID-19 pandemic a national emergency, invoking powers under the Stafford Act, the legislation that directs federal emergency disaster response. On March 4, 2020, the State of California declared a state of emergency related to the spread of COVID-19, and the San Francisco Department of Public Health announced aggressive recommendations to reduce the spread of the disease, including recommendations to suspend nonessential travel, encourage telecommuting, and cancel or postpone large gatherings. On March 16, 2020, the health officers of six San Francisco Bay Area counties, including San Mateo County where our headquarters and sole laboratory are located, issued shelter-in-place orders that took effect at 12:01 a.m., Pacific Time, on March 17, 2020 and remain in force until April 7, 2020, (i) directing all individuals living in those counties to shelter at their places of residence (subject to limited exceptions), (ii) directing all businesses and governmental agencies to cease non-essential operations at physical locations in those counties, (iii) prohibiting all non-essential gatherings of any number of individuals, and (iv) ordering cessation of all non-essential travel. While the order allows for continued operation of so-called Essential Businesses, which includes certain critical healthcare operations and services, we have substantially closed our office space and limited access to our laboratory space, to protect our employees and to comply with the provisions described within the order, and we are prioritizing the fulfillment of customer orders to those related to time-sensitive healthcare projects, such as in-process clinical trials, and will fulfill other customer orders to the extent we have the ability to do so with limited laboratory staffing. The effect of the shelter-in-place order may negatively impact productivity and disrupt our business, and may disrupt the ability of our suppliers to fulfill our purchase orders in a timely manner or at all. Several of our customers have been delayed in sending us samples, and the order may disrupt additional customers from sending purchase orders and samples to us as they implement their own precautionary measures. Many of our 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Such disruptions in our operations, and our customers’ and suppliers’ operations, may adversely affect our financial condition and operating results.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Authorities in other states, where our customers, suppliers and partners may be located, are following suit and issuing orders with similar goals and restrictions.</w:t>
      </w:r>
    </w:p>
    <w:p>
      <w:pPr>
        <w:spacing w:after="0" w:line="14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cannot compete successfully with our competitors, we may be unable to increase or sustain our revenues or achieve and sustain profitability.</w:t>
      </w:r>
    </w:p>
    <w:p>
      <w:pPr>
        <w:spacing w:after="0" w:line="14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w:t>
      </w:r>
    </w:p>
    <w:p>
      <w:pPr>
        <w:spacing w:after="0" w:line="15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Some of our present and potential competitors, including Guardant Health, Inc., Foundation Medicine, Inc., which was acquired by Roche Holdings, Inc. in July 2018, Roche Molecular Systems, Inc., NanoString Technologies, Inc., Personal Genome Diagnostics, Inc., Adaptive Biotechnologies Corporation, and NeoGenomics, Inc., may have widespread brand recognition and substantially greater financial and technical resources and development, production capacities, and marketing capabilities than we do.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6"/>
          <w:szCs w:val="16"/>
          <w:color w:val="auto"/>
        </w:rPr>
        <w:t>They may be able to devote greater resources to the development, promotion, and sale of their products and services than we do or sell their products and services at prices designed to win significant levels of market share. In addition, competitors may be acquired by, receive investments from, or enter into other commercial relationships with larger,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we may be unable to ensure or increase market acceptance and sales of our current or planned future services, which could prevent us from increasing or sustaining our revenues or achieving or sustaining profitability.</w:t>
      </w:r>
    </w:p>
    <w:p>
      <w:pPr>
        <w:spacing w:after="0" w:line="14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w:t>
      </w:r>
    </w:p>
    <w:p>
      <w:pPr>
        <w:spacing w:after="0" w:line="12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Additionally, projects related to cancer diagnostics and particularly genomics have received increased government funding, both in the United States and internationally. As more information regarding cancer genomics becomes available to the public, we anticipate that more products aimed at identifying targeted treatment options will be developed and that these products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136"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have substantial customer concentration, with a limited number of customers accounting for a substantial portion of our 2019 revenues and accounts receivable.</w:t>
      </w:r>
    </w:p>
    <w:p>
      <w:pPr>
        <w:spacing w:after="0" w:line="1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Like other genomics profiling companies that sell to the pharmaceutical industry, we have customer concentration. We currently derive a significant portion of our revenues from the U.S. Department of Veterans Affairs (the “VA”) Million Veteran Program (the “VA MVP”), which accounted for 67% and 49% of our revenues for the year ended December 31, 2019 and 2018, respectively. Our top five customers, including the VA MVP, accounted for 90% and 82% of our revenues for the year ended December 31, 2019 and 2018, respectively. There are inherent risks whenever a large percentage of revenues are concentrated with a limited number of customers. It is not possible for us to predict the future level of demand for our services that will be generated by these customers. In addition, revenues from our larger customers have historically fluctuated and may continue to fluctuate based on the commencement and completion of clinical trials or other projects, the timing of which may be affected by market conditions or other facts, some of which may be outside of our control. Further, while we have long-term contractual arrangements with certain of our customers, these customers are not required to purchase a minimum number of analyses. If any of these customers suspend or terminate clinical trials, receive less funding, experience declining or delayed sales, or otherwise chose to reduce or eliminate their use of our services, we could be pressured to reduce the prices we charge for our services which would have an adverse effect on our margins and financial position, and which would likely negatively affect our revenues and results of operations. In particular, if the VA MVP terminates our services for convenience, which it is permitted to do, such termination would have a material adverse effect on our revenues, cash position, and results of operations. Further, if our largest customers were to cease using or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27"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b w:val="1"/>
          <w:bCs w:val="1"/>
          <w:i w:val="1"/>
          <w:iCs w:val="1"/>
          <w:color w:val="auto"/>
        </w:rPr>
        <w:t>We currently derive a substantial portion of our revenues from DNA sequencing and data analysis services that we provide to our largest customer, the VA MVP. If the VA MVP’s demand for and/or funding for our DNA sequencing and data analysis services is substantially reduced, our business, financial condition, operating results, and cash flows would be materially harmed.</w:t>
      </w:r>
    </w:p>
    <w:p>
      <w:pPr>
        <w:spacing w:after="0" w:line="1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derive a substantial portion of our current and expected future revenues from sales of our DNA sequencing and data analysis services to the VA MVP. In September 2017, we entered into a one-year contract with three one-year option renewal periods with the VA for the VA MVP, pursuant to which we received orders from the VA MVP in September 2017, 2018, and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jc w:val="both"/>
        <w:ind w:firstLine="749"/>
        <w:spacing w:after="0" w:line="273" w:lineRule="auto"/>
        <w:rPr>
          <w:sz w:val="20"/>
          <w:szCs w:val="20"/>
          <w:color w:val="auto"/>
        </w:rPr>
      </w:pPr>
      <w:r>
        <w:rPr>
          <w:rFonts w:ascii="Arial" w:cs="Arial" w:eastAsia="Arial" w:hAnsi="Arial"/>
          <w:sz w:val="17"/>
          <w:szCs w:val="17"/>
          <w:color w:val="auto"/>
        </w:rPr>
        <w:t>The VA MVP’s orders for DNA sequencing and data analysis services are subject to the availability of funding, enrollment of veterans in the VA MVP study, and the VA MVP’s continued demand for our services. We have no certainty that funding will be made available for our services. If the priorities of the VA, the VA MVP, or the U.S. government change, funding for our services may be limited or not available, and our business, financial condition, and operating results and cash flows would be materially harmed. The success of our business and our future operating results are significantly dependent on the VA MVP’s receipt of funding for use of our services and the terms of our sales to the VA MVP, including the price per sample, the number of samples and the timing of the VA MVP’s deliveries of samples.</w:t>
      </w:r>
    </w:p>
    <w:p>
      <w:pPr>
        <w:spacing w:after="0" w:line="15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Our customers other than the VA MVP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failures in their clinical trials, financial constraints, or utilization of internal testing resources or tests performed by other parties, or other circumstances outside of our control.</w:t>
      </w:r>
    </w:p>
    <w:p>
      <w:pPr>
        <w:spacing w:after="0" w:line="13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revenues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revenues.</w:t>
      </w:r>
    </w:p>
    <w:p>
      <w:pPr>
        <w:spacing w:after="0" w:line="151" w:lineRule="exact"/>
        <w:rPr>
          <w:sz w:val="20"/>
          <w:szCs w:val="20"/>
          <w:color w:val="auto"/>
        </w:rPr>
      </w:pPr>
    </w:p>
    <w:p>
      <w:pPr>
        <w:ind w:left="760" w:right="20"/>
        <w:spacing w:after="0" w:line="381" w:lineRule="auto"/>
        <w:rPr>
          <w:sz w:val="20"/>
          <w:szCs w:val="20"/>
          <w:color w:val="auto"/>
        </w:rPr>
      </w:pPr>
      <w:r>
        <w:rPr>
          <w:rFonts w:ascii="Arial" w:cs="Arial" w:eastAsia="Arial" w:hAnsi="Arial"/>
          <w:sz w:val="15"/>
          <w:szCs w:val="15"/>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60"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December 31, 2019, we had approximately $36.0 million in customer deposits, including $32.5 million from one customer. However, as of that date, we had $128.3 million of cash and cash equivalents, and short-term investments. We are generally not required by our contracts to retain these deposits in cash or otherwise and we have generally used these deposits to make capital expenditures and fund our operations. If a customer that has prepaid us for future services cancels its contract with us or reduces the level of services that it expects to receive, we would generally be required to repay that customer’s deposit with little or no notice.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15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0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We rely on a limited number of suppliers for sequencers and other equipment and materials that we use in our laboratory operations. For example, we rely on Illumina, Inc. (“Illumina”) as the sole supplier of sequencers and various associated reagents,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jc w:val="both"/>
        <w:spacing w:after="0" w:line="272" w:lineRule="auto"/>
        <w:rPr>
          <w:sz w:val="20"/>
          <w:szCs w:val="20"/>
          <w:color w:val="auto"/>
        </w:rPr>
      </w:pPr>
      <w:r>
        <w:rPr>
          <w:rFonts w:ascii="Arial" w:cs="Arial" w:eastAsia="Arial" w:hAnsi="Arial"/>
          <w:sz w:val="17"/>
          <w:szCs w:val="17"/>
          <w:color w:val="auto"/>
        </w:rPr>
        <w:t>as the sole provider of maintenance and repair services for these sequencers. Our master subcontractor agreement with Illumina is set to expire in August 2021, and our various pricing agreements with Illumina are set to expire on various dates up to December 2022. Any disruption in Illumina’s operations, or our inability to negotiate an extension to our agreements with Illumina on acceptable terms, or at all, could impact our supply chain and laboratory operations and our ability to conduct our business and generate revenue. Our suppliers could cease supplying these materials, reagents, and equipment at any time, or fail to provide us with sufficient quantities of materials or materials that meet our specifications. Our laboratory operations could be interrupted if we encounter delays or difficulties in securing equipment, materials, reagents, or sequencers, or if we cannot obtain an acceptable substitute. Any such interruption could significantly affect our business, financial condition, results of operations, and reputation.</w:t>
      </w:r>
    </w:p>
    <w:p>
      <w:pPr>
        <w:spacing w:after="0" w:line="15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We believe that there are only a few manufacturers other than Illumina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We cannot assure you that, if we were forced to replace Illumina or another supplier on which we rely, we would be able to secure alternative equipment, reagents, and other materials, and bring such equipment, reagents, and materials on 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3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154"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continue to operate our business and further expand our operations.</w:t>
      </w:r>
    </w:p>
    <w:p>
      <w:pPr>
        <w:spacing w:after="0" w:line="143"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 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1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3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United States and worldwide resulting from the ongoing COVID-19 outbreak. In addition, we may have to work with a partner on one or more aspects of our tests or market development programs, which could lower the economic value of those tests or programs to us. While we believe our existing cash and cash equivalents will be sufficient to meet our anticipated cash requirements for at least the next 12 months, we cannot assure you that we will generate sufficient revenues from commercial sales to adequately fund our operating needs or achieve or sustain profitability.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6" w:name="page27"/>
    <w:bookmarkEnd w:id="26"/>
    <w:p>
      <w:pPr>
        <w:ind w:left="760"/>
        <w:spacing w:after="0" w:line="277" w:lineRule="auto"/>
        <w:rPr>
          <w:sz w:val="20"/>
          <w:szCs w:val="20"/>
          <w:color w:val="auto"/>
        </w:rPr>
      </w:pPr>
      <w:r>
        <w:rPr>
          <w:rFonts w:ascii="Arial" w:cs="Arial" w:eastAsia="Arial" w:hAnsi="Arial"/>
          <w:sz w:val="18"/>
          <w:szCs w:val="18"/>
          <w:b w:val="1"/>
          <w:bCs w:val="1"/>
          <w:i w:val="1"/>
          <w:iCs w:val="1"/>
          <w:color w:val="auto"/>
        </w:rPr>
        <w:t>We will need to invest in our infrastructure in advance of increased demand for our services, and our failure to accurately forecast demand would have a negative impact on our business and our ability to achieve and sustain profitability.</w:t>
      </w:r>
    </w:p>
    <w:p>
      <w:pPr>
        <w:spacing w:after="0" w:line="14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In order to execute our business model, we need to invest in scaling our infrastructure, including hiring additional personnel, expanding our internal quality assurance program,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facility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revenues do not meet our expectations we may not be able to promptly adjust or reduce our spending to levels commensurate with our revenues.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4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4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or we are required to vacate the facility, our ability to sell and provide our services and pursue our research and development efforts may be jeopardized.</w:t>
      </w:r>
    </w:p>
    <w:p>
      <w:pPr>
        <w:spacing w:after="0" w:line="143"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We currently derive our revenues from our genomic analysis conducted in our laboratory. We do not have any clinical reference laboratory facilities other than our facility in Menlo Park, California.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outbreak, we may limit our operations or temporarily close our office and/or laboratory space. Northern California has recently experienced serious fires and the San Francisco Bay Area is considered to lie in an area with earthquake risk. The inability to sell or to perform our diagnostic and other services, disruptions in our operations, or the backlog of samples that could develop if our facility is inoperable for even a short period of time, may result in the loss of customers or harm to our reputation or relationships with scientific or clinical collaborators, and we may be unable to regain those customers or repair our reputation or such relationships in the future. Furthermore, our facilities and the equipment we use to perform our services and our research and development work could be costly and time-consuming to repair or replace.</w:t>
      </w:r>
    </w:p>
    <w:p>
      <w:pPr>
        <w:spacing w:after="0" w:line="12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Additionally, a key component of our research and development process involves using biological samples as the basis for the development of our services. In some cases, these samples are difficult to obtain. If the parts of our laboratory facility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47"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Further, if our laboratory became inoperable, we would likely not be able to license or transfer our technology to another facility with the qualifications, including state licensure and CLIA certification, that would be necessary to cover the scope of our current and our planned future services. Even if we were to find a facility with such qualifications to perform our services, it may not be available to us on commercially reasonable terms.</w:t>
      </w:r>
    </w:p>
    <w:p>
      <w:pPr>
        <w:spacing w:after="0" w:line="12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contractors, or consultants, may fail or suffer security breaches, loss or leakage of data, and other disruptions, which could result in a material disruption of our services, compromise sensitive information related to our business, or prevent us from accessing critical information, potentially exposing us to liability or otherwise adversely affecting our business.</w:t>
      </w:r>
    </w:p>
    <w:p>
      <w:pPr>
        <w:spacing w:after="0" w:line="14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vendors and other contractors and consultants who have access to our confidential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jc w:val="both"/>
        <w:ind w:firstLine="749"/>
        <w:spacing w:after="0" w:line="285" w:lineRule="auto"/>
        <w:rPr>
          <w:sz w:val="20"/>
          <w:szCs w:val="20"/>
          <w:color w:val="auto"/>
        </w:rPr>
      </w:pPr>
      <w:r>
        <w:rPr>
          <w:rFonts w:ascii="Arial" w:cs="Arial" w:eastAsia="Arial" w:hAnsi="Arial"/>
          <w:sz w:val="16"/>
          <w:szCs w:val="16"/>
          <w:color w:val="auto"/>
        </w:rPr>
        <w:t>Despite the implementation of security measures, given the size and complexity of our internal information technology systems and those of our third-party vendors and other contractors and consultants, and the increasing amounts of confidential information that they maintain, our such information technology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could be delayed. The costs related to significant security breaches or disruptions could be material and exceed the limits of the cybersecurity insurance we maintain against such risks.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42"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44"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06"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In the ordinary course of our business, we collect and store sensitive data, including protected health information (“PHI”), personally identifiable information (“PII”), credit card and other financial information, intellectual property, and proprietary business information owned or controlled by ourselves or our customers, payors, and other parties. 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w:t>
      </w:r>
    </w:p>
    <w:p>
      <w:pPr>
        <w:spacing w:after="0" w:line="13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liability under federal or state laws that protect the privacy of personal information, such as the Health Insurance Portability and Accountability Act of 1996 (“HIPAA”) and the Health Information Technology for Economic and Clinical Health Act (“HITECH”), and regulatory penalties. Notice of breaches must be made to affected individuals, the Secretary of the Department of Health and Human Services (“HHS”), and for extensive breaches, notice may need to be made to the media or state attorneys general. Such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jc w:val="both"/>
        <w:spacing w:after="0" w:line="271" w:lineRule="auto"/>
        <w:rPr>
          <w:sz w:val="20"/>
          <w:szCs w:val="20"/>
          <w:color w:val="auto"/>
        </w:rPr>
      </w:pPr>
      <w:r>
        <w:rPr>
          <w:rFonts w:ascii="Arial" w:cs="Arial" w:eastAsia="Arial" w:hAnsi="Arial"/>
          <w:sz w:val="17"/>
          <w:szCs w:val="17"/>
          <w:color w:val="auto"/>
        </w:rPr>
        <w:t>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Additionally, in connection with the ongoing COVID-19 pandemic, most of our employees are working remotely, which may increase the risk of security breaches, loss of data, and other disruptions as a consequence of more employees accessing sensitive and critical information from remote locations.</w:t>
      </w:r>
    </w:p>
    <w:p>
      <w:pPr>
        <w:spacing w:after="0" w:line="15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In addition, numerous breach incidents could lead to possible penalties in excess of $1.68 million.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5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revenues and/or subject us to additional liabilities.</w:t>
      </w:r>
    </w:p>
    <w:p>
      <w:pPr>
        <w:spacing w:after="0" w:line="12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In addition, the interpretation and application of consumer, health-related and data protection laws, especially with respect to genetic samples and data, in the United States, the European Union (the “EU”), and elsewhere are often uncertain, contradictory and in flux. For example, the EU-wide General Data Protection Regulation (EU) 2016/679 (“GDPR”) became applicable on May 25, 2018, replacing data protection laws issued by of each EU member state based on the Directive 95/46/EC (the “Directive”). Unlike the Directive, which needed to be transposed at a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implement more stringent operational requirements for processors and controllers of personal data, including, for example, transparent and expanded disclosure to data subjects (in a concise, intelligible and easily accessible form) about how their personal information is to be used, imposes limitations on retention of information, increases requirements pertaining to health data and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€20 million or 4% of global turnover. The GDPR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ultimately having an adverse impact on our business, and harm our business and financial condition. It is possible that these laws may be interpreted and applied in a manner that is inconsistent with our practices. If so, this could result in government-imposed fines or orders requiring that we change our practices, which could adversely affect our business. Further, the United Kingdom’s vote in favor of exiting the EU, often referred to as Brexit, and ongoing developments in the United Kingdom regarding Brexit have created uncertainty with regard to data protection regulation in the United Kingdom. In particular, it is unclear whether the United Kingdom will enact data protection legislation equivalent to the GDPR and how data transfers to and from the United Kingdom will be regulated.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jc w:val="both"/>
        <w:ind w:firstLine="749"/>
        <w:spacing w:after="0" w:line="269" w:lineRule="auto"/>
        <w:rPr>
          <w:sz w:val="20"/>
          <w:szCs w:val="20"/>
          <w:color w:val="auto"/>
        </w:rPr>
      </w:pPr>
      <w:r>
        <w:rPr>
          <w:rFonts w:ascii="Arial" w:cs="Arial" w:eastAsia="Arial" w:hAnsi="Arial"/>
          <w:sz w:val="17"/>
          <w:szCs w:val="17"/>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rely on our customers to obtain valid and appropriate consents from data subjects whose genetic samples and data we process on such customers’ behalf. Given that we do not obtain direct consent from such data subjects and we do not audit our customers to ensure that they have obtained the necessary consents required by law, the failure of our customers to obtain consents that are in compliance with applicable law could result in our own non-compliance with privacy laws. Such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5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provide reliable, high-quality genomic data and analyses and to rapidly evolve to meet our customers’ needs.</w:t>
      </w:r>
    </w:p>
    <w:p>
      <w:pPr>
        <w:spacing w:after="0" w:line="130"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can also be flaws in the databases, third-party tools, and algorithms we use, and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w:t>
      </w:r>
    </w:p>
    <w:p>
      <w:pPr>
        <w:spacing w:after="0" w:line="12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Inaccurate results or misunderstandings of, or inappropriate reliance on, the information we provide to our customers could lead to, or be associated with, side effects or adverse events in patients who use our tests, including treatment-related death, and could lead to termination of our services or claims against us. A product liability or professional liability claim could result in substantial damages and be costly and time-consuming for us to defend.</w:t>
      </w:r>
    </w:p>
    <w:p>
      <w:pPr>
        <w:spacing w:after="0" w:line="16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52"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0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(such as our planned liquid biopsy test)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ind w:left="760" w:right="20"/>
        <w:spacing w:after="0" w:line="342"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97"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2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4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6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3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198"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Scientific Officer, Clinton Musil, our Chief Business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2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loss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ind w:left="760" w:right="20"/>
        <w:spacing w:after="0" w:line="308" w:lineRule="auto"/>
        <w:rPr>
          <w:sz w:val="20"/>
          <w:szCs w:val="20"/>
          <w:color w:val="auto"/>
        </w:rPr>
      </w:pPr>
      <w:r>
        <w:rPr>
          <w:rFonts w:ascii="Arial" w:cs="Arial" w:eastAsia="Arial" w:hAnsi="Arial"/>
          <w:sz w:val="17"/>
          <w:szCs w:val="17"/>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9"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and genetic counselors, due to the competition for qualified personnel among life science businesses, technology companies, as well as universities and public and private research institutions, particularly in the San Francisco Bay Area.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We may not be able to manage our future growth effectively, which could make it difficult to execute our business strategy.</w:t>
      </w:r>
    </w:p>
    <w:p>
      <w:pPr>
        <w:spacing w:after="0" w:line="19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Our expected future growth could create a strain on our organizational, administrative, and operational infrastructure, including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w:t>
      </w:r>
    </w:p>
    <w:p>
      <w:pPr>
        <w:spacing w:after="0" w:line="18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We depend on information technology and telecommunications systems for significant elements of our operations, including our laboratory information management system, our bioinformatics analytical software systems, our database of information relating to genetic variations and their role in disease process, our clinical report systems, our billing systems, our business intelligence systems, our logistics and customer relationship systems, our customer-facing web-based software, our customer reporting, and our family history and risk assessment tools.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w:t>
      </w:r>
    </w:p>
    <w:p>
      <w:pPr>
        <w:spacing w:after="0" w:line="12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Although we invest substantially in the backup/restore, high-availability architecture, monitoring and reporting, documentation and preventive security controls of our systems, all information technology and telecommunications systems are vulnerable to damage from a variety of sources, including telecommunications or network failures, malicious or inadvertent human acts and natural disasters. Our servers are potentially vulnerable to physical or electronic break-ins, employee errors,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5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Additionally, we have internally developed, and expect to continue to invest in and expand, proprietary informatics and software systems that are designed to manage the unique aspects and challenges of our genomics laboratory and on which we depend. Any disruption of failure of our internally developed informatics and software systems could have an adverse effect on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ind w:left="7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 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3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3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In addition, we may not be able to find suitable partners or acquisition candidates, and we may not be able to complete such transactions on favorable terms, if at all. Any future acquisitions by us also could result in significant write-offs or the incurrence of debt and contingent liabilities, any of which could harm our operating results.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15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To finance any acquisitions or investments, we may choose to raise additional funds. The various ways we could raise additional funds carry potential risks. See “—Our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specimens to our laboratory facility in a timely and cost-efficient manner, and if these delivery services are disrupted, our business would be harmed.</w:t>
      </w:r>
    </w:p>
    <w:p>
      <w:pPr>
        <w:spacing w:after="0" w:line="13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business depends on our ability to quickly and reliably provide test results to our customers, which in turn, requires that specimens are transported and delivered to us in a timely manner. Disruptions in delivery service, whether due to labor disruptions, bad weather, natural disaster, terrorist acts, or threats or for other reasons could adversely affect specimen integrity and our ability to process specimens in a timely manner and service our customers, and ultimately our reputation and our business. In addition, if we are unable to continue to obtain expedited delivery services on commercially reasonable terms, our operating results may be adversely affected.</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Ethical, legal, and social concerns related to the use of genetic information could reduce demand for our tests.</w:t>
      </w:r>
    </w:p>
    <w:p>
      <w:pPr>
        <w:spacing w:after="0" w:line="18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ind w:left="760"/>
        <w:spacing w:after="0"/>
        <w:rPr>
          <w:sz w:val="20"/>
          <w:szCs w:val="20"/>
          <w:color w:val="auto"/>
        </w:rPr>
      </w:pPr>
      <w:r>
        <w:rPr>
          <w:rFonts w:ascii="Arial" w:cs="Arial" w:eastAsia="Arial" w:hAnsi="Arial"/>
          <w:sz w:val="15"/>
          <w:szCs w:val="15"/>
          <w:b w:val="1"/>
          <w:bCs w:val="1"/>
          <w:i w:val="1"/>
          <w:iCs w:val="1"/>
          <w:color w:val="auto"/>
        </w:rPr>
        <w:t>The 2017 tax reform law and possible future changes in tax laws or regulations could adversely affect our business and financial condition.</w:t>
      </w:r>
    </w:p>
    <w:p>
      <w:pPr>
        <w:spacing w:after="0" w:line="23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On December 22, 2017,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Changes in corporate tax rates, the realization of net deferred tax assets relating to our U.S. operations, the taxation of foreign earnings, and the deductibility of expenses under the Tax Cuts and Jobs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or any newly enacted federal tax legislation.</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Tax Cuts and Jobs Act,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8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54"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jc w:val="both"/>
        <w:ind w:firstLine="749"/>
        <w:spacing w:after="0" w:line="287"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4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4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w:t>
      </w:r>
    </w:p>
    <w:p>
      <w:pPr>
        <w:spacing w:after="0" w:line="13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15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If the FDA determines that our tests and associated software do not fall within the definition of an LDT, or there are regulatory or legislative changes,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the regulatory requirements to which our tests are subject would depend on the FDA’s classification of our tests. The FDA has issued regulations classifying over 1,700 different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3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 xml:space="preserve">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for reclassification.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jc w:val="both"/>
        <w:ind w:firstLine="749"/>
        <w:spacing w:after="0" w:line="255" w:lineRule="auto"/>
        <w:rPr>
          <w:sz w:val="20"/>
          <w:szCs w:val="20"/>
          <w:color w:val="auto"/>
        </w:rPr>
      </w:pPr>
      <w:r>
        <w:rPr>
          <w:rFonts w:ascii="Arial" w:cs="Arial" w:eastAsia="Arial" w:hAnsi="Arial"/>
          <w:sz w:val="18"/>
          <w:szCs w:val="18"/>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6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 xml:space="preserve">If our tests are considered medical devices not subject to enforcement discretion, one classification regulation that could be relevant to one or more of our tests is a recently finalized classification for genetic health risk (“GHR”) assessment tests. On April 6, 2017, in response to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 submitted by another company, the FDA issued an order classifying genetic tests known as genetic health risk assessment systems (“GHR tests”) as Class II devices subject to premarket notification and specified special controls requirements. On November 7, 2017, the FDA codified this classification at 21 C.F.R. § 866.5950. If our tests are considered medical devices that are not subject to enforcement discretion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Although the FDA has also issued a proposal for a simplified path to market GHR tests that would amend the classification regulation at 21 C.F.R. § 886.5950 such that manufacturers would only be subject to a one-time marketing review to ensure that they meet the applicable FDA requirements prior to selling GHR tests in the market, the FDA has yet to finalize this proposal, and we do not know if and when finalization will occur. Even if the FDA finalizes the proposed limited exemption for GHR tests, if any of our current or pipeline tests are not considered by the FDA to be GHR tests or do not qualify for the limited exemption (if and when finalized), or if any of our tests fall under a different non-exempt classification or are unclassified, we could be required to obtain 510(k) clearance or approval of a PMA for such test in the future.</w:t>
      </w:r>
    </w:p>
    <w:p>
      <w:pPr>
        <w:spacing w:after="0" w:line="13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3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If we are required to conduct clinical trials, we and any third-party contractors we engage would be required to comply with good clinical practices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5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jc w:val="both"/>
        <w:ind w:firstLine="749"/>
        <w:spacing w:after="0" w:line="254" w:lineRule="auto"/>
        <w:rPr>
          <w:sz w:val="20"/>
          <w:szCs w:val="20"/>
          <w:color w:val="auto"/>
        </w:rPr>
      </w:pPr>
      <w:r>
        <w:rPr>
          <w:rFonts w:ascii="Arial" w:cs="Arial" w:eastAsia="Arial" w:hAnsi="Arial"/>
          <w:sz w:val="18"/>
          <w:szCs w:val="18"/>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revenues from our services, or from other services or products now in development.</w:t>
      </w:r>
    </w:p>
    <w:p>
      <w:pPr>
        <w:spacing w:after="0" w:line="16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146" w:lineRule="exact"/>
        <w:rPr>
          <w:sz w:val="20"/>
          <w:szCs w:val="20"/>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manufacturing processes;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product marketing;</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or recall of products from the market;</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to approve pending PMAs, 510(k)s, or supplements to approved PMAs or cleared 510(k)s that we submit;</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or withdrawal of regulatory clearances or approvals;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 on, or refusal to permit, import or export of our products;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47"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5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4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7" w:name="page38"/>
    <w:bookmarkEnd w:id="37"/>
    <w:p>
      <w:pPr>
        <w:jc w:val="both"/>
        <w:spacing w:after="0" w:line="272" w:lineRule="auto"/>
        <w:rPr>
          <w:sz w:val="20"/>
          <w:szCs w:val="20"/>
          <w:color w:val="auto"/>
        </w:rPr>
      </w:pPr>
      <w:r>
        <w:rPr>
          <w:rFonts w:ascii="Arial" w:cs="Arial" w:eastAsia="Arial" w:hAnsi="Arial"/>
          <w:sz w:val="17"/>
          <w:szCs w:val="17"/>
          <w:color w:val="auto"/>
        </w:rPr>
        <w:t>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United States. Complying with licensure requirements in new jurisdictions may be expensive and/or time-consuming, may subject us to significant and unanticipated delays, or may be in conflict with other applicable requirements.</w:t>
      </w:r>
    </w:p>
    <w:p>
      <w:pPr>
        <w:spacing w:after="0" w:line="15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revenues in doing so.</w:t>
      </w:r>
    </w:p>
    <w:p>
      <w:pPr>
        <w:spacing w:after="0" w:line="15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or if any of our products otherwise fail to comply with FDA regulatory requirements as enforced,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revenues,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3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43"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Our operations may be subject to other extensive federal, state, local, and foreign laws and regulations, all of which are subject to change. These laws and regulations currently include, among others:</w:t>
      </w:r>
    </w:p>
    <w:p>
      <w:pPr>
        <w:spacing w:after="0" w:line="130" w:lineRule="exact"/>
        <w:rPr>
          <w:sz w:val="20"/>
          <w:szCs w:val="20"/>
          <w:color w:val="auto"/>
        </w:rPr>
      </w:pPr>
    </w:p>
    <w:p>
      <w:pPr>
        <w:jc w:val="both"/>
        <w:ind w:left="1120" w:hanging="370"/>
        <w:spacing w:after="0" w:line="293"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23" w:lineRule="exact"/>
        <w:rPr>
          <w:rFonts w:ascii="Arial" w:cs="Arial" w:eastAsia="Arial" w:hAnsi="Arial"/>
          <w:sz w:val="16"/>
          <w:szCs w:val="16"/>
          <w:color w:val="auto"/>
        </w:rPr>
      </w:pPr>
    </w:p>
    <w:p>
      <w:pPr>
        <w:jc w:val="both"/>
        <w:ind w:left="1120" w:hanging="370"/>
        <w:spacing w:after="0" w:line="275" w:lineRule="auto"/>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35" w:lineRule="exact"/>
        <w:rPr>
          <w:rFonts w:ascii="Arial" w:cs="Arial" w:eastAsia="Arial" w:hAnsi="Arial"/>
          <w:sz w:val="17"/>
          <w:szCs w:val="17"/>
          <w:color w:val="auto"/>
        </w:rPr>
      </w:pPr>
    </w:p>
    <w:p>
      <w:pPr>
        <w:jc w:val="both"/>
        <w:ind w:left="1120" w:hanging="370"/>
        <w:spacing w:after="0" w:line="275" w:lineRule="auto"/>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“Anti-Markup Rule” and similar state and similar state laws, among other things, prohibits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jc w:val="both"/>
        <w:ind w:left="1120" w:hanging="370"/>
        <w:spacing w:after="0" w:line="255"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51" w:lineRule="exact"/>
        <w:rPr>
          <w:rFonts w:ascii="Arial" w:cs="Arial" w:eastAsia="Arial" w:hAnsi="Arial"/>
          <w:sz w:val="18"/>
          <w:szCs w:val="18"/>
          <w:color w:val="auto"/>
        </w:rPr>
      </w:pPr>
    </w:p>
    <w:p>
      <w:pPr>
        <w:jc w:val="both"/>
        <w:ind w:left="1120" w:hanging="370"/>
        <w:spacing w:after="0" w:line="311"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08" w:lineRule="exact"/>
        <w:rPr>
          <w:rFonts w:ascii="Arial" w:cs="Arial" w:eastAsia="Arial" w:hAnsi="Arial"/>
          <w:sz w:val="16"/>
          <w:szCs w:val="16"/>
          <w:color w:val="auto"/>
        </w:rPr>
      </w:pPr>
    </w:p>
    <w:p>
      <w:pPr>
        <w:jc w:val="both"/>
        <w:ind w:left="1120" w:hanging="370"/>
        <w:spacing w:after="0" w:line="301"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(“CHIP”) to report annually to CMS information related to (i) payments and other transfers of value to physicians and teaching hospitals, and (ii) ownership and investment interests held by physicians and their immediate family members;</w:t>
      </w:r>
    </w:p>
    <w:p>
      <w:pPr>
        <w:spacing w:after="0" w:line="116" w:lineRule="exact"/>
        <w:rPr>
          <w:rFonts w:ascii="Arial" w:cs="Arial" w:eastAsia="Arial" w:hAnsi="Arial"/>
          <w:sz w:val="16"/>
          <w:szCs w:val="16"/>
          <w:color w:val="auto"/>
        </w:rPr>
      </w:pPr>
    </w:p>
    <w:p>
      <w:pPr>
        <w:jc w:val="both"/>
        <w:ind w:left="1120" w:hanging="370"/>
        <w:spacing w:after="0" w:line="25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47"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(“EKRA”), which prohibits payments for referrals to recovery homes, clinical treatment facilities, and laboratories. EKRA’s reach extends beyond federal health care programs to include private insurance (i.e., it is an “all payer” statute);</w:t>
      </w:r>
    </w:p>
    <w:p>
      <w:pPr>
        <w:spacing w:after="0" w:line="143"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43"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29" w:lineRule="exact"/>
        <w:rPr>
          <w:rFonts w:ascii="Arial" w:cs="Arial" w:eastAsia="Arial" w:hAnsi="Arial"/>
          <w:sz w:val="18"/>
          <w:szCs w:val="18"/>
          <w:color w:val="auto"/>
        </w:rPr>
      </w:pPr>
    </w:p>
    <w:p>
      <w:pPr>
        <w:jc w:val="both"/>
        <w:ind w:left="1120" w:hanging="370"/>
        <w:spacing w:after="0" w:line="301"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16" w:lineRule="exact"/>
        <w:rPr>
          <w:rFonts w:ascii="Arial" w:cs="Arial" w:eastAsia="Arial" w:hAnsi="Arial"/>
          <w:sz w:val="16"/>
          <w:szCs w:val="16"/>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growth of our business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ind w:left="760"/>
        <w:spacing w:after="0" w:line="342"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97"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We may in the future expand our business and operations into international jurisdictions in which we have limited operating experience, including with respect to seeking regulatory approvals and marketing and selling products and services. If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If we decide to grow our business by developing in vitro diagnostic tests, we may be subject to reimbursement challenges.</w:t>
      </w:r>
    </w:p>
    <w:p>
      <w:pPr>
        <w:spacing w:after="0" w:line="196"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The coverage and reimbursement status of newly approved or cleared laboratory tests is uncertain. If we develop in vitro diagnostic tests and decide to seek reimbursement, and if such tests are inadequately covered by insurance and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3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Foreign Corrupt Practices Act of 1977, as amended (the “FCPA”), and other worldwide anti-bribery laws.</w:t>
      </w:r>
    </w:p>
    <w:p>
      <w:pPr>
        <w:spacing w:after="0" w:line="13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revenues, and impact sales of and reimbursement for our tests.</w:t>
      </w:r>
    </w:p>
    <w:p>
      <w:pPr>
        <w:spacing w:after="0" w:line="221"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ind w:left="760"/>
        <w:spacing w:after="0"/>
        <w:rPr>
          <w:sz w:val="20"/>
          <w:szCs w:val="20"/>
          <w:color w:val="auto"/>
        </w:rPr>
      </w:pPr>
      <w:r>
        <w:rPr>
          <w:rFonts w:ascii="Arial" w:cs="Arial" w:eastAsia="Arial" w:hAnsi="Arial"/>
          <w:sz w:val="18"/>
          <w:szCs w:val="18"/>
          <w:color w:val="auto"/>
        </w:rPr>
        <w:t>Among other things, the ACA:</w:t>
      </w:r>
    </w:p>
    <w:p>
      <w:pPr>
        <w:spacing w:after="0" w:line="198" w:lineRule="exact"/>
        <w:rPr>
          <w:sz w:val="20"/>
          <w:szCs w:val="20"/>
          <w:color w:val="auto"/>
        </w:rPr>
      </w:pPr>
    </w:p>
    <w:p>
      <w:pPr>
        <w:jc w:val="both"/>
        <w:ind w:left="1120" w:right="20" w:hanging="370"/>
        <w:spacing w:after="0" w:line="263"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43"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and identify priorities in comparative clinical efficacy research in an effort to coordinate and develop such research; and</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established a Center for Medicare &amp; Medicaid Innovation at CMS to test innovative payment and service delivery models to lower Medicare and Medicaid spending.</w:t>
      </w:r>
    </w:p>
    <w:p>
      <w:pPr>
        <w:spacing w:after="0" w:line="13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and other directives to delay the implementation of certain requirements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December 14, 2018, a Texas U.S. District Court Judge ruled that the ACA is unconstitutional in its entirety because the “individual mandate” was repealed by Congress as part of the Tax Cuts and Jobs Act.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3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2027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a new system of incentive payments beginning in 2019 that are based on various performance measures and physicians’ participation in alternative payment models such as accountable care organizations.</w:t>
      </w:r>
    </w:p>
    <w:p>
      <w:pPr>
        <w:spacing w:after="0" w:line="15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revenues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It is unclear what impact new quality and payment programs, such as MACRA, or new pricing structures, such as those adopted under PAMA, may have on our business, financial condition, results of operations, or cash flows.</w:t>
      </w:r>
    </w:p>
    <w:p>
      <w:pPr>
        <w:spacing w:after="0" w:line="165"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We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1" w:name="page42"/>
    <w:bookmarkEnd w:id="41"/>
    <w:p>
      <w:pPr>
        <w:ind w:left="760"/>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98"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57"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including ACE ImmunoID and ImmunoID NeXT technology. In order to avoid infringing these third-party patents, we may find it necessary to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or services.</w:t>
      </w:r>
    </w:p>
    <w:p>
      <w:pPr>
        <w:spacing w:after="0" w:line="35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2" w:name="page43"/>
    <w:bookmarkEnd w:id="42"/>
    <w:p>
      <w:pPr>
        <w:jc w:val="both"/>
        <w:ind w:firstLine="749"/>
        <w:spacing w:after="0" w:line="286"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4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0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51"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17"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p>
    <w:p>
      <w:pPr>
        <w:spacing w:after="0" w:line="8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Our patent rights, their associated costs, and the enforcement or defense of such patent rights may be affected by developments or uncertainty in the patent statute, patent case law or USPTO rules and regulations.</w:t>
      </w:r>
    </w:p>
    <w:p>
      <w:pPr>
        <w:spacing w:after="0" w:line="143"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There are a number of recent changes to the patent laws that may have a significant impact on our ability to protect our technology and enforce our intellectual property rights. For example, the Leahy-Smith America Invents Act (the “AIA”) enacted within the last several years involves significant changes in patent legislation. These include provisions that affect the way patent applications will be prosecuted and may also affect patent litigation. As an example, assuming that other requirements for patentability are met, prior to March 2013, in the United States, the first to invent the claimed invention was entitled to the patent, while outside the United States, the first to file a patent application was entitled to the patent. On or after March 16, 2013, under the AIA, the United States transitioned to a first inventor to file system in which, assuming that other requirements for patentability are met, means that the party that is first to file in the United States generally is awarded the patent rights, regardless of whether such party invented the claimed invention first.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3" w:name="page44"/>
    <w:bookmarkEnd w:id="43"/>
    <w:p>
      <w:pPr>
        <w:jc w:val="both"/>
        <w:ind w:firstLine="749"/>
        <w:spacing w:after="0" w:line="289" w:lineRule="auto"/>
        <w:rPr>
          <w:sz w:val="20"/>
          <w:szCs w:val="20"/>
          <w:color w:val="auto"/>
        </w:rPr>
      </w:pPr>
      <w:r>
        <w:rPr>
          <w:rFonts w:ascii="Arial" w:cs="Arial" w:eastAsia="Arial" w:hAnsi="Arial"/>
          <w:sz w:val="16"/>
          <w:szCs w:val="16"/>
          <w:color w:val="auto"/>
        </w:rPr>
        <w:t xml:space="preserve">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4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for an adequate amount of time.</w:t>
      </w:r>
    </w:p>
    <w:p>
      <w:pPr>
        <w:spacing w:after="0" w:line="198"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Our issued patents will expire on dates ranging from 2033 to 2037, subject to any patent extensions that may be available for such patents. If patents are issued on our pending patent applications, the resulting patents are projected to expire on dates ranging from 2033 to 2040.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2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6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jc w:val="both"/>
        <w:ind w:firstLine="749"/>
        <w:spacing w:after="0" w:line="254" w:lineRule="auto"/>
        <w:rPr>
          <w:sz w:val="20"/>
          <w:szCs w:val="20"/>
          <w:color w:val="auto"/>
        </w:rPr>
      </w:pPr>
      <w:r>
        <w:rPr>
          <w:rFonts w:ascii="Arial" w:cs="Arial" w:eastAsia="Arial" w:hAnsi="Arial"/>
          <w:sz w:val="18"/>
          <w:szCs w:val="18"/>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16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2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 xml:space="preserve">Once granted, patents may remain open to opposition, interference,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145" w:lineRule="exact"/>
        <w:rPr>
          <w:sz w:val="20"/>
          <w:szCs w:val="20"/>
          <w:color w:val="auto"/>
        </w:rPr>
      </w:pPr>
    </w:p>
    <w:p>
      <w:pPr>
        <w:ind w:left="1120" w:right="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tests that are the same as or similar to our products or services but that are not covered by the claims of the patents that we own or license;</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make the inventions covered by each of our issued patents and pending patent applications that we own or license;</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file patent applications covering certain aspects of our inventions;</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96" w:lineRule="exact"/>
        <w:rPr>
          <w:rFonts w:ascii="Arial" w:cs="Arial" w:eastAsia="Arial" w:hAnsi="Arial"/>
          <w:sz w:val="17"/>
          <w:szCs w:val="17"/>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207" w:lineRule="exact"/>
        <w:rPr>
          <w:rFonts w:ascii="Arial" w:cs="Arial" w:eastAsia="Arial" w:hAnsi="Arial"/>
          <w:sz w:val="16"/>
          <w:szCs w:val="16"/>
          <w:color w:val="auto"/>
        </w:rPr>
      </w:pPr>
    </w:p>
    <w:p>
      <w:pPr>
        <w:ind w:left="1120" w:hanging="370"/>
        <w:spacing w:after="0" w:line="308" w:lineRule="auto"/>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jc w:val="both"/>
        <w:ind w:firstLine="749"/>
        <w:spacing w:after="0" w:line="290"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United States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3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37"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proceedings, or other post-grant proceedings declared by the USPTO that could result in substantial cost to us. The outcome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proceedings is uncertain. No assurance can be given that other patent applications will not have priority over our patent applications. In addition, changes to the patent laws of the United States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that have not been extensively tested, and their outcome is therefore uncertain.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13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43"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product.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6" w:name="page47"/>
    <w:bookmarkEnd w:id="46"/>
    <w:p>
      <w:pPr>
        <w:jc w:val="both"/>
        <w:ind w:firstLine="749"/>
        <w:spacing w:after="0" w:line="253"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and know-how, our business and competitive position would be harmed.</w:t>
      </w:r>
    </w:p>
    <w:p>
      <w:pPr>
        <w:spacing w:after="0" w:line="219"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We seek protection for certain aspects of our technologies, products, and services through the filing of patents, registration of copyrights, and use of non-disclosure agreements. In addition, we also expect to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60"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30"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7" w:name="page48"/>
    <w:bookmarkEnd w:id="47"/>
    <w:p>
      <w:pPr>
        <w:ind w:left="7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9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Filing, prosecuting, maintaining, defending, and enforcing patents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European Union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4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4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3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employ individuals who were previously employed or otherwise engaged with universities or genetic testing, diagnostic or other healthcare companies, including our competitors or potential competitors.</w:t>
      </w:r>
    </w:p>
    <w:p>
      <w:pPr>
        <w:spacing w:after="0" w:line="14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jc w:val="both"/>
        <w:ind w:firstLine="749"/>
        <w:spacing w:after="0" w:line="25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30"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3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4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138"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30"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43" w:lineRule="exact"/>
        <w:rPr>
          <w:sz w:val="20"/>
          <w:szCs w:val="20"/>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84" w:lineRule="exact"/>
        <w:rPr>
          <w:rFonts w:ascii="Arial" w:cs="Arial" w:eastAsia="Arial" w:hAnsi="Arial"/>
          <w:sz w:val="18"/>
          <w:szCs w:val="18"/>
          <w:color w:val="auto"/>
        </w:rPr>
      </w:pPr>
    </w:p>
    <w:p>
      <w:pPr>
        <w:jc w:val="both"/>
        <w:ind w:left="1120" w:hanging="370"/>
        <w:spacing w:after="0" w:line="311" w:lineRule="auto"/>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ind w:left="1120" w:hanging="370"/>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96" w:lineRule="exact"/>
        <w:rPr>
          <w:rFonts w:ascii="Arial" w:cs="Arial" w:eastAsia="Arial" w:hAnsi="Arial"/>
          <w:sz w:val="17"/>
          <w:szCs w:val="17"/>
          <w:color w:val="auto"/>
        </w:rPr>
      </w:pPr>
    </w:p>
    <w:p>
      <w:pPr>
        <w:ind w:left="112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84"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43" w:lineRule="exact"/>
        <w:rPr>
          <w:rFonts w:ascii="Arial" w:cs="Arial" w:eastAsia="Arial" w:hAnsi="Arial"/>
          <w:sz w:val="18"/>
          <w:szCs w:val="18"/>
          <w:color w:val="auto"/>
        </w:rPr>
      </w:pPr>
    </w:p>
    <w:p>
      <w:pPr>
        <w:ind w:left="1120" w:hanging="370"/>
        <w:spacing w:after="0" w:line="342"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83" w:lineRule="exact"/>
        <w:rPr>
          <w:rFonts w:ascii="Arial" w:cs="Arial" w:eastAsia="Arial" w:hAnsi="Arial"/>
          <w:sz w:val="16"/>
          <w:szCs w:val="16"/>
          <w:color w:val="auto"/>
        </w:rPr>
      </w:pPr>
    </w:p>
    <w:p>
      <w:pPr>
        <w:ind w:left="1120" w:right="2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3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85"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2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0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market price of our common stock may fluctuate or decline significantly in response to numerous factors, many of which are beyond our control, including:</w:t>
      </w:r>
    </w:p>
    <w:p>
      <w:pPr>
        <w:spacing w:after="0" w:line="130" w:lineRule="exact"/>
        <w:rPr>
          <w:sz w:val="20"/>
          <w:szCs w:val="20"/>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new or updated research reports by securities analysts or changed recommendations for our stock;</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from existing tests or new tests that may emerge;</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capital commitments, or by or pertaining to our customers, particularly the VA MVP;</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amount of our investments in the growth of our business;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business or issues we may face with regulators;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or other developments related to our intellectual property or other matters, including litigation; and</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factors unrelated to our operating performance or the operating performance of our competitors.</w:t>
      </w:r>
    </w:p>
    <w:p>
      <w:pPr>
        <w:spacing w:after="0" w:line="13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very recently in connection with the ongoing COVID-19 outbreak which has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5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1" w:name="page52"/>
    <w:bookmarkEnd w:id="51"/>
    <w:p>
      <w:pPr>
        <w:ind w:left="760"/>
        <w:spacing w:after="0"/>
        <w:rPr>
          <w:sz w:val="20"/>
          <w:szCs w:val="20"/>
          <w:color w:val="auto"/>
        </w:rPr>
      </w:pPr>
      <w:r>
        <w:rPr>
          <w:rFonts w:ascii="Arial" w:cs="Arial" w:eastAsia="Arial" w:hAnsi="Arial"/>
          <w:sz w:val="18"/>
          <w:szCs w:val="18"/>
          <w:b w:val="1"/>
          <w:bCs w:val="1"/>
          <w:i w:val="1"/>
          <w:iCs w:val="1"/>
          <w:color w:val="auto"/>
        </w:rPr>
        <w:t>Our quarterly results may fluctuate significantly, which could adversely impact the value of our common stock.</w:t>
      </w:r>
    </w:p>
    <w:p>
      <w:pPr>
        <w:spacing w:after="0" w:line="19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and other large customers are not obliged to deliver tissue samples or other specimen to us at any particular time or at all. The rate at which we receive tissue samples or other specimen can vary dramatically from quarter to quarter, and is difficult or impossible for us to accurately forecast. Our receipt and processing of tissue samples and other specimen from our customers leads to our recognition of revenue, and as such the variable rates of delivery of customer samples will lead to variations in our revenues from quarter to quarter.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Insiders may exercise significant control over our company and will be able to influence corporate matters.</w:t>
      </w:r>
    </w:p>
    <w:p>
      <w:pPr>
        <w:spacing w:after="0" w:line="18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Based solely on the most recent Schedules 13G and 13D filed with the SEC, reports filed with the SEC under Section 16 of the Exchange Act, and our outstanding shares of common stock as of December 31, 2019, our directors, executive officers and their affiliates and holders of greater than five percent of our outstanding common stock beneficially owned approximately 39.5% of our outstanding capital stock as of December 31, 2019. As a result, these stockholders, acting together, will be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08"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December 31, 2019, we had 31,243,029 shares of common stock outstanding, all of which shares are eligible for sale in the public market, subject in some cases to the volume limitations and manner of sale and other requirements under Rule 144. In addition, upon issuance, shares of common stock subject to outstanding options under our stock option plans as of December 31, 2019 will become eligible for sale in the public market in the future, subject to certain legal and contractual limitations. Moreover, holders of up to an aggregate of 18,790,983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9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common stock is currently listed on The Nasdaq Global Market under the symbol “PSNL.”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47"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61" w:lineRule="exact"/>
        <w:rPr>
          <w:sz w:val="20"/>
          <w:szCs w:val="20"/>
          <w:color w:val="auto"/>
        </w:rPr>
      </w:pPr>
    </w:p>
    <w:p>
      <w:pPr>
        <w:jc w:val="both"/>
        <w:ind w:left="760" w:right="20"/>
        <w:spacing w:after="0" w:line="381" w:lineRule="auto"/>
        <w:rPr>
          <w:sz w:val="20"/>
          <w:szCs w:val="20"/>
          <w:color w:val="auto"/>
        </w:rPr>
      </w:pPr>
      <w:r>
        <w:rPr>
          <w:rFonts w:ascii="Arial" w:cs="Arial" w:eastAsia="Arial" w:hAnsi="Arial"/>
          <w:sz w:val="15"/>
          <w:szCs w:val="15"/>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incentive plans, investors may be materially diluted. In addition, new investors in such subsequent transactions could gain rights, preferences, and privileges senior to those of holders of our common stock.</w:t>
      </w:r>
    </w:p>
    <w:p>
      <w:pPr>
        <w:spacing w:after="0" w:line="14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3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98"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As of December 31, 2019, we had federal and state net operating loss carryforwards of approximately $114.9 million and approximately $72.2 million, respectively. Certain of our federal and state net operating loss carryforwards will begin to expire, if not utilized, beginning in 2031. These net operating loss carryforwards could expire unused and be unavailable to offset future income tax liabilities. Under the Tax Cuts and Jobs Act, federal net operating losses incurred in 2018 and in future years may be carried forward indefinitely, but the deductibility of such federal net operating losses is limited. It is uncertain if and to what extent various states will conform to the Tax Cuts and Jobs Act.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Holders of our common stock could be adversely affected if we issue preferred stock.</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68"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43" w:lineRule="exact"/>
        <w:rPr>
          <w:sz w:val="20"/>
          <w:szCs w:val="20"/>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96" w:lineRule="exact"/>
        <w:rPr>
          <w:rFonts w:ascii="Arial" w:cs="Arial" w:eastAsia="Arial" w:hAnsi="Arial"/>
          <w:sz w:val="17"/>
          <w:szCs w:val="17"/>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84" w:lineRule="exact"/>
        <w:rPr>
          <w:rFonts w:ascii="Arial" w:cs="Arial" w:eastAsia="Arial" w:hAnsi="Arial"/>
          <w:sz w:val="18"/>
          <w:szCs w:val="18"/>
          <w:color w:val="auto"/>
        </w:rPr>
      </w:pPr>
    </w:p>
    <w:p>
      <w:pPr>
        <w:jc w:val="center"/>
        <w:ind w:left="5540" w:right="760" w:hanging="4790"/>
        <w:spacing w:after="0" w:line="527" w:lineRule="auto"/>
        <w:tabs>
          <w:tab w:leader="none" w:pos="11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3" w:name="page54"/>
    <w:bookmarkEnd w:id="53"/>
    <w:p>
      <w:pPr>
        <w:ind w:left="1120" w:hanging="370"/>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7"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08"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30" w:lineRule="exact"/>
        <w:rPr>
          <w:sz w:val="20"/>
          <w:szCs w:val="20"/>
          <w:color w:val="auto"/>
        </w:rPr>
      </w:pPr>
    </w:p>
    <w:p>
      <w:pPr>
        <w:ind w:left="1120" w:hanging="370"/>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84"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claim against us governed by the internal affairs doctrine.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provision would not apply to suits brought to enforce a duty or liability created by the Exchange Act or any other claim for which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4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the Court of Chancery of the State of Delaware recently determined that a provision stating that U.S. federal district courts are the exclusive forum for resolving any complaint asserting a cause of action arising under the Securities Act is not enforceable. However, this decision is being reviewed and may be ultimately overturned by the Delaware Supreme Court.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litigation and divert management’s attention.</w:t>
      </w:r>
    </w:p>
    <w:p>
      <w:pPr>
        <w:spacing w:after="0" w:line="21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as defined in the Jumpstart our Business Startups Act of 2012 (the “JOBS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will need to hire additional employees or engage outside consultants to comply with these requirements, which will increase our costs and expenses.</w:t>
      </w:r>
    </w:p>
    <w:p>
      <w:pPr>
        <w:spacing w:after="0" w:line="13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both"/>
        <w:spacing w:after="0" w:line="269" w:lineRule="auto"/>
        <w:rPr>
          <w:sz w:val="20"/>
          <w:szCs w:val="20"/>
          <w:color w:val="auto"/>
        </w:rPr>
      </w:pPr>
      <w:r>
        <w:rPr>
          <w:rFonts w:ascii="Arial" w:cs="Arial" w:eastAsia="Arial" w:hAnsi="Arial"/>
          <w:sz w:val="17"/>
          <w:szCs w:val="17"/>
          <w:color w:val="auto"/>
        </w:rPr>
        <w:t>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prospectus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5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130"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1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43" w:lineRule="exact"/>
        <w:rPr>
          <w:sz w:val="20"/>
          <w:szCs w:val="20"/>
          <w:color w:val="auto"/>
        </w:rPr>
      </w:pPr>
    </w:p>
    <w:p>
      <w:pPr>
        <w:ind w:left="1120" w:right="20" w:hanging="370"/>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3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closing of our initial public offering of our common stock (our “IPO”). Our status as an emerging growth company will end as soon as any of the following takes place:</w:t>
      </w:r>
    </w:p>
    <w:p>
      <w:pPr>
        <w:spacing w:after="0" w:line="130" w:lineRule="exact"/>
        <w:rPr>
          <w:sz w:val="20"/>
          <w:szCs w:val="20"/>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December 31, 2024.</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accommodation and, therefore, we will be subject to the same new or revised accounting standards as other public companies that are not emerging growth companies.</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Management evaluates our internal control systems, processes, and procedures for compliance with the requirements of a smaller reporting company under Section 404 of the Sarbanes-Oxley Act of 2002 (“Section 404”). This evaluation includes disclosure of any material weaknesses identified by our management in our internal control over financial reporting. A “material weakness” is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t>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43"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In connection with preparation of our financial statements for the years ended December 31, 2017 and 2018, management identified a material weakness in our internal controls due to a lack of sufficient full-time accounting staff with requisite experience and deep technical accounting knowledge to</w:t>
      </w:r>
    </w:p>
    <w:p>
      <w:pPr>
        <w:jc w:val="both"/>
        <w:ind w:firstLine="8"/>
        <w:spacing w:after="0" w:line="255" w:lineRule="auto"/>
        <w:tabs>
          <w:tab w:leader="none" w:pos="2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 and resolve complex accounting issues under generally accepted accounting principles in the United States (“GAAP”) and (ii) allow for appropriate segregation of duties. The identified material weakness could result in misstatements to our consolidated financial statements that would be material and would not be prevented or detected on a timely basis.</w:t>
      </w:r>
    </w:p>
    <w:p>
      <w:pPr>
        <w:spacing w:after="0" w:line="14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We implemented additional procedures to remediate this material weakness, however, we cannot assure you that these or other measures will prevent future material weaknesses from occurring. Remediation of the material weakness involved hiring a Chief Financial Officer in March 2019 and four additional accounting resources in the second, third, and fourth quarters of 2019, including two Certified Public Accountants with the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52"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If we identify future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U.S.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8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3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Our corporate headquarters are located in Menlo Park, California, and comprise approximately 31,280 square feet of space, pursuant to an operating lease that expires in 2020. This lease includes an option to extend for an additional three years, at market rates that prevail at the time of our election to extend. Our CLIA-certified laboratory is located in this facility.</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believe that this facility is sufficient to meet our current needs. We also believe we will be able to obtain additional space, as needed, on commercially reasonable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From time to time, we are a party to litigation and subject to claims that arise in the ordinary course of business. Although the results of litigation and claims cannot be predicted with certainty, we currently believe that the final outcome of these ordinary course matters will not have a material adverse effect on our business. Regardless of the outcome, litigation can have an adverse impact on us because of defense and settlement costs, diversion of management resources and other factors. As of December 31, 2019, the Company was not involved in any material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6" w:name="page57"/>
    <w:bookmarkEnd w:id="56"/>
    <w:p>
      <w:pPr>
        <w:jc w:val="center"/>
        <w:ind w:left="5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20"/>
        <w:spacing w:after="0" w:line="464"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jc w:val="both"/>
        <w:ind w:firstLine="749"/>
        <w:spacing w:after="0" w:line="277" w:lineRule="auto"/>
        <w:rPr>
          <w:sz w:val="20"/>
          <w:szCs w:val="20"/>
          <w:color w:val="auto"/>
        </w:rPr>
      </w:pPr>
      <w:r>
        <w:rPr>
          <w:rFonts w:ascii="Arial" w:cs="Arial" w:eastAsia="Arial" w:hAnsi="Arial"/>
          <w:sz w:val="18"/>
          <w:szCs w:val="18"/>
          <w:color w:val="auto"/>
        </w:rPr>
        <w:t>The Company’s common stock has been listed on The Nasdaq Global Market under the symbol “PSNL” since June 20, 2019. Prior to our IPO, there was no public market for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8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As of March 20, 2020, there were approximately 144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Public Offering of Common Stock</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On June 19, 2019, the registration statement on Form S-1 (Registration No. 333-231703) for our IPO of our common stock was declared effective by the SEC. On June 24, 2019, we closed our IPO and sold an aggregate of 9,109,725 shares of our common stock, inclusive of the exercise in full by the underwriters of their option to purchase up to an additional 1,188,225 shares of common stock, for an aggregate price of approximately $155 million. Upon completion of the sales of the shares of our common stock, our IPO terminated.</w:t>
      </w:r>
    </w:p>
    <w:p>
      <w:pPr>
        <w:spacing w:after="0" w:line="16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underwriters of our IPO were Morgan Stanley &amp; Co. LLC, BofA Securities, Inc., Cowen and Company, LLC, and Oppenheimer &amp; Co. Inc. We paid the underwriters of our IPO an underwriting discount and commission totaling $10.8 million and incurred $4.2 million in offering costs. Thus, the net offering proceeds, after deducting underwriting discounts and offering expenses, were approximately $139.8 million. No payments were made to our directors or officers or their associates, holders of 10% or more of any class of our equity securities, or any affiliates.</w:t>
      </w:r>
    </w:p>
    <w:p>
      <w:pPr>
        <w:spacing w:after="0" w:line="13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June 20, 2019 pursuant to Rule 424(b)(4).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During the quarter ended December 31, 2019, we did not purchase any of our equity securities that are registered under Section 12 of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7"/>
          <w:szCs w:val="17"/>
          <w:color w:val="auto"/>
        </w:rPr>
        <w:t>The following selected consolidated financial data should be read in conjunction with the consolidated financial statements and the notes thereto in Item 8 of Part II, “Financial Statements and Supplementary Data,” and the information contained in Item 7 of Part II, “Management’s Discussion and Analysis of Financial Condition and Results of Operations.” Historical results are not necessarily indicative of future results.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vMerge w:val="continue"/>
          </w:tcPr>
          <w:p>
            <w:pPr>
              <w:spacing w:after="0"/>
              <w:rPr>
                <w:sz w:val="19"/>
                <w:szCs w:val="19"/>
                <w:color w:val="auto"/>
              </w:rPr>
            </w:pPr>
          </w:p>
        </w:tc>
        <w:tc>
          <w:tcPr>
            <w:tcW w:w="19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7"/>
          </w:tcPr>
          <w:p>
            <w:pPr>
              <w:jc w:val="center"/>
              <w:ind w:right="192"/>
              <w:spacing w:after="0"/>
              <w:rPr>
                <w:sz w:val="20"/>
                <w:szCs w:val="20"/>
                <w:color w:val="auto"/>
              </w:rPr>
            </w:pPr>
            <w:r>
              <w:rPr>
                <w:rFonts w:ascii="Arial" w:cs="Arial" w:eastAsia="Arial" w:hAnsi="Arial"/>
                <w:sz w:val="14"/>
                <w:szCs w:val="14"/>
                <w:color w:val="auto"/>
                <w:w w:val="90"/>
              </w:rPr>
              <w:t>(in thousands, except share and per share data)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65,207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37,774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Costs and expenses</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43,127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25,969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22,418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14,304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22,080</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11,271</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19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87,625</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51,544</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1,620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(4,658)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9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(25,075)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(19,879)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9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loss</w:t>
            </w:r>
          </w:p>
        </w:tc>
        <w:tc>
          <w:tcPr>
            <w:tcW w:w="19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(25,084)</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(19,886)</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9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18,011,470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3,063,157</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3,031,636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4"/>
                <w:szCs w:val="24"/>
                <w:color w:val="auto"/>
              </w:rPr>
            </w:pPr>
          </w:p>
        </w:tc>
        <w:tc>
          <w:tcPr>
            <w:tcW w:w="1260" w:type="dxa"/>
            <w:vAlign w:val="bottom"/>
          </w:tcPr>
          <w:p>
            <w:pPr>
              <w:jc w:val="right"/>
              <w:ind w:right="272"/>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vMerge w:val="continue"/>
          </w:tcPr>
          <w:p>
            <w:pPr>
              <w:spacing w:after="0"/>
              <w:rPr>
                <w:sz w:val="19"/>
                <w:szCs w:val="19"/>
                <w:color w:val="auto"/>
              </w:rPr>
            </w:pPr>
          </w:p>
        </w:tc>
        <w:tc>
          <w:tcPr>
            <w:tcW w:w="19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92"/>
              </w:rPr>
              <w:t>(in thousands)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short-term investments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128,289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19,744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Working capital</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89,616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(28,291)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157,291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41,670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Total debt</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4,996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Long-term obligations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Total liabilities</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50,601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58,654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50,171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89,404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106,690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(106,388)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(92,603)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760" w:type="dxa"/>
            <w:vAlign w:val="bottom"/>
          </w:tcPr>
          <w:p>
            <w:pPr>
              <w:spacing w:after="0"/>
              <w:rPr>
                <w:sz w:val="24"/>
                <w:szCs w:val="24"/>
                <w:color w:val="auto"/>
              </w:rPr>
            </w:pPr>
          </w:p>
        </w:tc>
        <w:tc>
          <w:tcPr>
            <w:tcW w:w="1900" w:type="dxa"/>
            <w:vAlign w:val="bottom"/>
          </w:tcPr>
          <w:p>
            <w:pPr>
              <w:jc w:val="right"/>
              <w:ind w:right="85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Annual Report on Form 10-K and our final prospectus filed with the Securities and Exchange Commission (the “SEC”) pursuant to Rule 424(b) under the Securities Act of 1933, as amended, on June 20, 2019 (the “Prospectus”).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 Item 1A, “Risk Factors” for a discussion of factors that could cause actual results to differ materially from the results described in or implied by the forward-looking statements contained in the following discussion and analysis and elsewhere in this Annual Report on Form 10-K and in our Prospectus.</w:t>
      </w:r>
    </w:p>
    <w:p>
      <w:pPr>
        <w:spacing w:after="0" w:line="13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i w:val="1"/>
          <w:iCs w:val="1"/>
          <w:color w:val="auto"/>
        </w:rPr>
        <w:t>This section of this Form 10-K generally discusses 2019 and 2018 items and year-to-year comparisons between 2019 and 2018. Discussions of 2017 items and year-to-year comparisons between 2018 and 2017 that are not included in this Form 10-K can be found in “Management’s Discussion and Analysis of Financial Condition and Results of Operations” in our Prospectus.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50 to 500 genes. In parallel with the development of our platform technology, we have also provided population sequencing services under contract with the U.S. Department of Veterans Affairs (the “VA”) Million Veteran Program (the “VA MVP”), which has enabled us to innovate, scale our operational infrastructure, and achieve greater efficiencies in our lab.</w:t>
      </w:r>
    </w:p>
    <w:p>
      <w:pPr>
        <w:spacing w:after="0" w:line="17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We are also developing a complementary liquid biopsy assay that analyzes all of the approximately 20,000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also announced in January 2020 a diagnostic based on our NeXT Platform that we envision being used initially by both leading clinical cancer centers as well as biopharmaceutical companies.</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generated revenues of $65.2 million, $37.8 million, and $9.4 million for the years ended December 31, 2019, 2018, and 2017, respectively. In 2019, 67% of our revenues were generated from the U.S. Department of Veterans Affairs (the “VA”) Million Veteran Program (the “VA MVP”) as compared to 49% in 2018. Non-VA MVP revenues increased by 13% in 2019 compared to 2018. We also incurred net losses of $25.1 million, $19.9 million and $23.6 million for the years ended December 31, 2019, 2018, and 2017, respectively.</w:t>
      </w:r>
    </w:p>
    <w:p>
      <w:pPr>
        <w:spacing w:after="0" w:line="14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As of December 31, 2019, we had $128.3 million in cash and cash equivalents, and short-term investments. From inception through December 31, 2019, we have funded our operations primarily through cash from operations, redeemable convertible preferred stock issuances, debt issuances, and proceeds from our initial public offering. We expect that our existing cash and cash equivalents, and short-term investments will provide sufficient funds to sustain operations through at least the next 12 months. We have based these estimates on assumptions that may prove to be wrong, and we could exhaust our available capital resources sooner than we expect.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0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operating performance and results of operations, including:</w:t>
      </w:r>
    </w:p>
    <w:p>
      <w:pPr>
        <w:spacing w:after="0" w:line="126" w:lineRule="exact"/>
        <w:rPr>
          <w:sz w:val="20"/>
          <w:szCs w:val="20"/>
          <w:color w:val="auto"/>
        </w:rPr>
      </w:pPr>
    </w:p>
    <w:p>
      <w:pPr>
        <w:ind w:left="1120" w:right="20" w:hanging="370"/>
        <w:spacing w:after="0" w:line="347"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The continued development of the market for genomic-based tests. </w:t>
      </w:r>
      <w:r>
        <w:rPr>
          <w:rFonts w:ascii="Arial" w:cs="Arial" w:eastAsia="Arial" w:hAnsi="Arial"/>
          <w:sz w:val="16"/>
          <w:szCs w:val="16"/>
          <w:color w:val="auto"/>
        </w:rPr>
        <w:t>Our performance depends on the willingness of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to continue to seek more comprehensive molecular information to develop more efficacious cancer therapies.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both"/>
        <w:ind w:left="1120" w:hanging="370"/>
        <w:spacing w:after="0" w:line="256"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Increasing adoption of our products and solutions by existing customers. </w:t>
      </w:r>
      <w:r>
        <w:rPr>
          <w:rFonts w:ascii="Arial" w:cs="Arial" w:eastAsia="Arial" w:hAnsi="Arial"/>
          <w:sz w:val="18"/>
          <w:szCs w:val="18"/>
          <w:color w:val="auto"/>
        </w:rPr>
        <w:t>Our performance depends on our ability to retain and broaden</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with existing customers. Because our technology is novel, some customers begin using our platform by initiating pilot studies involving a small number of samples to gain experience with our service. As a result, historically a significant portion of our revenues has come from existing customers. We believe that our ability to convert initial pilots into larger orders from existing customers has the potential to drive substantial long-term revenue. We expect there may be some variation in the number of samples they choose to test each quarter.</w:t>
      </w:r>
    </w:p>
    <w:p>
      <w:pPr>
        <w:spacing w:after="0" w:line="146" w:lineRule="exact"/>
        <w:rPr>
          <w:rFonts w:ascii="Arial" w:cs="Arial" w:eastAsia="Arial" w:hAnsi="Arial"/>
          <w:sz w:val="18"/>
          <w:szCs w:val="18"/>
          <w:color w:val="auto"/>
        </w:rPr>
      </w:pPr>
    </w:p>
    <w:p>
      <w:pPr>
        <w:jc w:val="both"/>
        <w:ind w:left="1120" w:hanging="370"/>
        <w:spacing w:after="0" w:line="256"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Adoption of our products and solutions by new customers. </w:t>
      </w:r>
      <w:r>
        <w:rPr>
          <w:rFonts w:ascii="Arial" w:cs="Arial" w:eastAsia="Arial" w:hAnsi="Arial"/>
          <w:sz w:val="18"/>
          <w:szCs w:val="18"/>
          <w:color w:val="auto"/>
        </w:rPr>
        <w:t>While new customers initially may not account for significant revenues,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they have the potential to grow substantially over the long term as they gain confidence in our service. Our ability to engage new customers is critical to our long-term success. Our publications, posters and presentations at scientific conferences lead to engagement at the scientific level with potential customers who often make the initial decision to gain experience with our platform. Accessing these new customers through scientific engagement and marketing to gain initial buy-in is critical to our success and gives us the opportunity to demonstrate the utility of our platform.</w:t>
      </w:r>
    </w:p>
    <w:p>
      <w:pPr>
        <w:spacing w:after="0" w:line="146" w:lineRule="exact"/>
        <w:rPr>
          <w:rFonts w:ascii="Arial" w:cs="Arial" w:eastAsia="Arial" w:hAnsi="Arial"/>
          <w:sz w:val="18"/>
          <w:szCs w:val="18"/>
          <w:color w:val="auto"/>
        </w:rPr>
      </w:pPr>
    </w:p>
    <w:p>
      <w:pPr>
        <w:jc w:val="both"/>
        <w:ind w:left="1120" w:hanging="370"/>
        <w:spacing w:after="0" w:line="274" w:lineRule="auto"/>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Our revenues and costs are affected by the volume of samples we receive from customers from period to period. </w:t>
      </w:r>
      <w:r>
        <w:rPr>
          <w:rFonts w:ascii="Arial" w:cs="Arial" w:eastAsia="Arial" w:hAnsi="Arial"/>
          <w:sz w:val="17"/>
          <w:szCs w:val="17"/>
          <w:color w:val="auto"/>
        </w:rPr>
        <w:t>The timing and size</w:t>
      </w:r>
      <w:r>
        <w:rPr>
          <w:rFonts w:ascii="Arial" w:cs="Arial" w:eastAsia="Arial" w:hAnsi="Arial"/>
          <w:sz w:val="17"/>
          <w:szCs w:val="17"/>
          <w:b w:val="1"/>
          <w:bCs w:val="1"/>
          <w:color w:val="auto"/>
        </w:rPr>
        <w:t xml:space="preserve"> </w:t>
      </w:r>
      <w:r>
        <w:rPr>
          <w:rFonts w:ascii="Arial" w:cs="Arial" w:eastAsia="Arial" w:hAnsi="Arial"/>
          <w:sz w:val="17"/>
          <w:szCs w:val="17"/>
          <w:color w:val="auto"/>
        </w:rPr>
        <w:t>of sample shipments received after orders have been placed is variable. Since sample shipments can be large, and are often received from a third party, the timing of arrival can be difficult to predict over the short term. Although our long-term performance is not affected, we do see quarter-to-quarter volatility due to these factors. Samples arriving later than expected may not be processed in the quarter proposed and result in revenue the following quarter. Since many of our customers request defined turnaround times, we employ project managers to coordinate and manage the complex process from sample receipt to sequencing and delivery of results.</w:t>
      </w:r>
    </w:p>
    <w:p>
      <w:pPr>
        <w:spacing w:after="0" w:line="132" w:lineRule="exact"/>
        <w:rPr>
          <w:rFonts w:ascii="Arial" w:cs="Arial" w:eastAsia="Arial" w:hAnsi="Arial"/>
          <w:sz w:val="17"/>
          <w:szCs w:val="17"/>
          <w:color w:val="auto"/>
        </w:rPr>
      </w:pPr>
    </w:p>
    <w:p>
      <w:pPr>
        <w:jc w:val="both"/>
        <w:ind w:left="1120" w:hanging="370"/>
        <w:spacing w:after="0" w:line="273" w:lineRule="auto"/>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product innovation to support commercial growth. </w:t>
      </w:r>
      <w:r>
        <w:rPr>
          <w:rFonts w:ascii="Arial" w:cs="Arial" w:eastAsia="Arial" w:hAnsi="Arial"/>
          <w:sz w:val="17"/>
          <w:szCs w:val="17"/>
          <w:color w:val="auto"/>
        </w:rPr>
        <w:t>Investment in research and development, including the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of new products is critical to establish and maintain our leading position. In particular, we have invested in NeoantigenID, a neoantigen characterization report, ImmunogenomicsID, a broad biomarker report, and ImmunoID NeXT, our universal cancer immunogenomics platform. We are also collaborating with key opinion leaders from academic cancer centers, such as Inova Health System, Stanford Medicine, and the Parker Institute for Cancer Immunotherapy, to support the utility of our platform. We believe this work is critical to gaining customer adoption and expect our investments in these efforts to increase. We believe utility for our product may result in additional expenditures to develop and market new products, including a diagnostic or database.</w:t>
      </w:r>
    </w:p>
    <w:p>
      <w:pPr>
        <w:spacing w:after="0" w:line="131" w:lineRule="exact"/>
        <w:rPr>
          <w:rFonts w:ascii="Arial" w:cs="Arial" w:eastAsia="Arial" w:hAnsi="Arial"/>
          <w:sz w:val="17"/>
          <w:szCs w:val="17"/>
          <w:color w:val="auto"/>
        </w:rPr>
      </w:pPr>
    </w:p>
    <w:p>
      <w:pPr>
        <w:jc w:val="both"/>
        <w:ind w:left="1120" w:hanging="370"/>
        <w:spacing w:after="0" w:line="277" w:lineRule="auto"/>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operational infrastructure. </w:t>
      </w:r>
      <w:r>
        <w:rPr>
          <w:rFonts w:ascii="Arial" w:cs="Arial" w:eastAsia="Arial" w:hAnsi="Arial"/>
          <w:sz w:val="17"/>
          <w:szCs w:val="17"/>
          <w:color w:val="auto"/>
        </w:rPr>
        <w:t>We have invested significantly, and will continue to invest, in our sample processing capabilities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commercial infrastructure. With our current operating model and infrastructure, we can increase our production and commercialize new generations of our platform, but as our volumes continue to increase we will ultimately need to invest in additional production capabilities. We expect to grow our revenues and spread our costs over a larger volume of services. In addition, we may invest significant amounts in infrastructure to support new products resulting from our research and development activities.</w:t>
      </w:r>
    </w:p>
    <w:p>
      <w:pPr>
        <w:spacing w:after="0" w:line="131"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In addition to the factors described above, as our headquarters and laboratory operations are located in San Mateo County, California, our operations have been impacted by the ongoing COVID-19 pandemic. On March 16, 2020, the Health Officer of the County of San Mateo (the “Health Officer”) issued a shelter-in-place order (the “San Mateo Order”), which directed all businesses to cease non-essential operations at physical locations in the county. The San Mateo Order also directed all individuals living in the county to shelter at their place of residence with limited exceptions. The intent of the San Mateo Order is to slow the spread of COVID-19 to the maximum extent possible. The San Mateo Order became effective on March 17, 2020 and will continue to be in effect through April 7, 2020, or until it is extended, rescinded, superseded, or amended in writing by the Health Officer. Similar orders were issued in neighboring counties, including Santa Clara County, such that the substantial majority of our employees are subject to a shelter-in-place order. While the San Mateo Order allows for continued operation of so-called Essential Businesses, which includes certain critical healthcare operations and services, to comply with the San Mateo Order, we are prioritizing the fulfillment of customer orders to those related to time-sensitive healthcare projects, such as in-process clinical trials, and will fulfill other customer orders to the extent we have the ability to do so with limited laboratory staffing.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(the “California Order” and, together with the San Mateo Order, the “Orders”). Other states in the United States, including Massachusetts and New York, have followed suit by issuing orders with similar goals and restrictions.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ind w:firstLine="749"/>
        <w:spacing w:after="0" w:line="255" w:lineRule="auto"/>
        <w:rPr>
          <w:sz w:val="20"/>
          <w:szCs w:val="20"/>
          <w:color w:val="auto"/>
        </w:rPr>
      </w:pPr>
      <w:r>
        <w:rPr>
          <w:rFonts w:ascii="Arial" w:cs="Arial" w:eastAsia="Arial" w:hAnsi="Arial"/>
          <w:sz w:val="18"/>
          <w:szCs w:val="18"/>
          <w:color w:val="auto"/>
        </w:rPr>
        <w:t>Beyond the immediate impact of the Orders to our operations, the ongoing COVID-19 pandemic, the Orders, and similar orders issued by other authorities to impose restrictions intended to mitigate the impact of the COVID-19 pandemic, may disrupt our supply chain, including our ability to acquire raw materials, disrupt customer demand, reduce our ability to receive customer samples on a normal basis, disrupt our customer and vendor relationships, divert management attention, and negatively impact employee productivity due to work-from-home policies. The scope and duration of such impact is highly uncertain. We are unable to predict or quantify the impact of any potential disruption to our supply chain, changes in consumer demand, or any other actions that may become necessary as events unfold.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derive our revenues primarily from sequencing and data analysis services to support the development of next-generation cancer therapies and to support large scale genetic research programs. We support our customers by providing high-accuracy, validated genomic sequencing and advanced analytics. Many of these analytics are related to state-of-the-art biomarkers, including those relevant to immuno-oncology therapeutics such as checkpoint inhibitors.</w:t>
      </w:r>
    </w:p>
    <w:p>
      <w:pPr>
        <w:spacing w:after="0" w:line="16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revenues are primarily generated through contracts with companies in the pharmaceutical industry, healthcare organizations, and government entities. Our ability to increase our revenues will depend on our ability to further penetrate this market. To do this, we are developing a growing set of additional state-of-the-art products, advancing our operational infrastructure, building our regulatory credentials and expanding our targeted marketing efforts. Unlike diagnostic or therapeutic companies, we have not to date sought reimbursement through traditional healthcare payors. We sell through a small direct sales force.</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have one reportable segment from the sale of sequencing and data analysis services. Substantially all of our revenues to date have been derived from sales in the United States.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Costs of revenues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Costs of revenues consist of production material costs, personnel costs (salaries, bonuses, benefits, and stock-based compensation), costs of consumables, laboratory supplies, depreciation and service maintenance on capitalized equipment, and information technology (“IT”) and facility costs. We expect the costs of revenues to increase as our revenues grow, but the cost per unit of data delivered to decrease over time due to economies of scale we may gain as volume increases, automation initiatives, and other cost reductions.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Research and development expenses consist of costs incurred for the development of our products. These expenses consist primarily of payroll and personnel costs (salaries, bonuses, benefits, and stock-based compensation), costs of consumables, laboratory supplies, depreciation and service maintenance on capitalized equipment, and IT and facility costs. These expenses also include costs associated with our collaborations, which we expect to increase over time.</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expense our research and development expenses in the period in which they are incurred. We expect to increase our research and development expenses as we continue to develop new products.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Selling expenses consist of personnel costs, customer support expenses, direct marketing expenses, educational and promotional expenses, and market research. Our general and administrative expenses include costs for our executive, accounting, finance, legal, and human resources functions. These expenses consist of personnel costs, audit and legal expenses, consulting costs, and IT and facility costs. We expense all selling, general, and administrative expenses as incurred.</w:t>
      </w:r>
    </w:p>
    <w:p>
      <w:pPr>
        <w:spacing w:after="0" w:line="14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also expect general and administrative expenses will increase as we scale our operations.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jc w:val="both"/>
        <w:ind w:right="20" w:firstLine="749"/>
        <w:spacing w:after="0" w:line="342"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Interest income increased significantly in 2019 as a result of us investing proceeds from the IPO. We expect a continued higher level of interest income in 2020 for this reason.</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7"/>
          <w:szCs w:val="17"/>
          <w:color w:val="auto"/>
        </w:rPr>
        <w:t>Interest expense primarily consists of cash and non-cash interest costs related to our term loan, convertible promissory notes, revolving loan, and growth capital loan. We record costs incurred in connection with the issuance of debt as a direct deduction from the debt liability. We amortize these costs over the term of our debt agreements as interest expense in our consolidated statements of operations. After the payoff of our growth capital loan in August 2019, we no longer have any outstanding debt and have not incurred interest expense from that point forward.</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Loss on Debt Extinguishment</w:t>
      </w:r>
    </w:p>
    <w:p>
      <w:pPr>
        <w:spacing w:after="0" w:line="198"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We incurred loss on debt extinguishment in 2018 resulting from changes in the maturity dates of the convertible notes issued in 2017. We also incurred loss on debt extinguishment in 2019 upon the payoff of the growth capital loan. See Note 6 to our consolidated financial statements included elsewhere in this annual report.</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Other (Expense) Income, Net</w:t>
      </w:r>
    </w:p>
    <w:p>
      <w:pPr>
        <w:spacing w:after="0" w:line="185" w:lineRule="exact"/>
        <w:rPr>
          <w:sz w:val="20"/>
          <w:szCs w:val="20"/>
          <w:color w:val="auto"/>
        </w:rPr>
      </w:pPr>
    </w:p>
    <w:p>
      <w:pPr>
        <w:jc w:val="both"/>
        <w:ind w:right="20" w:firstLine="749"/>
        <w:spacing w:after="0" w:line="255" w:lineRule="auto"/>
        <w:rPr>
          <w:sz w:val="20"/>
          <w:szCs w:val="20"/>
          <w:color w:val="auto"/>
        </w:rPr>
      </w:pPr>
      <w:r>
        <w:rPr>
          <w:rFonts w:ascii="Arial" w:cs="Arial" w:eastAsia="Arial" w:hAnsi="Arial"/>
          <w:sz w:val="18"/>
          <w:szCs w:val="18"/>
          <w:color w:val="auto"/>
        </w:rPr>
        <w:t>Other (expense) income, net consists of changes in the fair value of the compound derivative instrument, changes in fair value of convertible preferred stock warrant liability, and foreign currency exchange gains and losses. Future periods will not include changes in fair value of the compound derivative instrument, due to extinguishment of the related convertible notes, nor will future periods include changes in fair value of convertible preferred stock warrants, due to the conversion of such warrants to common stock warrants. See Notes 6 and 10 included elsewhere in this annual report for further discussion of these two items. We expect our foreign currency gains and losses to continue to fluctuate in the future due to changes in foreign currency exchange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our consolidated statements of income data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4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65,207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37,774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9,393</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Costs and expenses</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43,127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25,969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29"/>
        </w:trPr>
        <w:tc>
          <w:tcPr>
            <w:tcW w:w="53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22,418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14,304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22,080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11,271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1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87,625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51,544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31,556</w:t>
            </w: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(22,163)</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(25,075)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(23,593)</w:t>
            </w: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5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loss</w:t>
            </w:r>
          </w:p>
        </w:tc>
        <w:tc>
          <w:tcPr>
            <w:tcW w:w="13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(25,084)</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(19,886)</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18,011,470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3,063,157</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3,031,636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revenues by customer type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Percentage change</w:t>
            </w:r>
          </w:p>
        </w:tc>
        <w:tc>
          <w:tcPr>
            <w:tcW w:w="20" w:type="dxa"/>
            <w:vAlign w:val="bottom"/>
          </w:tcPr>
          <w:p>
            <w:pPr>
              <w:spacing w:after="0"/>
              <w:rPr>
                <w:sz w:val="16"/>
                <w:szCs w:val="16"/>
                <w:color w:val="auto"/>
              </w:rPr>
            </w:pPr>
          </w:p>
        </w:tc>
      </w:tr>
      <w:tr>
        <w:trPr>
          <w:trHeight w:val="25"/>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2019 vs 2018</w:t>
            </w:r>
          </w:p>
        </w:tc>
        <w:tc>
          <w:tcPr>
            <w:tcW w:w="118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2018 vs 2017</w:t>
            </w:r>
          </w:p>
        </w:tc>
        <w:tc>
          <w:tcPr>
            <w:tcW w:w="20" w:type="dxa"/>
            <w:vAlign w:val="bottom"/>
          </w:tcPr>
          <w:p>
            <w:pPr>
              <w:spacing w:after="0"/>
              <w:rPr>
                <w:sz w:val="13"/>
                <w:szCs w:val="13"/>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 MVP</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43,545</w:t>
            </w: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18,601</w:t>
            </w: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4,318%</w:t>
            </w:r>
          </w:p>
        </w:tc>
        <w:tc>
          <w:tcPr>
            <w:tcW w:w="20" w:type="dxa"/>
            <w:vAlign w:val="bottom"/>
          </w:tcPr>
          <w:p>
            <w:pPr>
              <w:spacing w:after="0"/>
              <w:rPr>
                <w:sz w:val="19"/>
                <w:szCs w:val="19"/>
                <w:color w:val="auto"/>
              </w:rPr>
            </w:pPr>
          </w:p>
        </w:tc>
      </w:tr>
      <w:tr>
        <w:trPr>
          <w:trHeight w:val="229"/>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customers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21,662</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19,173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8,972</w:t>
            </w:r>
          </w:p>
        </w:tc>
        <w:tc>
          <w:tcPr>
            <w:tcW w:w="12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r>
      <w:tr>
        <w:trPr>
          <w:trHeight w:val="223"/>
        </w:trPr>
        <w:tc>
          <w:tcPr>
            <w:tcW w:w="5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65,207</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37,774</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9,393</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36"/>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2" w:name="page63"/>
    <w:bookmarkEnd w:id="62"/>
    <w:p>
      <w:pPr>
        <w:ind w:left="760"/>
        <w:spacing w:after="0"/>
        <w:rPr>
          <w:sz w:val="20"/>
          <w:szCs w:val="20"/>
          <w:color w:val="auto"/>
        </w:rPr>
      </w:pPr>
      <w:r>
        <w:rPr>
          <w:rFonts w:ascii="Arial" w:cs="Arial" w:eastAsia="Arial" w:hAnsi="Arial"/>
          <w:sz w:val="18"/>
          <w:szCs w:val="18"/>
          <w:color w:val="auto"/>
        </w:rPr>
        <w:t>The following table shows our concentration of revenues by customer:</w:t>
      </w:r>
    </w:p>
    <w:p>
      <w:pPr>
        <w:spacing w:after="0" w:line="298"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20" w:type="dxa"/>
            <w:vAlign w:val="bottom"/>
            <w:gridSpan w:val="2"/>
          </w:tcPr>
          <w:p>
            <w:pPr>
              <w:spacing w:after="0"/>
              <w:rPr>
                <w:sz w:val="13"/>
                <w:szCs w:val="13"/>
                <w:color w:val="auto"/>
              </w:rPr>
            </w:pPr>
          </w:p>
        </w:tc>
        <w:tc>
          <w:tcPr>
            <w:tcW w:w="94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2019</w:t>
            </w:r>
          </w:p>
        </w:tc>
        <w:tc>
          <w:tcPr>
            <w:tcW w:w="1620" w:type="dxa"/>
            <w:vAlign w:val="bottom"/>
            <w:tcBorders>
              <w:top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2017</w:t>
            </w:r>
          </w:p>
        </w:tc>
      </w:tr>
      <w:tr>
        <w:trPr>
          <w:trHeight w:val="223"/>
        </w:trPr>
        <w:tc>
          <w:tcPr>
            <w:tcW w:w="6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VA MVP</w:t>
            </w:r>
          </w:p>
        </w:tc>
        <w:tc>
          <w:tcPr>
            <w:tcW w:w="9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gridSpan w:val="3"/>
          </w:tcPr>
          <w:p>
            <w:pPr>
              <w:spacing w:after="0"/>
              <w:rPr>
                <w:sz w:val="20"/>
                <w:szCs w:val="20"/>
                <w:color w:val="auto"/>
              </w:rPr>
            </w:pPr>
            <w:r>
              <w:rPr>
                <w:rFonts w:ascii="Arial" w:cs="Arial" w:eastAsia="Arial" w:hAnsi="Arial"/>
                <w:sz w:val="18"/>
                <w:szCs w:val="18"/>
                <w:color w:val="auto"/>
              </w:rPr>
              <w:t>Pfizer Inc.</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Merck &amp; Co., Inc.</w:t>
            </w:r>
          </w:p>
        </w:tc>
        <w:tc>
          <w:tcPr>
            <w:tcW w:w="5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460" w:type="dxa"/>
            <w:vAlign w:val="bottom"/>
            <w:gridSpan w:val="3"/>
          </w:tcPr>
          <w:p>
            <w:pPr>
              <w:spacing w:after="0"/>
              <w:rPr>
                <w:sz w:val="20"/>
                <w:szCs w:val="20"/>
                <w:color w:val="auto"/>
              </w:rPr>
            </w:pPr>
            <w:r>
              <w:rPr>
                <w:rFonts w:ascii="Arial" w:cs="Arial" w:eastAsia="Arial" w:hAnsi="Arial"/>
                <w:sz w:val="18"/>
                <w:szCs w:val="18"/>
                <w:color w:val="auto"/>
              </w:rPr>
              <w:t>Customer A</w:t>
            </w:r>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Customer B</w:t>
            </w:r>
          </w:p>
        </w:tc>
        <w:tc>
          <w:tcPr>
            <w:tcW w:w="5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176"/>
        </w:trPr>
        <w:tc>
          <w:tcPr>
            <w:tcW w:w="6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 Less than 10% of revenues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VA MVP</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increase in 2019 revenues from the VA MVP was driven by an increase in the volume of samples we tested in the period, partially offset by lower prices per sample.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All Other Customers</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increase in 2019 revenues from all other customers was primarily due to an increase in the volume of samples we tested in relation to the sequencing and data analysis services we provided to our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Percentage change</w:t>
            </w:r>
          </w:p>
        </w:tc>
      </w:tr>
      <w:tr>
        <w:trPr>
          <w:trHeight w:val="223"/>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right="27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2019 vs 2018</w:t>
            </w:r>
          </w:p>
        </w:tc>
        <w:tc>
          <w:tcPr>
            <w:tcW w:w="11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 vs 2017</w:t>
            </w:r>
          </w:p>
        </w:tc>
      </w:tr>
      <w:tr>
        <w:trPr>
          <w:trHeight w:val="156"/>
        </w:trPr>
        <w:tc>
          <w:tcPr>
            <w:tcW w:w="51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80" w:type="dxa"/>
            <w:vAlign w:val="bottom"/>
            <w:tcBorders>
              <w:top w:val="single" w:sz="8" w:color="auto"/>
              <w:bottom w:val="single" w:sz="8" w:color="CFF0FC"/>
            </w:tcBorders>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Costs of revenues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43,127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25,969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11,736</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22,418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9,919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22,080</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11,271</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9,901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5140" w:type="dxa"/>
            <w:vAlign w:val="bottom"/>
          </w:tcPr>
          <w:p>
            <w:pPr>
              <w:ind w:left="2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87,625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51,544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31,556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Costs of revenues</w:t>
      </w:r>
    </w:p>
    <w:p>
      <w:pPr>
        <w:spacing w:after="0" w:line="198"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increase in 2019 was primarily due to the increase in revenues discussed above. The cost components related to the increase in costs of revenues were an $11.7 million increase in production materials, a $2.2 million increase related to personnel costs including salaries, bonuses, benefits, and stock-based compensation expenses, a $1.6 million increase in depreciation and service maintenance on capitalized equipment, a $0.5 million increase in the consumption cost of consumables and laboratory supplies, a $0.9 million increase in IT and facility costs, and a $0.3 million increase in other costs.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w:t>
      </w:r>
    </w:p>
    <w:p>
      <w:pPr>
        <w:spacing w:after="0" w:line="18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increase in 2019 was primarily due to increased development activities for new product offerings, lab and automation development costs, and IT and facility costs. Research and development expenses increased due to an increase of $4.0 million in personnel-related expenses, including salaries, bonuses, benefits, and stock-based compensation expenses, a $2.8 million increase in laboratory and automation supplies consumed, a $1.2 million increase in depreciation, service maintenance on capitalized equipment, and cost of expensed equipment, and $0.2 million increase in other costs.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8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increase in 2019 was due to a $7.3 million increase in personnel-related expenses including salaries, bonuses, benefits, and stock-based compensation expenses primarily related to increased headcount, a $3.0 million increase in professional services primarily related to public company-related costs (including corporate insurance, audit fees, and legal expenses), and a $0.5 million increase in other costs.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Interest income, interest expense, and loss on debt extinguishment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Percentage change</w:t>
            </w:r>
          </w:p>
        </w:tc>
      </w:tr>
      <w:tr>
        <w:trPr>
          <w:trHeight w:val="223"/>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right="25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2019 vs 2018</w:t>
            </w:r>
          </w:p>
        </w:tc>
        <w:tc>
          <w:tcPr>
            <w:tcW w:w="11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2018 vs 2017</w:t>
            </w:r>
          </w:p>
        </w:tc>
      </w:tr>
      <w:tr>
        <w:trPr>
          <w:trHeight w:val="155"/>
        </w:trPr>
        <w:tc>
          <w:tcPr>
            <w:tcW w:w="50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80" w:type="dxa"/>
            <w:vAlign w:val="bottom"/>
            <w:tcBorders>
              <w:top w:val="single" w:sz="8" w:color="auto"/>
              <w:bottom w:val="single" w:sz="8" w:color="CFF0FC"/>
            </w:tcBorders>
          </w:tcPr>
          <w:p>
            <w:pPr>
              <w:spacing w:after="0"/>
              <w:rPr>
                <w:sz w:val="13"/>
                <w:szCs w:val="13"/>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NM</w:t>
            </w:r>
          </w:p>
        </w:tc>
      </w:tr>
      <w:tr>
        <w:trPr>
          <w:trHeight w:val="209"/>
        </w:trPr>
        <w:tc>
          <w:tcPr>
            <w:tcW w:w="5080" w:type="dxa"/>
            <w:vAlign w:val="bottom"/>
          </w:tcPr>
          <w:p>
            <w:pPr>
              <w:ind w:left="260"/>
              <w:spacing w:after="0"/>
              <w:rPr>
                <w:sz w:val="20"/>
                <w:szCs w:val="20"/>
                <w:color w:val="auto"/>
              </w:rPr>
            </w:pPr>
            <w:r>
              <w:rPr>
                <w:rFonts w:ascii="Arial" w:cs="Arial" w:eastAsia="Arial" w:hAnsi="Arial"/>
                <w:sz w:val="18"/>
                <w:szCs w:val="18"/>
                <w:color w:val="auto"/>
              </w:rPr>
              <w:t>Total interest income, interest expense and loss on debt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extinguishment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increase in 2019 was due to investments of proceeds from our IPO.</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color w:val="auto"/>
        </w:rPr>
        <w:t>The lower interest expense in 2019 was due to the repayment of the $20 million growth capital loan in August 2019, which resulted in no further outstanding debt for the remainder of the year, as well as 2018 including significant interest expense from the Convertible Notes and Revolving Loan.</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Loss on debt extinguishment</w:t>
      </w:r>
    </w:p>
    <w:p>
      <w:pPr>
        <w:spacing w:after="0" w:line="185"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The $1.7 million loss on debt extinguishment in 2019 resulted from the extinguishment of our $20 million Growth Capital Loan facility. The $4.7 million loss on debt extinguishment in 2018 resulted from changes in the maturity dates of the Convertible Notes issues in 2017.</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Change $</w:t>
            </w:r>
          </w:p>
        </w:tc>
      </w:tr>
      <w:tr>
        <w:trPr>
          <w:trHeight w:val="223"/>
        </w:trPr>
        <w:tc>
          <w:tcPr>
            <w:tcW w:w="4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2019 vs 2018</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8"/>
              </w:rPr>
              <w:t>2018 vs 2017</w:t>
            </w:r>
          </w:p>
        </w:tc>
      </w:tr>
      <w:tr>
        <w:trPr>
          <w:trHeight w:val="155"/>
        </w:trPr>
        <w:tc>
          <w:tcPr>
            <w:tcW w:w="480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74"/>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w w:val="99"/>
              </w:rPr>
              <w:t>Changes in fair values of warrants for Series B and Series C</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w w:val="99"/>
              </w:rPr>
              <w:t>Changes in fair value of the compound derivative instrument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736</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800" w:type="dxa"/>
            <w:vAlign w:val="bottom"/>
          </w:tcPr>
          <w:p>
            <w:pPr>
              <w:ind w:left="260"/>
              <w:spacing w:after="0"/>
              <w:rPr>
                <w:sz w:val="20"/>
                <w:szCs w:val="20"/>
                <w:color w:val="auto"/>
              </w:rPr>
            </w:pPr>
            <w:r>
              <w:rPr>
                <w:rFonts w:ascii="Arial" w:cs="Arial" w:eastAsia="Arial" w:hAnsi="Arial"/>
                <w:sz w:val="18"/>
                <w:szCs w:val="18"/>
                <w:color w:val="auto"/>
              </w:rPr>
              <w:t>Total other (expenses) income, net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377</w:t>
            </w:r>
          </w:p>
        </w:tc>
      </w:tr>
      <w:tr>
        <w:trPr>
          <w:trHeight w:val="20"/>
        </w:trPr>
        <w:tc>
          <w:tcPr>
            <w:tcW w:w="4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Other expenses, net in 2019 were primarily comprised of a $1.4 million increase in the fair values of warrants for Series B and Series C redeemable convertible preferred stock. Other income, net in 2018 was primarily comprised of a $0.6 million decrease in fair value of the compound derivative instrument, partially offset by a $0.4 million increase in the fair values of warrants for Series B and Series C redeemable convertible preferred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table presents selected financial information and statistics as of and for the years ended December 31, 2019, 2018, and 2017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7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74"/>
              <w:spacing w:after="0" w:line="155" w:lineRule="exact"/>
              <w:rPr>
                <w:sz w:val="20"/>
                <w:szCs w:val="20"/>
                <w:color w:val="auto"/>
              </w:rPr>
            </w:pPr>
            <w:r>
              <w:rPr>
                <w:rFonts w:ascii="Arial" w:cs="Arial" w:eastAsia="Arial" w:hAnsi="Arial"/>
                <w:sz w:val="14"/>
                <w:szCs w:val="14"/>
                <w:b w:val="1"/>
                <w:bCs w:val="1"/>
                <w:color w:val="auto"/>
                <w:w w:val="89"/>
              </w:rPr>
              <w:t>2018</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r>
      <w:tr>
        <w:trPr>
          <w:trHeight w:val="155"/>
        </w:trPr>
        <w:tc>
          <w:tcPr>
            <w:tcW w:w="474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54"/>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short-term investments</w:t>
            </w: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128,289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19,744</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22,617</w:t>
            </w:r>
          </w:p>
        </w:tc>
        <w:tc>
          <w:tcPr>
            <w:tcW w:w="20" w:type="dxa"/>
            <w:vAlign w:val="bottom"/>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14,106</w:t>
            </w:r>
          </w:p>
        </w:tc>
        <w:tc>
          <w:tcPr>
            <w:tcW w:w="320" w:type="dxa"/>
            <w:vAlign w:val="bottom"/>
          </w:tcPr>
          <w:p>
            <w:pPr>
              <w:spacing w:after="0"/>
              <w:rPr>
                <w:sz w:val="19"/>
                <w:szCs w:val="19"/>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11,452</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6,342</w:t>
            </w:r>
          </w:p>
        </w:tc>
        <w:tc>
          <w:tcPr>
            <w:tcW w:w="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35,977</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42,897</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24,690</w:t>
            </w:r>
          </w:p>
        </w:tc>
        <w:tc>
          <w:tcPr>
            <w:tcW w:w="20" w:type="dxa"/>
            <w:vAlign w:val="bottom"/>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Total debt</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4,996</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17,506</w:t>
            </w:r>
          </w:p>
        </w:tc>
        <w:tc>
          <w:tcPr>
            <w:tcW w:w="2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89,616</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(28,291)</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(22,262)</w:t>
            </w:r>
          </w:p>
        </w:tc>
        <w:tc>
          <w:tcPr>
            <w:tcW w:w="20" w:type="dxa"/>
            <w:vAlign w:val="bottom"/>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Cash (used in) provided by operating activities</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(18,069)</w:t>
            </w:r>
          </w:p>
        </w:tc>
        <w:tc>
          <w:tcPr>
            <w:tcW w:w="320" w:type="dxa"/>
            <w:vAlign w:val="bottom"/>
          </w:tcPr>
          <w:p>
            <w:pPr>
              <w:spacing w:after="0"/>
              <w:rPr>
                <w:sz w:val="19"/>
                <w:szCs w:val="19"/>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5,572</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Cash used in investing activities</w:t>
            </w: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(81,579)</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(7,852)</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20" w:type="dxa"/>
            <w:vAlign w:val="bottom"/>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Cash provided by (used in) financing activities</w:t>
            </w: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134,948</w:t>
            </w:r>
          </w:p>
        </w:tc>
        <w:tc>
          <w:tcPr>
            <w:tcW w:w="3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(591)</w:t>
            </w:r>
          </w:p>
        </w:tc>
        <w:tc>
          <w:tcPr>
            <w:tcW w:w="3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16,404</w:t>
            </w:r>
          </w:p>
        </w:tc>
        <w:tc>
          <w:tcPr>
            <w:tcW w:w="20" w:type="dxa"/>
            <w:vAlign w:val="bottom"/>
          </w:tcPr>
          <w:p>
            <w:pPr>
              <w:spacing w:after="0"/>
              <w:rPr>
                <w:sz w:val="20"/>
                <w:szCs w:val="20"/>
                <w:color w:val="auto"/>
              </w:rPr>
            </w:pPr>
          </w:p>
        </w:tc>
      </w:tr>
      <w:tr>
        <w:trPr>
          <w:trHeight w:val="431"/>
        </w:trPr>
        <w:tc>
          <w:tcPr>
            <w:tcW w:w="4740" w:type="dxa"/>
            <w:vAlign w:val="bottom"/>
          </w:tcPr>
          <w:p>
            <w:pPr>
              <w:spacing w:after="0"/>
              <w:rPr>
                <w:sz w:val="24"/>
                <w:szCs w:val="24"/>
                <w:color w:val="auto"/>
              </w:rPr>
            </w:pPr>
          </w:p>
        </w:tc>
        <w:tc>
          <w:tcPr>
            <w:tcW w:w="1920" w:type="dxa"/>
            <w:vAlign w:val="bottom"/>
          </w:tcPr>
          <w:p>
            <w:pPr>
              <w:jc w:val="right"/>
              <w:ind w:right="85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4" w:name="page65"/>
    <w:bookmarkEnd w:id="64"/>
    <w:p>
      <w:pPr>
        <w:jc w:val="both"/>
        <w:ind w:firstLine="749"/>
        <w:spacing w:after="0" w:line="259" w:lineRule="auto"/>
        <w:rPr>
          <w:sz w:val="20"/>
          <w:szCs w:val="20"/>
          <w:color w:val="auto"/>
        </w:rPr>
      </w:pPr>
      <w:r>
        <w:rPr>
          <w:rFonts w:ascii="Arial" w:cs="Arial" w:eastAsia="Arial" w:hAnsi="Arial"/>
          <w:sz w:val="18"/>
          <w:szCs w:val="18"/>
          <w:color w:val="auto"/>
        </w:rPr>
        <w:t>From our inception through December 31, 2019, we have funded our operations primarily from $144.0 million in net proceeds from our initial public offering in June 2019 and $89.6 million from issuance of redeemable convertible preferred stock, as well as cash from operations and debt financing. On March 22, 2019, we received $20.0 million in gross cash proceeds from a growth capital loan. As of December 31, 2019, we had cash and cash equivalents in the amount of $55.0 million.</w:t>
      </w:r>
    </w:p>
    <w:p>
      <w:pPr>
        <w:spacing w:after="0" w:line="146"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We have incurred net losses since our inception. We anticipate that our current cash and cash equivalents and marketable securities, together with cash provided by operating activities are sufficient to fund our near-term capital and operating needs for at least the next 12 months.</w:t>
      </w:r>
    </w:p>
    <w:p>
      <w:pPr>
        <w:spacing w:after="0" w:line="14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We have based these future funding requirements on assumptions that may prove to be wrong, and we could utilize our available capital resources sooner than we expect. If our available cash balances, net proceeds from the offering and anticipated cash flow from operations are insufficient to satisfy our liquidity requirements including because of lower demand for our services or other risks described in this annual report, we may seek to sell additional common or preferred equity or convertible debt securities, enter into an additional credit facility or another form of third-party funding or seek other debt financing.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6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On March 22, 2019, we entered into a growth capital loan (the “Growth Capital Loan”) with TriplePoint to provide for a $20.0 million growth capital loan facility and as of June 30, 2019, had drawn down the full $20.0 million available under the facility. We used $5.1 million of the Growth Capital Loan to repay, in its entirety, all amounts outstanding under the Revolving Loan. Borrowings under the Growth Capital Loan bore interest at a floating rate of prime, plus 5.00%, for borrowings up to $15.0 million and the prime rate plus 6.50% for borrowings greater than $15.0 million. Under the agreement, we were required to make monthly interest-only payments through April 1, 2020 and required to make 36 equal monthly payments of principal, plus accrued interest, from April 1, 2020 through March 1, 2023, when all unpaid principal and interest was to become due and payable. The agreement allowed voluntary prepayment of all, but not part, of the outstanding principal at any time prior to the maturity date, subject to a prepayment fee of 1.00% of the outstanding balance if prepaid in months one through 12 of the loan term. In addition to the final payment, we paid an amount equal to 2.75% of each principal amount drawn under this growth capital loan facility.</w:t>
      </w:r>
    </w:p>
    <w:p>
      <w:pPr>
        <w:spacing w:after="0" w:line="14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connection with the Growth Capital Loan, we issued a warrant to purchase 65,502 shares of common stock to TriplePoint at an exercise price of $9.16 per share exercisable for seven years from March 22, 2019. We recorded the issuance-date fair value of the warrant of $0.6 million and fees paid to TriplePoint of $0.3 million as a debt discount, which was amortized over the term of the Growth Capital Loan using the effective interest method. Upon issuance, the Growth Capital Loan had an effective interest rate of 15.23% per year. Interest expense for the year ended December 31, 2019 was $1.0 million.</w:t>
      </w:r>
    </w:p>
    <w:p>
      <w:pPr>
        <w:spacing w:after="0" w:line="147"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On August 14, 2019, we paid off the Growth Capital Loan in its entirety and recorded a $1.7 million loss on extinguishment of debt in the consolidated statements of operations.</w:t>
      </w:r>
    </w:p>
    <w:p>
      <w:pPr>
        <w:spacing w:after="0" w:line="143"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8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During 2019, cash used by operating activities of $18.1 million was a result of $25.1 million of net loss and the net negative change in operating assets and liabilities of $7.3 million, partially offset by non-cash negative adjustments to net income of $14.3 million.</w:t>
      </w:r>
    </w:p>
    <w:p>
      <w:pPr>
        <w:spacing w:after="0" w:line="13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Cash used by investing activities of $81.6 million during 2019 consisted of purchases of available-for-sale debt securities, net of maturities and sales, of $73.2 million, and cash used to acquire property and equipment of $8.4 million.</w:t>
      </w:r>
    </w:p>
    <w:p>
      <w:pPr>
        <w:spacing w:after="0" w:line="14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Cash provided by financing activities of $134.9 million during 2019 consisted primarily of $139.8 million of proceeds from initial public offering, net of underwriting discounts and commissions, $1.4 million of proceeds from issuance of common stock under employee stock plans, and net proceeds from the issuance of a Growth Capital Loan of $20.0 million, partially offset by cash used to repay a revolving loan and issue and repay the Growth Capital Loan of $26.3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Investments in property and equipment</w:t>
      </w:r>
    </w:p>
    <w:p>
      <w:pPr>
        <w:spacing w:after="0" w:line="1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Company’s capital expenditures were $8.4 million during 2019, which was primarily related to the acquisition of property and equipment used for our sequencing and data analysis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We previously entered into various forms of convertible debt and revolving loans to finance our operations prior to our IPO. After our IPO, we paid off all remaining debt and now have zero outstanding debt balances as of 2019.</w:t>
      </w:r>
    </w:p>
    <w:p>
      <w:pPr>
        <w:spacing w:after="0" w:line="143"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Further information regarding the Company’s debt issuances can be found in Part II, Item 8 of this Form 10-K in the Notes to Consolidated Financial Statements in Note 6, “Borrowings.”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“smaller reporting company”, we are not required to provide this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did not have any off-balance sheet arrangements as of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Our consolidated financial statements are prepared in accordance with U.S. GAAP. The preparation of these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the accounting policies discussed below have the greatest potential impact on our consolidated financial statements. Therefore, we consider these to be our critical accounting policies and estimates.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Adoption of ASC Topic 606, “Revenue from Contracts with Customers”</w:t>
      </w:r>
    </w:p>
    <w:p>
      <w:pPr>
        <w:spacing w:after="0" w:line="185"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On January 1, 2017, we early adopted the new accounting standard ASC Topic 606 using the full retrospective method. Results for reporting periods beginning after January 1, 2017, are presented under ASC Topic 606. The impact of adopting ASC Topic 606 was not material on our consolidated financial statements.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Revenue Recognition</w:t>
      </w:r>
    </w:p>
    <w:p>
      <w:pPr>
        <w:spacing w:after="0" w:line="1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generate our revenues from selling sequencing and data analysis services. We agree to provide services to our customers through a contract, which may be in the form of a combination of a signed agreement, statement of work and/or a purchase order.</w:t>
      </w:r>
    </w:p>
    <w:p>
      <w:pPr>
        <w:spacing w:after="0" w:line="13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Upon adoption of ASC Topic 606, we have evaluated the performance obligations contained in contracts with customers to determine whether any of the performance obligations are distinct, such that the customers can benefit from the obligations on their own, and whether the obligations can be separately identifiable from other obligations in the contract. For all of our contracts to date, the customer orders a specified quantity of a sequencing; therefore, the delivery of the ordered quantity per the purchase order is accounted for as one performance obligation. Our contracts include only one performance obligation—the delivery of the sequencing and data analysis services to the customer.</w:t>
      </w:r>
    </w:p>
    <w:p>
      <w:pPr>
        <w:spacing w:after="0" w:line="136"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Fees for our sequencing and data analysis services are predominantly based on a fixed price per sample. The fixed prices identified in the arrangements only change if a pricing amendment is agreed with a customer. In limited cases we provide our customers a discount if samples received are above a certain volume are purchased. In such cases, the discount applies prospectively. We have analyzed such discounts if they represent a material right provided to a customer. We have concluded that such discounts do not represent a material right provided to a customer since they are not deemed to be incremental to the pricing offered to the customer, or are not enforceable options to acquire additional goods. As a result, these discounts do not constitute a material right and do not meet the definition of a separate performance obligation. We do not offer retrospective discounts or rebates. Accordingly, all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the transaction price, net of any discounts, is allocated to one performance obligation. Therefore, upon delivery of the services, there are no remaining performance obligations.</w:t>
      </w:r>
    </w:p>
    <w:p>
      <w:pPr>
        <w:spacing w:after="0" w:line="14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Contracts that contain multiple distinct performance obligations would require an allocation of the transaction price to each performance obligation based on a relative stand-alone selling price basis. Sometimes we deliver sequencing results in two or more batches; however, since the quantity delivered per batch of each individual test per sales order in these instances is in the same ratio as in the original sales order, allocating the transaction price on a relative stand-alone selling price basis would have no impact on the revenue recognized in any period presented.</w:t>
      </w:r>
    </w:p>
    <w:p>
      <w:pPr>
        <w:spacing w:after="0" w:line="13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recognize revenue when control of the promised services is transferred to our customers. Management applies judgment in evaluating when a customer obtains control of the promised service, which is when the sequencing and data analysis service results are delivered to customers, at an amount that reflects the consideration to which we expect to be entitled to in exchange for those services. Revenue is recorded net of sales or other transaction taxes collected from clients and remitted to taxing authorities.</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 customer contract liability will arise when we have received payments from its customers in advance, but has not yet provided genome and exome sequencing and data analysis services to a customer and satisfied its performance obligations. We record a customer contract liability for performance obligations outstanding related to payments received in advance for customer deposits. We expect to satisfy these remaining performance obligations and recognize the related revenues upon providing sequencing and data analysis services.</w:t>
      </w:r>
    </w:p>
    <w:p>
      <w:pPr>
        <w:spacing w:after="0" w:line="16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All of our revenues and trade receivables are generated from contracts with customers and substantially all of our revenues are derived from U.S. domestic operations. The following section describes the accounting policies that we believe have significant judgment, or changes in judgment, as a result of adopting ASC Topic 606.</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Payment Terms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Payment terms and conditions vary by contract and customer. Our standard payment terms are typically less than 90 days from the date of invoice. In instances where the timing of our revenue recognition differs from the timing of its invoicing, we have determined that our contracts do not include a significant financing component. The primary purposes of our invoicing terms are to provide customers with simplified and predictable ways of purchasing our services and provide payment protection for us.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Convertible Preferred Stock Warrants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accounted for warrants to purchase shares of our redeemable convertible preferred stock as liabilities at their estimated fair value because the warrants may have obligated us to transfer assets to the holders at a future date upon a deemed liquidation event. The warrants were recorded at fair value upon issuance and were subject to remeasurement to fair value at each period end, with any fair value adjustments recognized in the consolidated statements of operations and comprehensive loss. We adjusted the warrant liability for changes in fair value until the conversion of redeemable convertible preferred stock into common stock.</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Our common stock warrants are classified as equity as they meet all criteria for equity classification. The common stock warrants were recorded at fair value upon issuance, or conversion to common stock warrants in the case of our convertible preferred stock warrants, as additional paid-in-capital in the consolidated balance sheets. The common stock warrants are not subsequently remeasured.</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 xml:space="preserve">We evaluate and account for conversion options embedded in convertible instruments in accordance with ASC Topic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 Applicable GAAP requires companies to bifurcate conversion options from their host instruments and account for them as freestanding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account for stock-based compensation arrangements with employees, using a fair value-based method, for costs related to all stock-based payments including stock options and stock awards. Our determination of the fair value of stock options on the date of grant utilizes the Black-Scholes option-pricing model.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7" w:name="page68"/>
    <w:bookmarkEnd w:id="67"/>
    <w:p>
      <w:pPr>
        <w:jc w:val="both"/>
        <w:ind w:firstLine="749"/>
        <w:spacing w:after="0" w:line="277" w:lineRule="auto"/>
        <w:rPr>
          <w:sz w:val="20"/>
          <w:szCs w:val="20"/>
          <w:color w:val="auto"/>
        </w:rPr>
      </w:pPr>
      <w:r>
        <w:rPr>
          <w:rFonts w:ascii="Arial" w:cs="Arial" w:eastAsia="Arial" w:hAnsi="Arial"/>
          <w:sz w:val="18"/>
          <w:szCs w:val="18"/>
          <w:color w:val="auto"/>
        </w:rPr>
        <w:t>The fair value of the option granted is recognized over the period during which an optionee is required to provide services in exchange for the option award, known as the requisite service period which usually is the vesting period, on a straight-line basis.</w:t>
      </w:r>
    </w:p>
    <w:p>
      <w:pPr>
        <w:spacing w:after="0" w:line="143"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Estimating the fair value of equity-settled awards as of the grant date using valuation models, such as the Black-Scholes option-pricing model, is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w:t>
      </w:r>
    </w:p>
    <w:p>
      <w:pPr>
        <w:spacing w:after="0" w:line="108" w:lineRule="exact"/>
        <w:rPr>
          <w:sz w:val="20"/>
          <w:szCs w:val="20"/>
          <w:color w:val="auto"/>
        </w:rPr>
      </w:pPr>
    </w:p>
    <w:p>
      <w:pPr>
        <w:jc w:val="both"/>
        <w:ind w:left="1120" w:hanging="370"/>
        <w:spacing w:after="0" w:line="263"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assumption represents the weighted-average period that the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We have elected to use the “simplified method” for estimating the expected term of the options, whereby the expected term equals the arithmetic average of the vesting term and the original contractual term of the option.</w:t>
      </w:r>
    </w:p>
    <w:p>
      <w:pPr>
        <w:spacing w:after="0" w:line="143"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all stock options granted to date, the volatility data was estimated based on a study of publicly traded industry peer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purposes of identifying these peer companies, we considered the industry, stage of development, size, and financial leverage of potential comparable companies.</w:t>
      </w:r>
    </w:p>
    <w:p>
      <w:pPr>
        <w:spacing w:after="0" w:line="143"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Black-Scholes option-pricing valuation model calls for a single expected dividend yield as an input. We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have no history or expectation of paying cash dividends on our common stock.</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available on U.S. Treasury zero-coupon issues similar in duration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term of the equity-settled award.</w:t>
      </w:r>
    </w:p>
    <w:p>
      <w:pPr>
        <w:spacing w:after="0" w:line="13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estimated the fair value of the time-based employee stock options using the Black-Scholes option-pricing model based on the date of grant with the following assumptions: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Common Stock Valuations</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estimated fair value of the common stock underlying our stock options was determined at each grant date by our board of directors, with input from management. All options to purchase shares of our common stock are intended to be exercisable at a price per share not less than the per-share fair value of our common stock underlying those options on the date of grant.</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the absence of a public trading market for our common stock prior to our IPO, on each grant date, we developed an estimate of the fair value of our common stock based on the information known to us on the date of grant, upon a review of any recent events and their potential impact on the estimated fair value per share of the common stock, and in part on input from an independent third-party valuation firm. As provided in Section 409A of the U.S. Internal Revenue Code of 1986, as amended (the “Code”), we generally relied on our valuations for up to 12 months unless we experienced a material event that would have affected the estimated fair value per common share.</w:t>
      </w:r>
    </w:p>
    <w:p>
      <w:pPr>
        <w:spacing w:after="0" w:line="14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 xml:space="preserve">Our valuations of our common stock were determined in accordance with the guidelines outlined in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(the “Practice Aid”). The methodology to determine the fair value of our common stock included estimating the fair value of the enterprise using the “backsolve” method, which estimates the fair value of our company by reference to the value and preferences of our last round of financing, as well as our capitalization.</w:t>
      </w:r>
    </w:p>
    <w:p>
      <w:pPr>
        <w:spacing w:after="0" w:line="14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assumptions used to determine the estimated fair value of our common stock were based on numerous objective and subjective factors, combined with management’s judgment, including external market conditions affecting the pharmaceutical and biotechnology industry and trends within the industry:</w:t>
      </w:r>
    </w:p>
    <w:p>
      <w:pPr>
        <w:spacing w:after="0" w:line="143" w:lineRule="exact"/>
        <w:rPr>
          <w:sz w:val="20"/>
          <w:szCs w:val="20"/>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prices at which we sold shares of our redeemable convertible preferred stock;</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financial condition and operating results, including our levels of available capital resources;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our stage of development, and business strategy;</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U.S. market conditions and the lack of marketability of our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8" w:name="page69"/>
    <w:bookmarkEnd w:id="68"/>
    <w:p>
      <w:pPr>
        <w:ind w:firstLine="749"/>
        <w:spacing w:after="0" w:line="308"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19" w:lineRule="exact"/>
        <w:rPr>
          <w:sz w:val="20"/>
          <w:szCs w:val="20"/>
          <w:color w:val="auto"/>
        </w:rPr>
      </w:pPr>
    </w:p>
    <w:p>
      <w:pPr>
        <w:jc w:val="both"/>
        <w:ind w:left="1120" w:hanging="370"/>
        <w:spacing w:after="0" w:line="254"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 The income approach attempts to value an asset or security by estimating the present value of the future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it is expected to produce. These benefits can include earnings, cost savings, tax deductions, and disposition proceeds from the asset. An indication of value may be developed in this approach by discounting expected cash flows to their present value at a rate of return that incorporates the risk-free rate for the use of funds, the expected rate of inflation over the asset’s holding period, and the risks associated with realizing the cash flows in the amounts and at the times projected. The discount rate selected is typically based on rates of return available from alternative investments of similar type and quality as of the valuation date. The most commonly employed income approach to valuation is the discounted cash flow analysis.</w:t>
      </w:r>
    </w:p>
    <w:p>
      <w:pPr>
        <w:spacing w:after="0" w:line="154" w:lineRule="exact"/>
        <w:rPr>
          <w:rFonts w:ascii="Arial" w:cs="Arial" w:eastAsia="Arial" w:hAnsi="Arial"/>
          <w:sz w:val="18"/>
          <w:szCs w:val="18"/>
          <w:color w:val="auto"/>
        </w:rPr>
      </w:pPr>
    </w:p>
    <w:p>
      <w:pPr>
        <w:jc w:val="both"/>
        <w:ind w:left="1120" w:hanging="370"/>
        <w:spacing w:after="0" w:line="296" w:lineRule="auto"/>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Market Approach</w:t>
      </w:r>
      <w:r>
        <w:rPr>
          <w:rFonts w:ascii="Arial" w:cs="Arial" w:eastAsia="Arial" w:hAnsi="Arial"/>
          <w:sz w:val="16"/>
          <w:szCs w:val="16"/>
          <w:color w:val="auto"/>
        </w:rPr>
        <w:t>. The market approach attempts to value an asset or security by examining observable market values for similar assets or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Sales and offering prices for comparable assets are adjusted to reflect differences between the asset being valued and the comparable assets, such as, location, time and terms of sale, utility, and physical characteristics. When applied to the valuation of equity, the analysis may include consideration of the financial condition and operating performance of the company being valued relative to those of publicly traded companies or to those of companies acquired in a single transaction, which operate in the same or similar lines of business.</w:t>
      </w:r>
    </w:p>
    <w:p>
      <w:pPr>
        <w:spacing w:after="0" w:line="120" w:lineRule="exact"/>
        <w:rPr>
          <w:rFonts w:ascii="Arial" w:cs="Arial" w:eastAsia="Arial" w:hAnsi="Arial"/>
          <w:sz w:val="16"/>
          <w:szCs w:val="16"/>
          <w:color w:val="auto"/>
        </w:rPr>
      </w:pPr>
    </w:p>
    <w:p>
      <w:pPr>
        <w:jc w:val="both"/>
        <w:ind w:left="1120" w:hanging="370"/>
        <w:spacing w:after="0" w:line="254"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 The cost approach to valuation is based upon the concept of replacement cost as an indicator of value and the notion that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 would pay no more for an asset than what it would cost to replace the asset with one of equal utility. The cost approach estimates value based upon the estimated cost of replacing or reproducing the asset, less adjustments for physical deterioration and functional obsolescence, if relevant. When applied to an enterprise, a type of cost approach referred to as the Net Asset Method is sometimes employed. This method measures the value of equity as the sum of the values of its assets reduced by the sum of the values of its liabilities. The resulting equity is reflective of a 100% ownership interest in the business. This approach is frequently used in valuing holding companies.</w:t>
      </w:r>
    </w:p>
    <w:p>
      <w:pPr>
        <w:spacing w:after="0" w:line="15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Based on our early stage of development and other relevant factors, we considered all three approaches and chose to apply both income and market approaches in our analyses. We determined these approaches were the most appropriate methods for allocating our enterprise value to determine the estimated fair value of our common stock for valuations performed for periods up to our IPO.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54"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Following our IPO, our board of directors determines the fair value of our common stock based on the closing quoted market price of our common stock on the date of grant.</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We account for income taxes under the asset and liability method. Deferred tax assets and liabilities are determined based on differences between the financial statement reporting and tax bases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of the tax benefits will not be realized.</w:t>
      </w:r>
    </w:p>
    <w:p>
      <w:pPr>
        <w:spacing w:after="0" w:line="13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of being realized upon ultimate settlement.</w:t>
      </w:r>
    </w:p>
    <w:p>
      <w:pPr>
        <w:spacing w:after="0" w:line="125"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We have elected to account for the tax on Global Intangible Low-Taxed Income, enacted as part of the Tax Cuts and Jobs Act as a component of tax expense in the period in which the tax is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89"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See the sections titled “Summary of Significant Accounting Policies—Recent Accounting Pronouncements” and “—Recent Accounting Pronouncements Not Yet Adopted” in Note 2 to our consolidated financial statements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“smaller reporting company”, we are not required to provide the information under this item.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1060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40" w:type="dxa"/>
            <w:vAlign w:val="bottom"/>
            <w:gridSpan w:val="4"/>
          </w:tcPr>
          <w:p>
            <w:pPr>
              <w:jc w:val="center"/>
              <w:ind w:right="2520"/>
              <w:spacing w:after="0"/>
              <w:rPr>
                <w:sz w:val="20"/>
                <w:szCs w:val="20"/>
                <w:color w:val="auto"/>
              </w:rPr>
            </w:pPr>
            <w:r>
              <w:rPr>
                <w:rFonts w:ascii="Arial" w:cs="Arial" w:eastAsia="Arial" w:hAnsi="Arial"/>
                <w:sz w:val="18"/>
                <w:szCs w:val="18"/>
                <w:b w:val="1"/>
                <w:bCs w:val="1"/>
                <w:color w:val="auto"/>
              </w:rPr>
              <w:t>INDEX TO CONSOLIDATED FINANCIAL STATEMENTS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183"/>
        </w:trPr>
        <w:tc>
          <w:tcPr>
            <w:tcW w:w="2100" w:type="dxa"/>
            <w:vAlign w:val="bottom"/>
            <w:tcBorders>
              <w:bottom w:val="single" w:sz="8" w:color="0000EE"/>
            </w:tcBorders>
          </w:tcPr>
          <w:p>
            <w:pPr>
              <w:spacing w:after="0" w:line="182"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Balance Sheets</w:t>
              </w:r>
            </w:hyperlink>
          </w:p>
        </w:tc>
        <w:tc>
          <w:tcPr>
            <w:tcW w:w="8500" w:type="dxa"/>
            <w:vAlign w:val="bottom"/>
            <w:gridSpan w:val="7"/>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5"/>
                <w:szCs w:val="15"/>
                <w:color w:val="auto"/>
              </w:rPr>
            </w:pPr>
          </w:p>
        </w:tc>
      </w:tr>
      <w:tr>
        <w:trPr>
          <w:trHeight w:val="209"/>
        </w:trPr>
        <w:tc>
          <w:tcPr>
            <w:tcW w:w="10600" w:type="dxa"/>
            <w:vAlign w:val="bottom"/>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00" w:type="dxa"/>
            <w:vAlign w:val="bottom"/>
            <w:gridSpan w:val="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Comprehensive Loss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Redeemable Convertible Preferred Stock and Stockholders’ Equity (Deficit)</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210"/>
        </w:trPr>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Cash Flows</w:t>
              </w:r>
            </w:hyperlink>
          </w:p>
        </w:tc>
        <w:tc>
          <w:tcPr>
            <w:tcW w:w="4640" w:type="dxa"/>
            <w:vAlign w:val="bottom"/>
            <w:tcBorders>
              <w:top w:val="single" w:sz="8" w:color="0000EE"/>
            </w:tcBorders>
            <w:gridSpan w:val="4"/>
          </w:tcPr>
          <w:p>
            <w:pPr>
              <w:spacing w:after="0"/>
              <w:rPr>
                <w:sz w:val="18"/>
                <w:szCs w:val="18"/>
                <w:color w:val="auto"/>
              </w:rPr>
            </w:pPr>
          </w:p>
        </w:tc>
        <w:tc>
          <w:tcPr>
            <w:tcW w:w="3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09"/>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Notes to Consolidated Financial Statements</w:t>
              </w:r>
            </w:hyperlink>
          </w:p>
        </w:tc>
        <w:tc>
          <w:tcPr>
            <w:tcW w:w="7440" w:type="dxa"/>
            <w:vAlign w:val="bottom"/>
            <w:gridSpan w:val="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r>
      <w:tr>
        <w:trPr>
          <w:trHeight w:val="209"/>
        </w:trPr>
        <w:tc>
          <w:tcPr>
            <w:tcW w:w="10600" w:type="dxa"/>
            <w:vAlign w:val="bottom"/>
            <w:gridSpan w:val="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669"/>
        </w:trPr>
        <w:tc>
          <w:tcPr>
            <w:tcW w:w="4220" w:type="dxa"/>
            <w:vAlign w:val="bottom"/>
            <w:tcBorders>
              <w:top w:val="single" w:sz="8" w:color="0000EE"/>
            </w:tcBorders>
            <w:gridSpan w:val="6"/>
          </w:tcPr>
          <w:p>
            <w:pPr>
              <w:spacing w:after="0"/>
              <w:rPr>
                <w:sz w:val="24"/>
                <w:szCs w:val="24"/>
                <w:color w:val="auto"/>
              </w:rPr>
            </w:pPr>
          </w:p>
        </w:tc>
        <w:tc>
          <w:tcPr>
            <w:tcW w:w="3300" w:type="dxa"/>
            <w:vAlign w:val="bottom"/>
          </w:tcPr>
          <w:p>
            <w:pPr>
              <w:jc w:val="right"/>
              <w:ind w:right="1710"/>
              <w:spacing w:after="0"/>
              <w:rPr>
                <w:sz w:val="20"/>
                <w:szCs w:val="20"/>
                <w:color w:val="auto"/>
              </w:rPr>
            </w:pPr>
            <w:r>
              <w:rPr>
                <w:rFonts w:ascii="Arial" w:cs="Arial" w:eastAsia="Arial" w:hAnsi="Arial"/>
                <w:sz w:val="18"/>
                <w:szCs w:val="18"/>
                <w:color w:val="auto"/>
              </w:rPr>
              <w:t>71</w:t>
            </w:r>
          </w:p>
        </w:tc>
        <w:tc>
          <w:tcPr>
            <w:tcW w:w="3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55,046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19,744</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73,243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3,300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4,457</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Inventory and other deferred costs</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4,606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3,432</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3,383</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1,926</w:t>
            </w: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139,578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29,559</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14,106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11,452</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1,845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1,762</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659</w:t>
            </w:r>
          </w:p>
        </w:tc>
      </w:tr>
      <w:tr>
        <w:trPr>
          <w:trHeight w:val="26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157,291</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41,670</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7,337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6,565</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6,648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3,392</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35,977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42,897</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Short-term debt</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4,996</w:t>
            </w: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49,962</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57,850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683</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121</w:t>
            </w: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50,601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58,654</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89,404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15"/>
        </w:trPr>
        <w:tc>
          <w:tcPr>
            <w:tcW w:w="7720" w:type="dxa"/>
            <w:vAlign w:val="bottom"/>
          </w:tcPr>
          <w:p>
            <w:pPr>
              <w:ind w:left="500"/>
              <w:spacing w:after="0"/>
              <w:rPr>
                <w:sz w:val="20"/>
                <w:szCs w:val="20"/>
                <w:color w:val="auto"/>
              </w:rPr>
            </w:pPr>
            <w:r>
              <w:rPr>
                <w:rFonts w:ascii="Arial" w:cs="Arial" w:eastAsia="Arial" w:hAnsi="Arial"/>
                <w:sz w:val="18"/>
                <w:szCs w:val="18"/>
                <w:color w:val="auto"/>
                <w:w w:val="97"/>
              </w:rPr>
              <w:t>Common stock, $0.0001 par value — 200,000,000 shares authorized and 31,243,029 shares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8"/>
                <w:szCs w:val="18"/>
                <w:color w:val="auto"/>
                <w:w w:val="93"/>
              </w:rPr>
              <w:t>issued and outstanding as of December 31, 2019; 102,700,000 shares authorized and 3,085,307</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shares issued and outstanding as of December 31, 2018</w:t>
            </w:r>
          </w:p>
        </w:tc>
        <w:tc>
          <w:tcPr>
            <w:tcW w:w="240" w:type="dxa"/>
            <w:vAlign w:val="bottom"/>
          </w:tcPr>
          <w:p>
            <w:pPr>
              <w:spacing w:after="0"/>
              <w:rPr>
                <w:sz w:val="20"/>
                <w:szCs w:val="20"/>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247,282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9,131</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(140,589)</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(115,505)</w:t>
            </w: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106,690</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(106,388)</w:t>
            </w: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w w:val="99"/>
              </w:rPr>
              <w:t>Total liabilities, redeemable convertible preferred stock, and stockholders’ equity (deficit)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157,291</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41,670</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65,207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37,774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9,393</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Costs and expenses</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43,127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25,969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22,418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14,304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22,080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11,271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1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87,625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51,544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31,556</w:t>
            </w: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(22,163)</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(25,075)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(23,593)</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5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loss</w:t>
            </w:r>
          </w:p>
        </w:tc>
        <w:tc>
          <w:tcPr>
            <w:tcW w:w="13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(25,084)</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(19,886)</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18,011,470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3,063,157</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3,031,636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6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(23,598)</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w:t>
            </w: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Change in unrealized gain on available-for-sale debt securities</w:t>
            </w:r>
          </w:p>
        </w:tc>
        <w:tc>
          <w:tcPr>
            <w:tcW w:w="30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(23,591)</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32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89"/>
              </w:rPr>
              <w:t>Redeemable</w:t>
            </w:r>
          </w:p>
        </w:tc>
        <w:tc>
          <w:tcPr>
            <w:tcW w:w="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1"/>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32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6"/>
              </w:rPr>
              <w:t>Convertible</w:t>
            </w:r>
          </w:p>
        </w:tc>
        <w:tc>
          <w:tcPr>
            <w:tcW w:w="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880" w:type="dxa"/>
            <w:vAlign w:val="bottom"/>
          </w:tcPr>
          <w:p>
            <w:pPr>
              <w:jc w:val="center"/>
              <w:ind w:right="231"/>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91"/>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210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4"/>
                <w:szCs w:val="14"/>
                <w:color w:val="auto"/>
              </w:rPr>
            </w:pPr>
          </w:p>
        </w:tc>
        <w:tc>
          <w:tcPr>
            <w:tcW w:w="1460" w:type="dxa"/>
            <w:vAlign w:val="bottom"/>
            <w:gridSpan w:val="3"/>
          </w:tcPr>
          <w:p>
            <w:pPr>
              <w:ind w:left="400"/>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080" w:type="dxa"/>
            <w:vAlign w:val="bottom"/>
            <w:gridSpan w:val="2"/>
          </w:tcPr>
          <w:p>
            <w:pPr>
              <w:jc w:val="center"/>
              <w:ind w:right="31"/>
              <w:spacing w:after="0"/>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jc w:val="center"/>
              <w:ind w:right="172"/>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110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880" w:type="dxa"/>
            <w:vAlign w:val="bottom"/>
          </w:tcPr>
          <w:p>
            <w:pPr>
              <w:jc w:val="center"/>
              <w:ind w:right="231"/>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4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5"/>
              </w:rPr>
              <w:t>(Deficit)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2016</w:t>
            </w:r>
          </w:p>
        </w:tc>
        <w:tc>
          <w:tcPr>
            <w:tcW w:w="11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16,806,745</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4"/>
              </w:rPr>
              <w:t>75,995</w:t>
            </w:r>
          </w:p>
        </w:tc>
        <w:tc>
          <w:tcPr>
            <w:tcW w:w="10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3,020,842</w:t>
            </w: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2,196</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(72,021)</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500"/>
              <w:spacing w:after="0"/>
              <w:rPr>
                <w:sz w:val="20"/>
                <w:szCs w:val="20"/>
                <w:color w:val="auto"/>
              </w:rPr>
            </w:pPr>
            <w:r>
              <w:rPr>
                <w:rFonts w:ascii="Arial" w:cs="Arial" w:eastAsia="Arial" w:hAnsi="Arial"/>
                <w:sz w:val="18"/>
                <w:szCs w:val="18"/>
                <w:color w:val="auto"/>
                <w:w w:val="99"/>
              </w:rPr>
              <w:t>Proceeds from exercise of stock</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500"/>
              <w:spacing w:after="0"/>
              <w:rPr>
                <w:sz w:val="20"/>
                <w:szCs w:val="20"/>
                <w:color w:val="auto"/>
              </w:rPr>
            </w:pPr>
            <w:r>
              <w:rPr>
                <w:rFonts w:ascii="Arial" w:cs="Arial" w:eastAsia="Arial" w:hAnsi="Arial"/>
                <w:sz w:val="18"/>
                <w:szCs w:val="18"/>
                <w:color w:val="auto"/>
              </w:rPr>
              <w:t>options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30,625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500"/>
              <w:spacing w:after="0"/>
              <w:rPr>
                <w:sz w:val="20"/>
                <w:szCs w:val="20"/>
                <w:color w:val="auto"/>
              </w:rPr>
            </w:pPr>
            <w:r>
              <w:rPr>
                <w:rFonts w:ascii="Arial" w:cs="Arial" w:eastAsia="Arial" w:hAnsi="Arial"/>
                <w:sz w:val="18"/>
                <w:szCs w:val="18"/>
                <w:color w:val="auto"/>
              </w:rPr>
              <w:t>Foreign currency translation</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500"/>
              <w:spacing w:after="0"/>
              <w:rPr>
                <w:sz w:val="20"/>
                <w:szCs w:val="20"/>
                <w:color w:val="auto"/>
              </w:rPr>
            </w:pPr>
            <w:r>
              <w:rPr>
                <w:rFonts w:ascii="Arial" w:cs="Arial" w:eastAsia="Arial" w:hAnsi="Arial"/>
                <w:sz w:val="18"/>
                <w:szCs w:val="18"/>
                <w:color w:val="auto"/>
              </w:rPr>
              <w:t>adjustment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Balance—December 31, 2017</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16,806,745</w:t>
            </w: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75,995</w:t>
            </w:r>
          </w:p>
        </w:tc>
        <w:tc>
          <w:tcPr>
            <w:tcW w:w="100" w:type="dxa"/>
            <w:vAlign w:val="bottom"/>
            <w:tcBorders>
              <w:bottom w:val="single" w:sz="8" w:color="CFF0FC"/>
              <w:right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3,051,467</w:t>
            </w: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3,025</w:t>
            </w: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(95,619)</w:t>
            </w: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 component credited to</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additional paid-in capital upon</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Convertible Notes modification</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8"/>
              </w:rPr>
              <w:t>on May 31, 2018 and August 20,</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2018 (see Note 6)</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500"/>
              <w:spacing w:after="0"/>
              <w:rPr>
                <w:sz w:val="20"/>
                <w:szCs w:val="20"/>
                <w:color w:val="auto"/>
              </w:rPr>
            </w:pPr>
            <w:r>
              <w:rPr>
                <w:rFonts w:ascii="Arial" w:cs="Arial" w:eastAsia="Arial" w:hAnsi="Arial"/>
                <w:sz w:val="18"/>
                <w:szCs w:val="18"/>
                <w:color w:val="auto"/>
                <w:w w:val="98"/>
              </w:rPr>
              <w:t>Convertible Notes conversion on</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500"/>
              <w:spacing w:after="0"/>
              <w:rPr>
                <w:sz w:val="20"/>
                <w:szCs w:val="20"/>
                <w:color w:val="auto"/>
              </w:rPr>
            </w:pPr>
            <w:r>
              <w:rPr>
                <w:rFonts w:ascii="Arial" w:cs="Arial" w:eastAsia="Arial" w:hAnsi="Arial"/>
                <w:sz w:val="18"/>
                <w:szCs w:val="18"/>
                <w:color w:val="auto"/>
                <w:w w:val="94"/>
              </w:rPr>
              <w:t>September 20, 2018 (see Note 6);</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500"/>
              <w:spacing w:after="0"/>
              <w:rPr>
                <w:sz w:val="20"/>
                <w:szCs w:val="20"/>
                <w:color w:val="auto"/>
              </w:rPr>
            </w:pPr>
            <w:r>
              <w:rPr>
                <w:rFonts w:ascii="Arial" w:cs="Arial" w:eastAsia="Arial" w:hAnsi="Arial"/>
                <w:sz w:val="18"/>
                <w:szCs w:val="18"/>
                <w:color w:val="auto"/>
              </w:rPr>
              <w:t>including issuance of Series C</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500"/>
              <w:spacing w:after="0"/>
              <w:rPr>
                <w:sz w:val="20"/>
                <w:szCs w:val="20"/>
                <w:color w:val="auto"/>
              </w:rPr>
            </w:pPr>
            <w:r>
              <w:rPr>
                <w:rFonts w:ascii="Arial" w:cs="Arial" w:eastAsia="Arial" w:hAnsi="Arial"/>
                <w:sz w:val="18"/>
                <w:szCs w:val="18"/>
                <w:color w:val="auto"/>
                <w:w w:val="96"/>
              </w:rPr>
              <w:t>redeemable convertible preferred</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500"/>
              <w:spacing w:after="0"/>
              <w:rPr>
                <w:sz w:val="20"/>
                <w:szCs w:val="20"/>
                <w:color w:val="auto"/>
              </w:rPr>
            </w:pPr>
            <w:r>
              <w:rPr>
                <w:rFonts w:ascii="Arial" w:cs="Arial" w:eastAsia="Arial" w:hAnsi="Arial"/>
                <w:sz w:val="18"/>
                <w:szCs w:val="18"/>
                <w:color w:val="auto"/>
              </w:rPr>
              <w:t>stock</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1,667,997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13,409</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Proceeds from exercise of stock</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33,840</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2018</w:t>
            </w:r>
          </w:p>
        </w:tc>
        <w:tc>
          <w:tcPr>
            <w:tcW w:w="11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18,474,742</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4"/>
              </w:rPr>
              <w:t>89,404</w:t>
            </w:r>
          </w:p>
        </w:tc>
        <w:tc>
          <w:tcPr>
            <w:tcW w:w="10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3,085,307</w:t>
            </w: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9,131</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(115,505)</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500"/>
              <w:spacing w:after="0"/>
              <w:rPr>
                <w:sz w:val="20"/>
                <w:szCs w:val="20"/>
                <w:color w:val="auto"/>
              </w:rPr>
            </w:pPr>
            <w:r>
              <w:rPr>
                <w:rFonts w:ascii="Arial" w:cs="Arial" w:eastAsia="Arial" w:hAnsi="Arial"/>
                <w:sz w:val="18"/>
                <w:szCs w:val="18"/>
                <w:color w:val="auto"/>
              </w:rPr>
              <w:t>Issuance of common stock</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500"/>
              <w:spacing w:after="0"/>
              <w:rPr>
                <w:sz w:val="20"/>
                <w:szCs w:val="20"/>
                <w:color w:val="auto"/>
              </w:rPr>
            </w:pPr>
            <w:r>
              <w:rPr>
                <w:rFonts w:ascii="Arial" w:cs="Arial" w:eastAsia="Arial" w:hAnsi="Arial"/>
                <w:sz w:val="18"/>
                <w:szCs w:val="18"/>
                <w:color w:val="auto"/>
              </w:rPr>
              <w:t>warrants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Elimination of fractional shares</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upon reverse stock split (see</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Notes 2 and 8)</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500"/>
              <w:spacing w:after="0"/>
              <w:rPr>
                <w:sz w:val="20"/>
                <w:szCs w:val="20"/>
                <w:color w:val="auto"/>
              </w:rPr>
            </w:pPr>
            <w:r>
              <w:rPr>
                <w:rFonts w:ascii="Arial" w:cs="Arial" w:eastAsia="Arial" w:hAnsi="Arial"/>
                <w:sz w:val="18"/>
                <w:szCs w:val="18"/>
                <w:color w:val="auto"/>
              </w:rPr>
              <w:t>Exercise of common stock</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500"/>
              <w:spacing w:after="0"/>
              <w:rPr>
                <w:sz w:val="20"/>
                <w:szCs w:val="20"/>
                <w:color w:val="auto"/>
              </w:rPr>
            </w:pPr>
            <w:r>
              <w:rPr>
                <w:rFonts w:ascii="Arial" w:cs="Arial" w:eastAsia="Arial" w:hAnsi="Arial"/>
                <w:sz w:val="18"/>
                <w:szCs w:val="18"/>
                <w:color w:val="auto"/>
              </w:rPr>
              <w:t>warrants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207,712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8"/>
              </w:rPr>
              <w:t>Conversion of Series A, B and C</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6"/>
              </w:rPr>
              <w:t>redeemable convertible preferred</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 to common stock</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(18,474,703)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(89,404)</w:t>
            </w:r>
          </w:p>
        </w:tc>
        <w:tc>
          <w:tcPr>
            <w:tcW w:w="100" w:type="dxa"/>
            <w:vAlign w:val="bottom"/>
            <w:tcBorders>
              <w:right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9"/>
              </w:rPr>
              <w:t>18,474,703</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89,402</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89,404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500"/>
              <w:spacing w:after="0"/>
              <w:rPr>
                <w:sz w:val="20"/>
                <w:szCs w:val="20"/>
                <w:color w:val="auto"/>
              </w:rPr>
            </w:pPr>
            <w:r>
              <w:rPr>
                <w:rFonts w:ascii="Arial" w:cs="Arial" w:eastAsia="Arial" w:hAnsi="Arial"/>
                <w:sz w:val="18"/>
                <w:szCs w:val="18"/>
                <w:color w:val="auto"/>
              </w:rPr>
              <w:t>Conversion of redeemable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500"/>
              <w:spacing w:after="0"/>
              <w:rPr>
                <w:sz w:val="20"/>
                <w:szCs w:val="20"/>
                <w:color w:val="auto"/>
              </w:rPr>
            </w:pPr>
            <w:r>
              <w:rPr>
                <w:rFonts w:ascii="Arial" w:cs="Arial" w:eastAsia="Arial" w:hAnsi="Arial"/>
                <w:sz w:val="18"/>
                <w:szCs w:val="18"/>
                <w:color w:val="auto"/>
              </w:rPr>
              <w:t>convertible preferred stock</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500"/>
              <w:spacing w:after="0"/>
              <w:rPr>
                <w:sz w:val="20"/>
                <w:szCs w:val="20"/>
                <w:color w:val="auto"/>
              </w:rPr>
            </w:pPr>
            <w:r>
              <w:rPr>
                <w:rFonts w:ascii="Arial" w:cs="Arial" w:eastAsia="Arial" w:hAnsi="Arial"/>
                <w:sz w:val="18"/>
                <w:szCs w:val="18"/>
                <w:color w:val="auto"/>
              </w:rPr>
              <w:t>warrants to common stock</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500"/>
              <w:spacing w:after="0"/>
              <w:rPr>
                <w:sz w:val="20"/>
                <w:szCs w:val="20"/>
                <w:color w:val="auto"/>
              </w:rPr>
            </w:pPr>
            <w:r>
              <w:rPr>
                <w:rFonts w:ascii="Arial" w:cs="Arial" w:eastAsia="Arial" w:hAnsi="Arial"/>
                <w:sz w:val="18"/>
                <w:szCs w:val="18"/>
                <w:color w:val="auto"/>
              </w:rPr>
              <w:t>warrants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2,086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initial public</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offering, net of expenses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9,109,725</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9"/>
              </w:rPr>
              <w:t>139,827</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139,828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500"/>
              <w:spacing w:after="0"/>
              <w:rPr>
                <w:sz w:val="20"/>
                <w:szCs w:val="20"/>
                <w:color w:val="auto"/>
              </w:rPr>
            </w:pPr>
            <w:r>
              <w:rPr>
                <w:rFonts w:ascii="Arial" w:cs="Arial" w:eastAsia="Arial" w:hAnsi="Arial"/>
                <w:sz w:val="18"/>
                <w:szCs w:val="18"/>
                <w:color w:val="auto"/>
                <w:w w:val="99"/>
              </w:rPr>
              <w:t>Proceeds from exercise of stock</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500"/>
              <w:spacing w:after="0"/>
              <w:rPr>
                <w:sz w:val="20"/>
                <w:szCs w:val="20"/>
                <w:color w:val="auto"/>
              </w:rPr>
            </w:pPr>
            <w:r>
              <w:rPr>
                <w:rFonts w:ascii="Arial" w:cs="Arial" w:eastAsia="Arial" w:hAnsi="Arial"/>
                <w:sz w:val="18"/>
                <w:szCs w:val="18"/>
                <w:color w:val="auto"/>
              </w:rPr>
              <w:t>options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287,932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ESPP purchase</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77,684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4,858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500"/>
              <w:spacing w:after="0"/>
              <w:rPr>
                <w:sz w:val="20"/>
                <w:szCs w:val="20"/>
                <w:color w:val="auto"/>
              </w:rPr>
            </w:pPr>
            <w:r>
              <w:rPr>
                <w:rFonts w:ascii="Arial" w:cs="Arial" w:eastAsia="Arial" w:hAnsi="Arial"/>
                <w:sz w:val="18"/>
                <w:szCs w:val="18"/>
                <w:color w:val="auto"/>
                <w:w w:val="98"/>
              </w:rPr>
              <w:t>Unrealized gain on available-for-</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500"/>
              <w:spacing w:after="0"/>
              <w:rPr>
                <w:sz w:val="20"/>
                <w:szCs w:val="20"/>
                <w:color w:val="auto"/>
              </w:rPr>
            </w:pPr>
            <w:r>
              <w:rPr>
                <w:rFonts w:ascii="Arial" w:cs="Arial" w:eastAsia="Arial" w:hAnsi="Arial"/>
                <w:sz w:val="18"/>
                <w:szCs w:val="18"/>
                <w:color w:val="auto"/>
              </w:rPr>
              <w:t>sale debt securities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Balance—December 31, 2019</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31,243,029</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247,282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(140,589)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80" w:type="dxa"/>
            <w:vAlign w:val="bottom"/>
          </w:tcPr>
          <w:p>
            <w:pPr>
              <w:spacing w:after="0"/>
              <w:rPr>
                <w:sz w:val="18"/>
                <w:szCs w:val="18"/>
                <w:color w:val="auto"/>
              </w:rPr>
            </w:pPr>
          </w:p>
        </w:tc>
        <w:tc>
          <w:tcPr>
            <w:tcW w:w="2160" w:type="dxa"/>
            <w:vAlign w:val="bottom"/>
            <w:gridSpan w:val="6"/>
          </w:tcPr>
          <w:p>
            <w:pPr>
              <w:jc w:val="center"/>
              <w:ind w:left="172"/>
              <w:spacing w:after="0"/>
              <w:rPr>
                <w:sz w:val="20"/>
                <w:szCs w:val="20"/>
                <w:color w:val="auto"/>
              </w:rPr>
            </w:pPr>
            <w:r>
              <w:rPr>
                <w:rFonts w:ascii="Arial" w:cs="Arial" w:eastAsia="Arial" w:hAnsi="Arial"/>
                <w:sz w:val="18"/>
                <w:szCs w:val="18"/>
                <w:color w:val="auto"/>
                <w:w w:val="88"/>
              </w:rPr>
              <w:t>See accompanying notes</w:t>
            </w:r>
          </w:p>
        </w:tc>
        <w:tc>
          <w:tcPr>
            <w:tcW w:w="1040" w:type="dxa"/>
            <w:vAlign w:val="bottom"/>
          </w:tcPr>
          <w:p>
            <w:pPr>
              <w:jc w:val="right"/>
              <w:spacing w:after="0"/>
              <w:rPr>
                <w:sz w:val="20"/>
                <w:szCs w:val="20"/>
                <w:color w:val="auto"/>
              </w:rPr>
            </w:pPr>
            <w:r>
              <w:rPr>
                <w:rFonts w:ascii="Arial" w:cs="Arial" w:eastAsia="Arial" w:hAnsi="Arial"/>
                <w:sz w:val="18"/>
                <w:szCs w:val="18"/>
                <w:color w:val="auto"/>
                <w:w w:val="84"/>
              </w:rPr>
              <w:t>to consolidated</w:t>
            </w:r>
          </w:p>
        </w:tc>
        <w:tc>
          <w:tcPr>
            <w:tcW w:w="80" w:type="dxa"/>
            <w:vAlign w:val="bottom"/>
            <w:vMerge w:val="continue"/>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80" w:type="dxa"/>
            <w:vAlign w:val="bottom"/>
            <w:vMerge w:val="continue"/>
          </w:tcPr>
          <w:p>
            <w:pPr>
              <w:spacing w:after="0"/>
              <w:rPr>
                <w:sz w:val="18"/>
                <w:szCs w:val="18"/>
                <w:color w:val="auto"/>
              </w:rPr>
            </w:pPr>
          </w:p>
        </w:tc>
        <w:tc>
          <w:tcPr>
            <w:tcW w:w="820" w:type="dxa"/>
            <w:vAlign w:val="bottom"/>
            <w:gridSpan w:val="2"/>
          </w:tcPr>
          <w:p>
            <w:pPr>
              <w:jc w:val="right"/>
              <w:ind w:right="91"/>
              <w:spacing w:after="0"/>
              <w:rPr>
                <w:sz w:val="20"/>
                <w:szCs w:val="20"/>
                <w:color w:val="auto"/>
              </w:rPr>
            </w:pPr>
            <w:r>
              <w:rPr>
                <w:rFonts w:ascii="Arial" w:cs="Arial" w:eastAsia="Arial" w:hAnsi="Arial"/>
                <w:sz w:val="17"/>
                <w:szCs w:val="17"/>
                <w:color w:val="auto"/>
                <w:w w:val="70"/>
              </w:rPr>
              <w:t>statements.</w:t>
            </w:r>
          </w:p>
        </w:tc>
        <w:tc>
          <w:tcPr>
            <w:tcW w:w="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ind w:right="471"/>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64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0"/>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(25,084)</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(19,886)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(23,598)</w:t>
            </w:r>
          </w:p>
        </w:tc>
        <w:tc>
          <w:tcPr>
            <w:tcW w:w="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w w:val="93"/>
              </w:rPr>
              <w:t>Adjustments to reconcile net loss to net cash (used in) provided by operating activities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9"/>
                <w:szCs w:val="19"/>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operating lease cost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4,858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9"/>
                <w:szCs w:val="19"/>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debt extinguishment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1,704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4,658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compound derivative instrument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Accretion of noncash interest and debt reduction</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928</w:t>
            </w:r>
          </w:p>
        </w:tc>
        <w:tc>
          <w:tcPr>
            <w:tcW w:w="20" w:type="dxa"/>
            <w:vAlign w:val="bottom"/>
          </w:tcPr>
          <w:p>
            <w:pPr>
              <w:spacing w:after="0"/>
              <w:rPr>
                <w:sz w:val="19"/>
                <w:szCs w:val="19"/>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19"/>
                <w:szCs w:val="19"/>
                <w:color w:val="auto"/>
              </w:rPr>
            </w:pPr>
          </w:p>
        </w:tc>
      </w:tr>
      <w:tr>
        <w:trPr>
          <w:trHeight w:val="230"/>
        </w:trPr>
        <w:tc>
          <w:tcPr>
            <w:tcW w:w="6440" w:type="dxa"/>
            <w:vAlign w:val="bottom"/>
          </w:tcPr>
          <w:p>
            <w:pPr>
              <w:ind w:left="740"/>
              <w:spacing w:after="0"/>
              <w:rPr>
                <w:sz w:val="20"/>
                <w:szCs w:val="20"/>
                <w:color w:val="auto"/>
              </w:rPr>
            </w:pPr>
            <w:r>
              <w:rPr>
                <w:rFonts w:ascii="Arial" w:cs="Arial" w:eastAsia="Arial" w:hAnsi="Arial"/>
                <w:sz w:val="18"/>
                <w:szCs w:val="18"/>
                <w:color w:val="auto"/>
              </w:rPr>
              <w:t>Inventories and other deferred costs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9"/>
                <w:szCs w:val="19"/>
                <w:color w:val="auto"/>
              </w:rPr>
            </w:pPr>
          </w:p>
        </w:tc>
      </w:tr>
      <w:tr>
        <w:trPr>
          <w:trHeight w:val="229"/>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r>
      <w:tr>
        <w:trPr>
          <w:trHeight w:val="229"/>
        </w:trPr>
        <w:tc>
          <w:tcPr>
            <w:tcW w:w="644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2,164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2,635</w:t>
            </w:r>
          </w:p>
        </w:tc>
        <w:tc>
          <w:tcPr>
            <w:tcW w:w="20" w:type="dxa"/>
            <w:vAlign w:val="bottom"/>
          </w:tcPr>
          <w:p>
            <w:pPr>
              <w:spacing w:after="0"/>
              <w:rPr>
                <w:sz w:val="19"/>
                <w:szCs w:val="19"/>
                <w:color w:val="auto"/>
              </w:rPr>
            </w:pPr>
          </w:p>
        </w:tc>
      </w:tr>
      <w:tr>
        <w:trPr>
          <w:trHeight w:val="230"/>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1,999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9"/>
                <w:szCs w:val="19"/>
                <w:color w:val="auto"/>
              </w:rPr>
            </w:pPr>
          </w:p>
        </w:tc>
      </w:tr>
      <w:tr>
        <w:trPr>
          <w:trHeight w:val="229"/>
        </w:trPr>
        <w:tc>
          <w:tcPr>
            <w:tcW w:w="6440" w:type="dxa"/>
            <w:vAlign w:val="bottom"/>
          </w:tcPr>
          <w:p>
            <w:pPr>
              <w:ind w:left="74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18,207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19,072</w:t>
            </w:r>
          </w:p>
        </w:tc>
        <w:tc>
          <w:tcPr>
            <w:tcW w:w="20" w:type="dxa"/>
            <w:vAlign w:val="bottom"/>
          </w:tcPr>
          <w:p>
            <w:pPr>
              <w:spacing w:after="0"/>
              <w:rPr>
                <w:sz w:val="19"/>
                <w:szCs w:val="19"/>
                <w:color w:val="auto"/>
              </w:rPr>
            </w:pPr>
          </w:p>
        </w:tc>
      </w:tr>
      <w:tr>
        <w:trPr>
          <w:trHeight w:val="230"/>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r>
      <w:tr>
        <w:trPr>
          <w:trHeight w:val="223"/>
        </w:trPr>
        <w:tc>
          <w:tcPr>
            <w:tcW w:w="644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5,572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9"/>
                <w:szCs w:val="19"/>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Purchase of available-for-sale debt securities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maturities of available-for-sale debt securities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5,700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20" w:type="dxa"/>
            <w:vAlign w:val="bottom"/>
          </w:tcPr>
          <w:p>
            <w:pPr>
              <w:spacing w:after="0"/>
              <w:rPr>
                <w:sz w:val="19"/>
                <w:szCs w:val="19"/>
                <w:color w:val="auto"/>
              </w:rPr>
            </w:pPr>
          </w:p>
        </w:tc>
      </w:tr>
      <w:tr>
        <w:trPr>
          <w:trHeight w:val="223"/>
        </w:trPr>
        <w:tc>
          <w:tcPr>
            <w:tcW w:w="644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(81,579)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20" w:type="dxa"/>
            <w:vAlign w:val="bottom"/>
          </w:tcPr>
          <w:p>
            <w:pPr>
              <w:spacing w:after="0"/>
              <w:rPr>
                <w:sz w:val="19"/>
                <w:szCs w:val="19"/>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w w:val="96"/>
              </w:rPr>
              <w:t>Proceeds from initial public offering, net of underwriting discounts and commissions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144,025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Payment of costs related to initial public offering</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borrowings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17,225</w:t>
            </w:r>
          </w:p>
        </w:tc>
        <w:tc>
          <w:tcPr>
            <w:tcW w:w="2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Payments of borrowing costs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Repayments under borrowing arrangements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Debt extinguishment costs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under ESPP</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644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134,948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16,404</w:t>
            </w:r>
          </w:p>
        </w:tc>
        <w:tc>
          <w:tcPr>
            <w:tcW w:w="20" w:type="dxa"/>
            <w:vAlign w:val="bottom"/>
          </w:tcPr>
          <w:p>
            <w:pPr>
              <w:spacing w:after="0"/>
              <w:rPr>
                <w:sz w:val="19"/>
                <w:szCs w:val="19"/>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rates on cash flows and cash equivalents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35,302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11,540</w:t>
            </w:r>
          </w:p>
        </w:tc>
        <w:tc>
          <w:tcPr>
            <w:tcW w:w="2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19,744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22,617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11,077</w:t>
            </w:r>
          </w:p>
        </w:tc>
        <w:tc>
          <w:tcPr>
            <w:tcW w:w="20" w:type="dxa"/>
            <w:vAlign w:val="bottom"/>
          </w:tcPr>
          <w:p>
            <w:pPr>
              <w:spacing w:after="0"/>
              <w:rPr>
                <w:sz w:val="19"/>
                <w:szCs w:val="19"/>
                <w:color w:val="auto"/>
              </w:rPr>
            </w:pPr>
          </w:p>
        </w:tc>
      </w:tr>
      <w:tr>
        <w:trPr>
          <w:trHeight w:val="263"/>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55,046</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19,744</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22,617</w:t>
            </w:r>
          </w:p>
        </w:tc>
        <w:tc>
          <w:tcPr>
            <w:tcW w:w="20" w:type="dxa"/>
            <w:vAlign w:val="bottom"/>
          </w:tcPr>
          <w:p>
            <w:pPr>
              <w:spacing w:after="0"/>
              <w:rPr>
                <w:sz w:val="22"/>
                <w:szCs w:val="22"/>
                <w:color w:val="auto"/>
              </w:rPr>
            </w:pPr>
          </w:p>
        </w:tc>
      </w:tr>
      <w:tr>
        <w:trPr>
          <w:trHeight w:val="210"/>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1,257</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Income taxes paid</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w w:val="99"/>
              </w:rPr>
              <w:t>Acquisition of property and equipment included in accounts payable and accrued</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20"/>
                <w:szCs w:val="20"/>
                <w:color w:val="auto"/>
              </w:rPr>
            </w:pPr>
          </w:p>
        </w:tc>
      </w:tr>
      <w:tr>
        <w:trPr>
          <w:trHeight w:val="215"/>
        </w:trPr>
        <w:tc>
          <w:tcPr>
            <w:tcW w:w="6440" w:type="dxa"/>
            <w:vAlign w:val="bottom"/>
          </w:tcPr>
          <w:p>
            <w:pPr>
              <w:spacing w:after="0"/>
              <w:rPr>
                <w:sz w:val="20"/>
                <w:szCs w:val="20"/>
                <w:color w:val="auto"/>
              </w:rPr>
            </w:pPr>
            <w:r>
              <w:rPr>
                <w:rFonts w:ascii="Arial" w:cs="Arial" w:eastAsia="Arial" w:hAnsi="Arial"/>
                <w:sz w:val="18"/>
                <w:szCs w:val="18"/>
                <w:color w:val="auto"/>
              </w:rPr>
              <w:t>Convertible Notes conversion on September 20, 2018 (see Note 6)</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13,431</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8080" w:type="dxa"/>
            <w:vAlign w:val="bottom"/>
            <w:gridSpan w:val="4"/>
          </w:tcPr>
          <w:p>
            <w:pPr>
              <w:ind w:left="3400"/>
              <w:spacing w:after="0"/>
              <w:rPr>
                <w:sz w:val="20"/>
                <w:szCs w:val="20"/>
                <w:color w:val="auto"/>
              </w:rPr>
            </w:pPr>
            <w:r>
              <w:rPr>
                <w:rFonts w:ascii="Arial" w:cs="Arial" w:eastAsia="Arial" w:hAnsi="Arial"/>
                <w:sz w:val="18"/>
                <w:szCs w:val="18"/>
                <w:color w:val="auto"/>
                <w:w w:val="93"/>
              </w:rPr>
              <w:t>See accompanying notes to consolidated financial statements.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440" w:type="dxa"/>
            <w:vAlign w:val="bottom"/>
          </w:tcPr>
          <w:p>
            <w:pPr>
              <w:ind w:left="554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Company and Nature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98"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Personalis, Inc. (the “Company”) was incorporated in Delaware on February 21, 2011 and began operations in September 2011. The Company formed a wholly owned subsidiary, Personalis (UK) Ltd., in August 2013. The Company is a growing cancer genomics company transforming the development of next-generation therapies by providing more comprehensive molecular data about each patient’s cancer and immune response. The Company operates and manages its business as one reportable operating segment, which is the sale of sequencing and data analysis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Company has incurred net operating losses each year since inception. As of December 31, 2019, the Company had an accumulated deficit of $140.6 million.</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June 2019, the Company completed an initial public offering (“IPO”) of its common stock and raised proceeds of $139.8 million, after deducting underwriting discounts, commissions and offering expenses. Management believes that these proceeds combined with existing sources of liquidity will be sufficient to fund operations for at least one year from the issuance of these consolidated financial statements. However, there can be no assurance that additional financing will not be required or that the Company will be successful in raising additional capital on terms that are acceptable to the Company.</w:t>
      </w:r>
    </w:p>
    <w:p>
      <w:pPr>
        <w:spacing w:after="0" w:line="14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If the Company requires but is unable to obtain additional funding, the Company could be required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Amended and Restated Certificate of Incorporation</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An amended and restated certificate of incorporation, which authorized 200,000,000 shares of common stock and 10,000,000 shares of preferred stock, became effective in June 2019 in connection with the closing of the Company’s IPO. As of December 31, 2019 no shares of preferred stock are outstanding.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(“U.S. GAAP”) and the applicable rules and regulations of the Securities and Exchange Commission (“SEC”) regarding annual reporting. The consolidated financial statements include the accounts of Personalis, Inc. and its wholly owned subsidiary, Personalis (UK) Ltd. All intercompany balances and transactions have been eliminated in consolidation.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 estimates include, but are not limited to, useful lives assigned to long-lived assets, the valuation of common and convertible redeemable preferred stock and related warrants and options, the valuation of the compound derivative instrument, the valuation of stock-based awards, and provisions for income taxes and contingencies. Actual results could differ from these estimates, and such differences could be material to the Company’s consolidated financial position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85"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On June 4, 2019, the Company filed an amendment to the Company’s amended and restated certificate of incorporation to effect a reverse split of shares of the Company’s common stock and redeemable convertible preferred stock on a four-for-one basis (the “Reverse Stock Split”). The par value of the common stock and redeemable convertible preferred stock was not adjusted as a result of the Reverse Stock Split. All references to common stock, options to purchase common stock, share data, per share data, redeemable convertible preferred stock and related information contained in these consolidated financial statements have been retrospectively adjusted to reflect the effect of the Reverse Stock Split for all periods presented.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98"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7"/>
          <w:szCs w:val="17"/>
          <w:color w:val="auto"/>
        </w:rPr>
        <w:t>On June 20, 2019, the Company completed an IPO in which it issued and sold 9,109,725 shares of its common stock at a public offering price of $17.00 per share. The Company received net proceeds of $139.8 million after deducting underwriting discounts, commissions and offering expenses. Offering expenses were $4.2 million and consisted of fees and expenses incurred in connection with the sale of the Company’s common stock in the IPO, including legal, accounting, printing, and other IPO-related costs, all of which were paid by December 31, 2019.</w:t>
      </w:r>
    </w:p>
    <w:p>
      <w:pPr>
        <w:spacing w:after="0" w:line="131" w:lineRule="exact"/>
        <w:rPr>
          <w:sz w:val="20"/>
          <w:szCs w:val="20"/>
          <w:color w:val="auto"/>
        </w:rPr>
      </w:pPr>
    </w:p>
    <w:p>
      <w:pPr>
        <w:jc w:val="both"/>
        <w:ind w:right="20" w:firstLine="749"/>
        <w:spacing w:after="0" w:line="301" w:lineRule="auto"/>
        <w:rPr>
          <w:sz w:val="20"/>
          <w:szCs w:val="20"/>
          <w:color w:val="auto"/>
        </w:rPr>
      </w:pPr>
      <w:r>
        <w:rPr>
          <w:rFonts w:ascii="Arial" w:cs="Arial" w:eastAsia="Arial" w:hAnsi="Arial"/>
          <w:sz w:val="16"/>
          <w:szCs w:val="16"/>
          <w:color w:val="auto"/>
        </w:rPr>
        <w:t>A warrant to purchase 188,643 shares of our common stock was exercised prior to completion of the IPO. In addition, in connection with the IPO, all shares of the Company’s then-outstanding redeemable convertible preferred stock were automatically converted into 18,474,703 shares of the Company’s common stock, and all then-outstanding warrants to purchase the Company’s convertible preferred stock were automatically converted into warrants to purchase 84,585 shares of the Company’s common stock, of which 62,096 are still outstanding as of December 31, 2019 (see Note 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98"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 The Company has not experienced any losses on its deposits of cash and cash equivalents.</w:t>
      </w:r>
    </w:p>
    <w:p>
      <w:pPr>
        <w:spacing w:after="0" w:line="146" w:lineRule="exact"/>
        <w:rPr>
          <w:sz w:val="20"/>
          <w:szCs w:val="20"/>
          <w:color w:val="auto"/>
        </w:rPr>
      </w:pPr>
    </w:p>
    <w:p>
      <w:pPr>
        <w:jc w:val="both"/>
        <w:ind w:right="20" w:firstLine="749"/>
        <w:spacing w:after="0" w:line="219" w:lineRule="exact"/>
        <w:rPr>
          <w:sz w:val="20"/>
          <w:szCs w:val="20"/>
          <w:color w:val="auto"/>
        </w:rPr>
      </w:pPr>
      <w:r>
        <w:rPr>
          <w:rFonts w:ascii="Arial" w:cs="Arial" w:eastAsia="Arial" w:hAnsi="Arial"/>
          <w:sz w:val="18"/>
          <w:szCs w:val="18"/>
          <w:color w:val="auto"/>
        </w:rPr>
        <w:t>The Company also invests in investment</w:t>
      </w:r>
      <w:r>
        <w:rPr>
          <w:rFonts w:ascii="MS PGothic" w:cs="MS PGothic" w:eastAsia="MS PGothic" w:hAnsi="MS PGothic"/>
          <w:sz w:val="18"/>
          <w:szCs w:val="18"/>
          <w:color w:val="auto"/>
        </w:rPr>
        <w:t>‑</w:t>
      </w:r>
      <w:r>
        <w:rPr>
          <w:rFonts w:ascii="Arial" w:cs="Arial" w:eastAsia="Arial" w:hAnsi="Arial"/>
          <w:sz w:val="18"/>
          <w:szCs w:val="18"/>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8"/>
          <w:szCs w:val="18"/>
          <w:color w:val="auto"/>
        </w:rPr>
        <w:t>‑</w:t>
      </w:r>
      <w:r>
        <w:rPr>
          <w:rFonts w:ascii="Arial" w:cs="Arial" w:eastAsia="Arial" w:hAnsi="Arial"/>
          <w:sz w:val="18"/>
          <w:szCs w:val="18"/>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62"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19"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7"/>
          <w:szCs w:val="17"/>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and zero as of December 31, 2019 and 2018, respectively. During the year ended December 31, 2019, bad debt expense was $0.1 million and included in selling, general and administrative expenses. The Company had no bad debt expense in 2018 and 2017.</w:t>
      </w:r>
    </w:p>
    <w:p>
      <w:pPr>
        <w:spacing w:after="0" w:line="131"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Significant customers are those that represent more than 10% of the Company’s total revenues or accounts receivable balance at each respective balance sheet date. For each significant customer, revenue as a percentage of total revenues and accounts receivable as a percentage of total accounts receivable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89"/>
              </w:rPr>
              <w:t>Revenue</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Accounts Receivable</w:t>
            </w:r>
          </w:p>
        </w:tc>
        <w:tc>
          <w:tcPr>
            <w:tcW w:w="20" w:type="dxa"/>
            <w:vAlign w:val="bottom"/>
          </w:tcPr>
          <w:p>
            <w:pPr>
              <w:spacing w:after="0"/>
              <w:rPr>
                <w:sz w:val="14"/>
                <w:szCs w:val="14"/>
                <w:color w:val="auto"/>
              </w:rPr>
            </w:pPr>
          </w:p>
        </w:tc>
      </w:tr>
      <w:tr>
        <w:trPr>
          <w:trHeight w:val="156"/>
        </w:trPr>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tcBorders>
              <w:bottom w:val="single" w:sz="8" w:color="auto"/>
            </w:tcBorders>
            <w:gridSpan w:val="3"/>
          </w:tcPr>
          <w:p>
            <w:pPr>
              <w:jc w:val="right"/>
              <w:ind w:right="633"/>
              <w:spacing w:after="0" w:line="155" w:lineRule="exact"/>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3"/>
                <w:szCs w:val="13"/>
                <w:color w:val="auto"/>
              </w:rPr>
            </w:pPr>
          </w:p>
        </w:tc>
      </w:tr>
      <w:tr>
        <w:trPr>
          <w:trHeight w:val="155"/>
        </w:trPr>
        <w:tc>
          <w:tcPr>
            <w:tcW w:w="5000" w:type="dxa"/>
            <w:vAlign w:val="bottom"/>
            <w:tcBorders>
              <w:bottom w:val="single" w:sz="8" w:color="CFF0FC"/>
            </w:tcBorders>
            <w:gridSpan w:val="2"/>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center"/>
              <w:ind w:right="115"/>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r>
      <w:tr>
        <w:trPr>
          <w:trHeight w:val="223"/>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 MVP</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67%</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Pfizer Inc.</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29"/>
        </w:trPr>
        <w:tc>
          <w:tcPr>
            <w:tcW w:w="5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Merck &amp; Co., Inc.</w:t>
            </w:r>
          </w:p>
        </w:tc>
        <w:tc>
          <w:tcPr>
            <w:tcW w:w="4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Customer A</w:t>
            </w:r>
          </w:p>
        </w:tc>
        <w:tc>
          <w:tcPr>
            <w:tcW w:w="4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30"/>
        </w:trPr>
        <w:tc>
          <w:tcPr>
            <w:tcW w:w="5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Customer B</w:t>
            </w:r>
          </w:p>
        </w:tc>
        <w:tc>
          <w:tcPr>
            <w:tcW w:w="4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Indivumed GmbH</w:t>
            </w:r>
          </w:p>
        </w:tc>
        <w:tc>
          <w:tcPr>
            <w:tcW w:w="4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76"/>
        </w:trPr>
        <w:tc>
          <w:tcPr>
            <w:tcW w:w="49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 Less than 10% of revenues or accounts receivable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28"/>
        </w:trPr>
        <w:tc>
          <w:tcPr>
            <w:tcW w:w="5760" w:type="dxa"/>
            <w:vAlign w:val="bottom"/>
            <w:gridSpan w:val="3"/>
          </w:tcPr>
          <w:p>
            <w:pPr>
              <w:ind w:left="5540"/>
              <w:spacing w:after="0"/>
              <w:rPr>
                <w:sz w:val="20"/>
                <w:szCs w:val="20"/>
                <w:color w:val="auto"/>
              </w:rPr>
            </w:pPr>
            <w:r>
              <w:rPr>
                <w:rFonts w:ascii="Arial" w:cs="Arial" w:eastAsia="Arial" w:hAnsi="Arial"/>
                <w:sz w:val="18"/>
                <w:szCs w:val="18"/>
                <w:color w:val="auto"/>
                <w:w w:val="99"/>
              </w:rPr>
              <w:t>78</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 applies the revenue recognition guidance in accordance with Financial Accounting Standards Board (“FASB”) Accounting Standards Codification (“ASC”) Topic 606, Revenue from Contracts with Customers (“Topic 606”).</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5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 derives revenues from sequencing and data analysis services to support the development of personalized cancer vaccines and other next-generation cancer immunotherapies.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6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sequencing and data analysis services are the only distinct services that meet the definition of a performance obligation and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4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Revenues</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Company’s costs of revenues primarily consist of production materials, personnel costs (e.g., salaries, bonuses, benefit, and stock-based compensation), cost of expensed equipment, consumables and laboratory supplies, information technology (“IT”) and facility costs, and depreciation and service maintenance contracts on capitalized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 charges research and development costs to expenses as incurred, including lab and automation development costs. The expenses primarily consist of employee-related costs (including stock-based compensation), laboratory and automation supplies and equipment, and related depreciation and amortization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For options granted to employees, non-employees, and directors, stock-based compensation is measured at grant date based on the fair value of the award. The Company determines the grant-date fair value of the options using the Black-Scholes option-pricing model. The Company determines fair value of restricted stock unit awards using the closing market price of the Company’s common stock on the date of grant. The grant-date fair value of awards is amortized over the employees’ requisite service period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jc w:val="both"/>
        <w:spacing w:after="0" w:line="342" w:lineRule="auto"/>
        <w:rPr>
          <w:sz w:val="20"/>
          <w:szCs w:val="20"/>
          <w:color w:val="auto"/>
        </w:rPr>
      </w:pPr>
      <w:r>
        <w:rPr>
          <w:rFonts w:ascii="Arial" w:cs="Arial" w:eastAsia="Arial" w:hAnsi="Arial"/>
          <w:sz w:val="16"/>
          <w:szCs w:val="16"/>
          <w:color w:val="auto"/>
        </w:rPr>
        <w:t>the non-employees’ vesting period as the goods are received or services rendered. Forfeitures are accounted for as they occur. Additionally, the Company’s 2019 Employee Stock Purchase Plan is deemed to be a compensatory plan and therefore is included in stock-based compensation expense.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8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The functional currency of the Company’s foreign subsidiary is the British pounds sterling. In preparing its consolidated financial statements, the Company is required to translate the financial statements of this subsidiary from British pounds sterling to U.S. dollars. Accordingly, monetary assets and liabilities of the Company’s subsidiary are remeasured using exchange rates in effect at the end of the period. Costs in the local currency are remeasured using average exchange rates for the period, except for costs related to those consolidated balance sheet items that are remeasured using historical exchange rates. Since the Company’s functional currency is deemed to be the local currency, any gain or loss associated with the translation of its consolidated financial statements is included as a component of stockholders’ equity (deficit), in accumulated other comprehensive income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98"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Comprehensive loss includes all changes in equity (net assets) during the period from nonowner sources. The Company’s comprehensive loss consists of its net loss, its cumulative translation adjustments, and its unrealized gains or losses on available-for-sale debt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Company uses the asset and liability method under ASC Topic 740, Income Taxes, in accounting for income taxes. Deferred tax assets and liabilities are recognized for the estimated future tax consequences attributable to differences between the consolidated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expenses or benefits are the result of changes in the deferred tax assets and liabilities. Valuation allowances are established when necessary to reduce deferred tax assets where it is more likely than not that the deferred tax assets will not be realized.</w:t>
      </w:r>
    </w:p>
    <w:p>
      <w:pPr>
        <w:spacing w:after="0" w:line="15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ASC Topic 740 clarifies the accounting for uncertainty in income taxes recognized in the financial statements. ASC Topic 740 provides that a tax benefit from an uncertain tax position may be recognized when it is more likely than not that the position will be sustained upon audit, including resolutions of any related appeals or litigation processes, based on the technical merits of the position. ASC Topic 740 also provides guidance on measurement, derecognition, classification, interest and penalties, accounting in interim periods, disclosure, and transition.</w:t>
      </w:r>
    </w:p>
    <w:p>
      <w:pPr>
        <w:spacing w:after="0" w:line="131"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color w:val="auto"/>
        </w:rPr>
        <w:t>The Company recognizes interest and penalties related to unrecognized tax benefits within the income tax expense line in the accompanying consolidated statements of operations. Accrued interest and penalties are included within the related liability line in the consolidated balance sheets.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98"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convertible preferred stock warrants, common stock warrants, common stock subject to repurchase, and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which are marketable debt securities recorded at fair value and accounted for in the same manner as other marketable debt securities described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9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and U.S. treasuries.</w:t>
      </w:r>
    </w:p>
    <w:p>
      <w:pPr>
        <w:spacing w:after="0" w:line="14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Unrealized gains and losses are included in accumulated other comprehensive loss in stockholders’ equity (deficit). Any discount or premium arising at purchase is accreted or amortized to interest income or expense. Realized gains and losses and declines in fair value, if any, judged to be other-than-temporary are reported in other (expense) income, net. When securities are sold, any associated unrealized gain or loss initially recorded as a separate component of stockholders’ equity (deficit) is reclassified out of stockholders’ equity (deficit) on a specific-identification basis and recorded in earnings for the period.</w:t>
      </w:r>
    </w:p>
    <w:p>
      <w:pPr>
        <w:spacing w:after="0" w:line="14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values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three-level hierarchy for the inputs to valuation techniques used to measure fair value is briefly summarized as follows:</w:t>
      </w:r>
    </w:p>
    <w:p>
      <w:pPr>
        <w:spacing w:after="0" w:line="198"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Level 1 — Unadjusted quoted prices in active markets that are accessible to the reporting entity at the measurement date for identical assets and liabilities.</w:t>
      </w:r>
    </w:p>
    <w:p>
      <w:pPr>
        <w:spacing w:after="0" w:line="13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30" w:lineRule="exact"/>
        <w:rPr>
          <w:sz w:val="20"/>
          <w:szCs w:val="20"/>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Quoted prices for similar assets and liabilities in active markets.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Observable inputs other than quoted prices that are used in the valuation of the assets or liabilities (e.g., interest rate and yield curve quotes at commonly quoted intervals).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Inputs that are derived principally from or are corroborated by observable market data by correlation or other means.</w:t>
      </w:r>
    </w:p>
    <w:p>
      <w:pPr>
        <w:spacing w:after="0" w:line="185"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9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Trade accounts receivable are recorded at the invoiced amount and are noninterest bearing. At each reporting period, management reviews all outstanding customer balances to determine if the facts and circumstances of each customer relationship indicate the need for a reserve. A reserve is recorded when it is probable that a loss has been incurred based on past events and conditions existing at the date of the financial statements, and the loss is reasonably estimated.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Inventory and Other Deferred Costs</w:t>
      </w:r>
    </w:p>
    <w:p>
      <w:pPr>
        <w:spacing w:after="0" w:line="1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Inventories, consisting of supplies used in the Company’s sequencing and data analysis contracts, are valued at the lower of cost or net realizable value. Cost is determined using actual costs, on a first-in, first-out basis.</w:t>
      </w:r>
    </w:p>
    <w:p>
      <w:pPr>
        <w:spacing w:after="0" w:line="130"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Other deferred costs relate to work in process for costs incurred on sequencing and data analysis contracts that have not been completed or recognized as revenues. Other deferred costs represent materials used in sequencing services, labor, and overhead allocations.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9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Property and equipment are recorded at cost, less accumulated depreciation and amortization, and are depreciated on a straight-line basis over the estimated useful lives of the related assets, which is generally three to five years for computer equipment, two years for software, three years for furniture and equipment, and five years for machinery and equipment. Leasehold improvements are amortized over the shorter of the lease term or the estimated useful life of the related asset. Upon retirement or sale, the cost and related accumulated depreciation and amortization are removed from the consolidated balance sheet, and the resulting gain or loss is reflected in the consolidated statements of operations. Maintenance and repairs that are not considered improvements and do not extend the useful lives of the assets are charged to operations as incurred.</w:t>
      </w:r>
    </w:p>
    <w:p>
      <w:pPr>
        <w:spacing w:after="0" w:line="13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Construction-in-process assets consist primarily of computer equipment and machinery and equipment that have not yet been placed in service. These assets are stated at cost and are not depreciated. Once the assets are placed into service, assets are reclassified to the appropriate asset class based on their nature and depreciated in accordance with the useful lives above.</w:t>
      </w:r>
    </w:p>
    <w:p>
      <w:pPr>
        <w:spacing w:after="0" w:line="143"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Internally used software, whether purchased or developed, is capitalized at cost and amortized on a straight-line basis over its estimated useful life.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software requires judgment in determining when a project has reached the development stage and the period over which the Company expects to benefit from the use of that software.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 Derivative Instrument</w:t>
      </w:r>
    </w:p>
    <w:p>
      <w:pPr>
        <w:spacing w:after="0" w:line="18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convertible notes issued in June 2017 (see Note 6) contained embedded features that provided the lenders with multiple settlement alternatives. Certain of these settlement features provided the lenders a right to a fixed number of the Company’s shares upon conversion of the notes (the “conversion option”). Other settlement features provided the lenders the right or the obligation to receive cash or a variable number of shares upon the completion of a capital-raising transaction, change of control, or default of the Company (the “redemption features”).</w:t>
      </w:r>
    </w:p>
    <w:p>
      <w:pPr>
        <w:spacing w:after="0" w:line="131"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Certain conversion and redemption features embedded in the convertible notes met the requirements for separate accounting and were accounted for as a single, compound derivative instrument. The compound derivative instrument was recorded at fair value at inception and was subject to remeasurement to fair value at each consolidated balance sheet date, with the change in fair value reflected as other (expense) income in the consolidated statements of operations. The compound derivative instrument was recorded as a compound derivative liability at fair value, which was $0.5 million as of the issuance date and zero and $0.7 million as of December 31, 2018 and 2017, respectively (see Note 5). Upon modification of the convertible notes on August 20, 2018 (see Note 6), the compound derivative instrument was eliminated.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85"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In May 2014, the FASB issued Accounting Standard Update (“ASU”) No. 2014-09, Revenue from Contracts with Customers (Topic 606) (“ASU No. 2014-09”). Subsequently, the FASB also issued ASU No. 2015-14, Revenue from Contracts with Customers (Topic 606), which adjusted the effective date of ASU No. 2014-09; ASU No. 2016-08, Revenue from Contracts with Customers (Topic 606): Principal versus Agent Considerations (Reporting Revenue Gross versus Net), which amends the principal-versus-agent implementation guidance and illustrations in ASU No. 2014-09; ASU No. 2016-10, Revenue from Contracts with Customers (Topic 606): Identifying Performance Obligations and Licensing, which clarifies identifying performance obligation and licensing implementation guidance and illustrations in ASU No. 2014-09; and ASU No. 2016-12, Revenue from Contracts with Customers (Topic 606): Narrow-Scope Improvements and Practical Expedients, which addresses implementation issues and is intended to reduce the cost and complexity of applying the new revenue standard in ASU No. 2014-09 (collectively, the “Revenue ASUs”).</w:t>
      </w:r>
    </w:p>
    <w:p>
      <w:pPr>
        <w:spacing w:after="0" w:line="13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Revenue ASUs provide an accounting standard for a single comprehensive model for use in accounting for revenues arising from contracts with customers and supersedes most current revenue recognition guidance. The accounting standard is effective for interim and annual periods beginning after December 15, 2017. The guidance permits two methods of adoption: retrospectively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2" w:name="page83"/>
    <w:bookmarkEnd w:id="82"/>
    <w:p>
      <w:pPr>
        <w:jc w:val="both"/>
        <w:ind w:right="20"/>
        <w:spacing w:after="0" w:line="275" w:lineRule="auto"/>
        <w:rPr>
          <w:sz w:val="20"/>
          <w:szCs w:val="20"/>
          <w:color w:val="auto"/>
        </w:rPr>
      </w:pPr>
      <w:r>
        <w:rPr>
          <w:rFonts w:ascii="Arial" w:cs="Arial" w:eastAsia="Arial" w:hAnsi="Arial"/>
          <w:sz w:val="17"/>
          <w:szCs w:val="17"/>
          <w:color w:val="auto"/>
        </w:rPr>
        <w:t>each prior reporting period presented (the full retrospective method), or retrospectively with the cumulative effect of initially applying the guidance recognized at the date of initial application (the modified retrospective method). The Company performed a detailed review of its revenue agreements and assessed the differences in accounting for such contracts under this guidance compared with previous revenue accounting standards. On January 1, 2017, the Company early adopted ASU No. 2014-09 using the full retrospective method. The adoption of this standard did not have a material impact on the Company’s consolidated financial statements. Results for all periods presented are under ASC Topic 606.</w:t>
      </w:r>
    </w:p>
    <w:p>
      <w:pPr>
        <w:spacing w:after="0" w:line="149"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7"/>
          <w:szCs w:val="17"/>
          <w:color w:val="auto"/>
        </w:rPr>
        <w:t>In February 2016, the FASB issued ASU No. 2016-02, Leases (Topic 842) (“ASU No. 2016-02”). In July 2018, the FASB issued ASU No. 2018-10, Codification Improvements to Topic 842, Leases, which provides clarification to ASU 2016-02. These ASUs (collectively, the “new lease standard”) require an entity to recognize a lease liability and a right-of-use (“ROU”) asset on the balance sheet for leases with lease terms of more than 12 months. Lessor accounting is largely unchanged, while lessees will no longer be provided with a source of off-balance sheet financing. This guidance is effective for fiscal years beginning after December 15, 2018, including interim periods within those fiscal years. In July 2018, the FASB issued ASU No. 2018-11, Leases (Topic 842) —Targeted Improvements, which allows entities to elect a modified retrospective transition method where entities may continue to apply the existing lease guidance during the comparative periods and apply the new lease requirements through a cumulative effect adjustment in the period of adoption rather than in the earliest period presented.</w:t>
      </w:r>
    </w:p>
    <w:p>
      <w:pPr>
        <w:spacing w:after="0" w:line="138" w:lineRule="exact"/>
        <w:rPr>
          <w:sz w:val="20"/>
          <w:szCs w:val="20"/>
          <w:color w:val="auto"/>
        </w:rPr>
      </w:pPr>
    </w:p>
    <w:p>
      <w:pPr>
        <w:jc w:val="both"/>
        <w:ind w:right="20" w:firstLine="749"/>
        <w:spacing w:after="0" w:line="269" w:lineRule="auto"/>
        <w:rPr>
          <w:sz w:val="20"/>
          <w:szCs w:val="20"/>
          <w:color w:val="auto"/>
        </w:rPr>
      </w:pPr>
      <w:r>
        <w:rPr>
          <w:rFonts w:ascii="Arial" w:cs="Arial" w:eastAsia="Arial" w:hAnsi="Arial"/>
          <w:sz w:val="17"/>
          <w:szCs w:val="17"/>
          <w:color w:val="auto"/>
        </w:rPr>
        <w:t>On January 1, 2019, the Company adopted ASU No. 2016-02, and its associated amendments using the modified retrospective transition method by applying the new standard to all leases existing at the date of initial application and not restating comparative periods. There was no cumulative-effect adjustment recorded to retained earnings upon adoption. Under the standard, a lessee is required to recognize a lease liability and ROU asset for all leases. The new guidance also modified the classification criteria and requires additional disclosures to enable users of financial statements to understand the amount, timing, and uncertainty of cash flows arising from leases. Consistent with current guidance, a lessee’s recognition, measurement, and presentation of expenses and cash flows arising from a lease continues to depend primarily on its classification. The Company elected the package of practical expedients permitted under the transition guidance, which allowed the Company to carryforward its historical lease classification, its assessment as to whether a contract was or contains a lease, and its initial direct costs for any leases that existed prior to January 1, 2019. The Company also elected the practical expedient not to separate lease and non-lease components. In addition, the Company elected the short-term lease exception as a practical expedient.</w:t>
      </w:r>
    </w:p>
    <w:p>
      <w:pPr>
        <w:spacing w:after="0" w:line="145"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At the date of adoption, the Company derecognized a deferred rent liability in the amount of $0.3 million, and recognized a ROU asset and respective lease liability in the amount of $1.7 million and $2.0 million, respectively. As of December 31, 2019, lease liabilities in the amount of $1.4 million and $0.6 million are included in “Accrued and other current liabilities” and “Other long-term liabilities,”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jc w:val="both"/>
        <w:ind w:right="20" w:firstLine="749"/>
        <w:spacing w:after="0" w:line="254"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In November of 2019, the FASB delayed the effective date for Smaller Reporting Companies to the first quarter of 2023. The Company is currently evaluating the impact of the new guidance on its consolidated financial statements and related disclosures. The Company will apply the new guidance by means of a cumulative-effect adjustment to the opening retained earnings as of the beginning of the first reporting period in which the guidance is effective.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98"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irrevocably elected not to avail itself of this exemption from new or revised accounting standards, and therefore, the Company will be subject to the same new or revised accounting standards as other public companies that are not emerging growth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Company’s revenues disaggregated by customer type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80" w:type="dxa"/>
            <w:vAlign w:val="bottom"/>
            <w:tcBorders>
              <w:bottom w:val="single" w:sz="8" w:color="CFF0FC"/>
            </w:tcBorders>
          </w:tcPr>
          <w:p>
            <w:pPr>
              <w:spacing w:after="0"/>
              <w:rPr>
                <w:sz w:val="13"/>
                <w:szCs w:val="13"/>
                <w:color w:val="auto"/>
              </w:rPr>
            </w:pPr>
          </w:p>
        </w:tc>
        <w:tc>
          <w:tcPr>
            <w:tcW w:w="31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VA MVP</w:t>
            </w:r>
          </w:p>
        </w:tc>
        <w:tc>
          <w:tcPr>
            <w:tcW w:w="3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43,545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18,601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customers</w:t>
            </w:r>
          </w:p>
        </w:tc>
        <w:tc>
          <w:tcPr>
            <w:tcW w:w="31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21,662</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19,173</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65,207</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37,774</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9,393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60" w:type="dxa"/>
            <w:vAlign w:val="bottom"/>
            <w:vMerge w:val="restart"/>
          </w:tcPr>
          <w:p>
            <w:pPr>
              <w:jc w:val="right"/>
              <w:ind w:right="830"/>
              <w:spacing w:after="0"/>
              <w:rPr>
                <w:sz w:val="20"/>
                <w:szCs w:val="20"/>
                <w:color w:val="auto"/>
              </w:rPr>
            </w:pPr>
            <w:r>
              <w:rPr>
                <w:rFonts w:ascii="Arial" w:cs="Arial" w:eastAsia="Arial" w:hAnsi="Arial"/>
                <w:sz w:val="18"/>
                <w:szCs w:val="18"/>
                <w:color w:val="auto"/>
              </w:rPr>
              <w:t>83</w:t>
            </w: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83" w:name="page84"/>
    <w:bookmarkEnd w:id="83"/>
    <w:p>
      <w:pPr>
        <w:jc w:val="both"/>
        <w:ind w:firstLine="749"/>
        <w:spacing w:after="0" w:line="277" w:lineRule="auto"/>
        <w:rPr>
          <w:sz w:val="20"/>
          <w:szCs w:val="20"/>
          <w:color w:val="auto"/>
        </w:rPr>
      </w:pPr>
      <w:r>
        <w:rPr>
          <w:rFonts w:ascii="Arial" w:cs="Arial" w:eastAsia="Arial" w:hAnsi="Arial"/>
          <w:sz w:val="18"/>
          <w:szCs w:val="18"/>
          <w:color w:val="auto"/>
        </w:rPr>
        <w:t>Revenues from countries outside of the United States, based on the billing addresses of customers, represented 4%, 3%, and 2% of the Company’s revenues for the years ended December 31, 2019, 2018 ,and 2017,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had no contract assets as of December 31, 2019 and 2018.</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Company’s contract liabilities consist of customer deposits in excess of revenues recognized and are presented as current liabilities in the consolidated balance sheets.</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balance of contract liabilities was $36.0 million and $42.9 million as of December 31, 2019 and 2018, respectively. Revenues recognized in 2019, 2018, and 2017 that were included in the contract liability balance at the beginning of each reporting period were $35.4 million, $16.0 million, and $1.1 million, respectively.</w:t>
      </w:r>
    </w:p>
    <w:p>
      <w:pPr>
        <w:spacing w:after="0" w:line="157"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Revenues allocated to remaining performance obligations represent contracted revenues that have not yet been recognized (“contracted not recognized revenues”), which include VA MVP contract liabilities and amounts that will be invoiced and recognized as revenues in future periods. Contracted not recognized revenues were $68.8 million as of December 31, 2019, which we expect to recognize as revenues over the next 15 months.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and other deferred costs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1,424</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deferred costs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3,182</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inventory and other deferred costs</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4,606</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76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7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8"/>
              </w:rPr>
              <w:t>12,511</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Computer equipment</w:t>
            </w:r>
          </w:p>
        </w:tc>
        <w:tc>
          <w:tcPr>
            <w:tcW w:w="98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8,855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Leasehold improvement</w:t>
            </w:r>
          </w:p>
        </w:tc>
        <w:tc>
          <w:tcPr>
            <w:tcW w:w="98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987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costs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Computer software costs</w:t>
            </w:r>
          </w:p>
        </w:tc>
        <w:tc>
          <w:tcPr>
            <w:tcW w:w="98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w w:val="98"/>
              </w:rPr>
              <w:t>23,153</w:t>
            </w:r>
          </w:p>
        </w:tc>
        <w:tc>
          <w:tcPr>
            <w:tcW w:w="1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16,656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(9,047)</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Property and equipment, net</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8"/>
              </w:rPr>
              <w:t>14,106</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11,452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Depreciation and amortization expense for the years ended December 31, 2019, 2018, and 2017 was $4.7 million, $3.1 million, and $1.2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ind w:left="76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4,147</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2,843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liabilities</w:t>
            </w:r>
          </w:p>
        </w:tc>
        <w:tc>
          <w:tcPr>
            <w:tcW w:w="10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1,361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59</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taxes</w:t>
            </w:r>
          </w:p>
        </w:tc>
        <w:tc>
          <w:tcPr>
            <w:tcW w:w="10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181</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rent</w:t>
            </w:r>
          </w:p>
        </w:tc>
        <w:tc>
          <w:tcPr>
            <w:tcW w:w="10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99</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accrued and other current liabilities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6,648</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3,392</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following tables show the Company’s financial assets and liabilities measured at fair value on a recurring basis and the level of inputs used in such measurements as of December 31, 2019 and 2018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7"/>
          </w:tcPr>
          <w:p>
            <w:pPr>
              <w:jc w:val="right"/>
              <w:spacing w:after="0"/>
              <w:rPr>
                <w:sz w:val="20"/>
                <w:szCs w:val="20"/>
                <w:color w:val="auto"/>
              </w:rPr>
            </w:pPr>
            <w:r>
              <w:rPr>
                <w:rFonts w:ascii="Arial" w:cs="Arial" w:eastAsia="Arial" w:hAnsi="Arial"/>
                <w:sz w:val="14"/>
                <w:szCs w:val="14"/>
                <w:b w:val="1"/>
                <w:bCs w:val="1"/>
                <w:color w:val="auto"/>
                <w:w w:val="92"/>
              </w:rPr>
              <w:t>As of December 31, 2019</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6"/>
              </w:rPr>
              <w:t>Adjusted Cost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 Level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1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12,495</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8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41,281</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41,280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23"/>
        </w:trPr>
        <w:tc>
          <w:tcPr>
            <w:tcW w:w="4360" w:type="dxa"/>
            <w:vAlign w:val="bottom"/>
          </w:tcPr>
          <w:p>
            <w:pPr>
              <w:ind w:left="500"/>
              <w:spacing w:after="0"/>
              <w:rPr>
                <w:sz w:val="20"/>
                <w:szCs w:val="20"/>
                <w:color w:val="auto"/>
              </w:rPr>
            </w:pPr>
            <w:r>
              <w:rPr>
                <w:rFonts w:ascii="Arial" w:cs="Arial" w:eastAsia="Arial" w:hAnsi="Arial"/>
                <w:sz w:val="18"/>
                <w:szCs w:val="18"/>
                <w:color w:val="auto"/>
              </w:rPr>
              <w:t>Total cash and cash equivalents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55,047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55,046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17,898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17,892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securities</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4,011</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13,948</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32,776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32,794</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4,598</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short-term investments</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73,236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73,243</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740"/>
              <w:spacing w:after="0"/>
              <w:rPr>
                <w:sz w:val="20"/>
                <w:szCs w:val="20"/>
                <w:color w:val="auto"/>
              </w:rPr>
            </w:pPr>
            <w:r>
              <w:rPr>
                <w:rFonts w:ascii="Arial" w:cs="Arial" w:eastAsia="Arial" w:hAnsi="Arial"/>
                <w:sz w:val="18"/>
                <w:szCs w:val="18"/>
                <w:color w:val="auto"/>
              </w:rPr>
              <w:t>Total assets measured at fair value</w:t>
            </w:r>
          </w:p>
        </w:tc>
        <w:tc>
          <w:tcPr>
            <w:tcW w:w="8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128,283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128,289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gridSpan w:val="7"/>
          </w:tcPr>
          <w:p>
            <w:pPr>
              <w:jc w:val="right"/>
              <w:spacing w:after="0"/>
              <w:rPr>
                <w:sz w:val="20"/>
                <w:szCs w:val="20"/>
                <w:color w:val="auto"/>
              </w:rPr>
            </w:pPr>
            <w:r>
              <w:rPr>
                <w:rFonts w:ascii="Arial" w:cs="Arial" w:eastAsia="Arial" w:hAnsi="Arial"/>
                <w:sz w:val="14"/>
                <w:szCs w:val="14"/>
                <w:b w:val="1"/>
                <w:bCs w:val="1"/>
                <w:color w:val="auto"/>
                <w:w w:val="92"/>
              </w:rPr>
              <w:t>As of December 31, 2018</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6"/>
              </w:rPr>
              <w:t>Adjusted Cost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 Level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1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1,602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18,142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cash and cash equivalents</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19,744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19,744</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 measured at fair value</w:t>
            </w:r>
          </w:p>
        </w:tc>
        <w:tc>
          <w:tcPr>
            <w:tcW w:w="8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19,744</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19,744</w:t>
            </w:r>
          </w:p>
        </w:tc>
        <w:tc>
          <w:tcPr>
            <w:tcW w:w="10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Long-term liabilities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preferred stock warrants liability</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3</w:t>
            </w:r>
          </w:p>
        </w:tc>
        <w:tc>
          <w:tcPr>
            <w:tcW w:w="0" w:type="dxa"/>
            <w:vAlign w:val="bottom"/>
          </w:tcPr>
          <w:p>
            <w:pPr>
              <w:spacing w:after="0"/>
              <w:rPr>
                <w:sz w:val="1"/>
                <w:szCs w:val="1"/>
                <w:color w:val="auto"/>
              </w:rPr>
            </w:pPr>
          </w:p>
        </w:tc>
      </w:tr>
      <w:tr>
        <w:trPr>
          <w:trHeight w:val="223"/>
        </w:trPr>
        <w:tc>
          <w:tcPr>
            <w:tcW w:w="4360" w:type="dxa"/>
            <w:vAlign w:val="bottom"/>
          </w:tcPr>
          <w:p>
            <w:pPr>
              <w:ind w:left="740"/>
              <w:spacing w:after="0"/>
              <w:rPr>
                <w:sz w:val="20"/>
                <w:szCs w:val="20"/>
                <w:color w:val="auto"/>
              </w:rPr>
            </w:pPr>
            <w:r>
              <w:rPr>
                <w:rFonts w:ascii="Arial" w:cs="Arial" w:eastAsia="Arial" w:hAnsi="Arial"/>
                <w:sz w:val="18"/>
                <w:szCs w:val="18"/>
                <w:color w:val="auto"/>
              </w:rPr>
              <w:t>Total liabilities measured at fair value</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There have been no realized gains or losses on sales of marketable securities for the periods presented. The Company began investing in marketable debt securities during the third quarter of 2019 and, therefore, no security has been in an unrealized loss position for 12 months or greater. The Company determined that it did have the ability and intent to hold all marketable securities that have been in a continuous loss position until maturity or recovery. As of December 31, 2019, the Company does not consider any of its marketable debt securities to be other-than-temporarily impaired.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5" w:name="page86"/>
    <w:bookmarkEnd w:id="85"/>
    <w:p>
      <w:pPr>
        <w:jc w:val="both"/>
        <w:ind w:right="20" w:firstLine="749"/>
        <w:spacing w:after="0" w:line="277" w:lineRule="auto"/>
        <w:rPr>
          <w:sz w:val="20"/>
          <w:szCs w:val="20"/>
          <w:color w:val="auto"/>
        </w:rPr>
      </w:pPr>
      <w:r>
        <w:rPr>
          <w:rFonts w:ascii="Arial" w:cs="Arial" w:eastAsia="Arial" w:hAnsi="Arial"/>
          <w:sz w:val="18"/>
          <w:szCs w:val="18"/>
          <w:color w:val="auto"/>
        </w:rPr>
        <w:t>The Company’s marketable debt securities at December 31, 2019 have maturities due in one year or less, except for debt securities with an aggregate cost basis and fair value of $3.0 million that have maturities of 13 months.</w:t>
      </w:r>
    </w:p>
    <w:p>
      <w:pPr>
        <w:spacing w:after="0" w:line="143"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18"/>
          <w:szCs w:val="18"/>
          <w:color w:val="auto"/>
        </w:rPr>
        <w:t>The Black-Scholes option-pricing model was used to estimate the fair value of the convertible preferred stock warrants at the date of issuance and at each subsequent consolidated balance sheet date. The fair value of the convertible preferred stock warrants was also estimated at the time of conversion to common stock warrants (see Note 10). Under this option-pricing model, convertible preferred stock warrants were valued by creating a series of call options with exercise prices based on the liquidation preferences and conversion terms of each equity class. The values of the redeemable convertible preferred stock and common stock are inferred by analyzing these options.</w:t>
      </w:r>
    </w:p>
    <w:p>
      <w:pPr>
        <w:spacing w:after="0" w:line="147"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6"/>
          <w:szCs w:val="16"/>
          <w:color w:val="auto"/>
        </w:rPr>
        <w:t>The fair value of each convertible preferred stock warrant was estimated using the Black-Scholes option-pricing model with the assumptions described below. Upon conversion to common stock warrants in the second quarter of 2019 (see Note 10), no further fair value measurements were made. Therefore, there is no activity with respect to periods after the second quarter of 2019. For the periods indicated, the Company has limited historical volatility information available, and the expected volatility was based on actual 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over the expected term of the warrants.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Period Ended</w:t>
            </w:r>
          </w:p>
        </w:tc>
        <w:tc>
          <w:tcPr>
            <w:tcW w:w="2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98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5020" w:type="dxa"/>
            <w:vAlign w:val="bottom"/>
          </w:tcPr>
          <w:p>
            <w:pPr>
              <w:spacing w:after="0"/>
              <w:rPr>
                <w:sz w:val="12"/>
                <w:szCs w:val="12"/>
                <w:color w:val="auto"/>
              </w:rPr>
            </w:pPr>
          </w:p>
        </w:tc>
        <w:tc>
          <w:tcPr>
            <w:tcW w:w="2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June 24,</w:t>
            </w:r>
          </w:p>
        </w:tc>
        <w:tc>
          <w:tcPr>
            <w:tcW w:w="2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80" w:type="dxa"/>
            <w:vAlign w:val="bottom"/>
            <w:gridSpan w:val="2"/>
          </w:tcPr>
          <w:p>
            <w:pPr>
              <w:jc w:val="center"/>
              <w:ind w:right="1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020" w:type="dxa"/>
            <w:vAlign w:val="bottom"/>
            <w:tcBorders>
              <w:bottom w:val="single" w:sz="8" w:color="CFF0FC"/>
            </w:tcBorders>
          </w:tcPr>
          <w:p>
            <w:pPr>
              <w:spacing w:after="0"/>
              <w:rPr>
                <w:sz w:val="14"/>
                <w:szCs w:val="14"/>
                <w:color w:val="auto"/>
              </w:rPr>
            </w:pPr>
          </w:p>
        </w:tc>
        <w:tc>
          <w:tcPr>
            <w:tcW w:w="198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FF0FC"/>
            </w:tcBorders>
          </w:tcPr>
          <w:p>
            <w:pPr>
              <w:spacing w:after="0"/>
              <w:rPr>
                <w:sz w:val="14"/>
                <w:szCs w:val="14"/>
                <w:color w:val="auto"/>
              </w:rPr>
            </w:pPr>
          </w:p>
        </w:tc>
        <w:tc>
          <w:tcPr>
            <w:tcW w:w="198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198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4"/>
                <w:szCs w:val="14"/>
                <w:b w:val="1"/>
                <w:bCs w:val="1"/>
                <w:color w:val="auto"/>
              </w:rPr>
              <w:t>2017</w:t>
            </w: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- 5.26</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- 7.00</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- 7.50</w:t>
            </w: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57.20%</w:t>
            </w:r>
          </w:p>
        </w:tc>
        <w:tc>
          <w:tcPr>
            <w:tcW w:w="1100" w:type="dxa"/>
            <w:vAlign w:val="bottom"/>
          </w:tcPr>
          <w:p>
            <w:pPr>
              <w:ind w:left="20"/>
              <w:spacing w:after="0"/>
              <w:rPr>
                <w:sz w:val="20"/>
                <w:szCs w:val="20"/>
                <w:color w:val="auto"/>
              </w:rPr>
            </w:pPr>
            <w:r>
              <w:rPr>
                <w:rFonts w:ascii="Arial" w:cs="Arial" w:eastAsia="Arial" w:hAnsi="Arial"/>
                <w:sz w:val="18"/>
                <w:szCs w:val="18"/>
                <w:color w:val="auto"/>
              </w:rPr>
              <w:t>- 57.24%</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55.56%</w:t>
            </w:r>
          </w:p>
        </w:tc>
        <w:tc>
          <w:tcPr>
            <w:tcW w:w="1100" w:type="dxa"/>
            <w:vAlign w:val="bottom"/>
          </w:tcPr>
          <w:p>
            <w:pPr>
              <w:ind w:left="20"/>
              <w:spacing w:after="0"/>
              <w:rPr>
                <w:sz w:val="20"/>
                <w:szCs w:val="20"/>
                <w:color w:val="auto"/>
              </w:rPr>
            </w:pPr>
            <w:r>
              <w:rPr>
                <w:rFonts w:ascii="Arial" w:cs="Arial" w:eastAsia="Arial" w:hAnsi="Arial"/>
                <w:sz w:val="18"/>
                <w:szCs w:val="18"/>
                <w:color w:val="auto"/>
              </w:rPr>
              <w:t>- 56.42%</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56.07%</w:t>
            </w:r>
          </w:p>
        </w:tc>
        <w:tc>
          <w:tcPr>
            <w:tcW w:w="1100" w:type="dxa"/>
            <w:vAlign w:val="bottom"/>
          </w:tcPr>
          <w:p>
            <w:pPr>
              <w:ind w:left="20"/>
              <w:spacing w:after="0"/>
              <w:rPr>
                <w:sz w:val="20"/>
                <w:szCs w:val="20"/>
                <w:color w:val="auto"/>
              </w:rPr>
            </w:pPr>
            <w:r>
              <w:rPr>
                <w:rFonts w:ascii="Arial" w:cs="Arial" w:eastAsia="Arial" w:hAnsi="Arial"/>
                <w:sz w:val="18"/>
                <w:szCs w:val="18"/>
                <w:color w:val="auto"/>
              </w:rPr>
              <w:t>- 69.87%</w:t>
            </w: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80" w:type="dxa"/>
            <w:vAlign w:val="bottom"/>
            <w:gridSpan w:val="2"/>
            <w:shd w:val="clear" w:color="auto" w:fill="CFF0FC"/>
          </w:tcPr>
          <w:p>
            <w:pPr>
              <w:jc w:val="center"/>
              <w:ind w:right="30"/>
              <w:spacing w:after="0"/>
              <w:rPr>
                <w:sz w:val="20"/>
                <w:szCs w:val="20"/>
                <w:color w:val="auto"/>
              </w:rPr>
            </w:pPr>
            <w:r>
              <w:rPr>
                <w:rFonts w:ascii="Arial" w:cs="Arial" w:eastAsia="Arial" w:hAnsi="Arial"/>
                <w:sz w:val="18"/>
                <w:szCs w:val="18"/>
                <w:color w:val="auto"/>
                <w:w w:val="90"/>
              </w:rPr>
              <w:t>1.75%</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- 3.01%</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- 2.33%</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Dividend yield</w:t>
            </w:r>
          </w:p>
        </w:tc>
        <w:tc>
          <w:tcPr>
            <w:tcW w:w="21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w:t>
            </w:r>
          </w:p>
        </w:tc>
        <w:tc>
          <w:tcPr>
            <w:tcW w:w="21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w:t>
            </w:r>
          </w:p>
        </w:tc>
        <w:tc>
          <w:tcPr>
            <w:tcW w:w="1980" w:type="dxa"/>
            <w:vAlign w:val="bottom"/>
            <w:gridSpan w:val="2"/>
          </w:tcPr>
          <w:p>
            <w:pPr>
              <w:jc w:val="center"/>
              <w:ind w:right="10"/>
              <w:spacing w:after="0"/>
              <w:rPr>
                <w:sz w:val="20"/>
                <w:szCs w:val="20"/>
                <w:color w:val="auto"/>
              </w:rPr>
            </w:pPr>
            <w:r>
              <w:rPr>
                <w:rFonts w:ascii="Arial" w:cs="Arial" w:eastAsia="Arial" w:hAnsi="Arial"/>
                <w:sz w:val="18"/>
                <w:szCs w:val="18"/>
                <w:color w:val="auto"/>
                <w:w w:val="92"/>
              </w:rPr>
              <w:t>–%</w:t>
            </w:r>
          </w:p>
        </w:tc>
      </w:tr>
    </w:tbl>
    <w:p>
      <w:pPr>
        <w:spacing w:after="0" w:line="201" w:lineRule="exact"/>
        <w:rPr>
          <w:sz w:val="20"/>
          <w:szCs w:val="20"/>
          <w:color w:val="auto"/>
        </w:rPr>
      </w:pPr>
    </w:p>
    <w:p>
      <w:pPr>
        <w:jc w:val="both"/>
        <w:ind w:right="20" w:firstLine="749"/>
        <w:spacing w:after="0" w:line="272" w:lineRule="auto"/>
        <w:rPr>
          <w:sz w:val="20"/>
          <w:szCs w:val="20"/>
          <w:color w:val="auto"/>
        </w:rPr>
      </w:pPr>
      <w:r>
        <w:rPr>
          <w:rFonts w:ascii="Arial" w:cs="Arial" w:eastAsia="Arial" w:hAnsi="Arial"/>
          <w:sz w:val="17"/>
          <w:szCs w:val="17"/>
          <w:color w:val="auto"/>
        </w:rPr>
        <w:t>The fair value of the compound derivative instrument was estimated at the date of inception in June 2017 and at each subsequent consolidated balance sheet date using a hybrid method that combines probability-weighted and with-or-without methods using unobservable inputs, which are classified as Level 3 within the fair value hierarchy. The primary inputs for this approach included the probability of achieving various settlement scenarios that provide the lenders the right or the obligation to receive cash or a variable number of shares upon the completion of a capital transaction. The probability assumptions related to estimating various settlement scenarios as of December 31, 2018 and 2017, and the inception date ranged between 0.2% and 70%, and a discount rate of 35.1% was applied to estimated future cash flows. After the initial measurement, changes in the fair value of this compound derivative were recorded in other income (expense), net.</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table sets forth a summary of the changes in the fair value of the Company’s Level 3 financial instruments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Warrant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14"/>
                <w:szCs w:val="14"/>
                <w:color w:val="auto"/>
              </w:rPr>
            </w:pPr>
          </w:p>
        </w:tc>
        <w:tc>
          <w:tcPr>
            <w:tcW w:w="1220" w:type="dxa"/>
            <w:vAlign w:val="bottom"/>
          </w:tcPr>
          <w:p>
            <w:pPr>
              <w:jc w:val="right"/>
              <w:ind w:right="373"/>
              <w:spacing w:after="0"/>
              <w:rPr>
                <w:sz w:val="20"/>
                <w:szCs w:val="20"/>
                <w:color w:val="auto"/>
              </w:rPr>
            </w:pPr>
            <w:r>
              <w:rPr>
                <w:rFonts w:ascii="Arial" w:cs="Arial" w:eastAsia="Arial" w:hAnsi="Arial"/>
                <w:sz w:val="14"/>
                <w:szCs w:val="14"/>
                <w:b w:val="1"/>
                <w:bCs w:val="1"/>
                <w:color w:val="auto"/>
              </w:rPr>
              <w:t>Derivative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Asset</w:t>
            </w:r>
          </w:p>
        </w:tc>
        <w:tc>
          <w:tcPr>
            <w:tcW w:w="220" w:type="dxa"/>
            <w:vAlign w:val="bottom"/>
          </w:tcPr>
          <w:p>
            <w:pPr>
              <w:spacing w:after="0"/>
              <w:rPr>
                <w:sz w:val="14"/>
                <w:szCs w:val="14"/>
                <w:color w:val="auto"/>
              </w:rPr>
            </w:pPr>
          </w:p>
        </w:tc>
        <w:tc>
          <w:tcPr>
            <w:tcW w:w="1220" w:type="dxa"/>
            <w:vAlign w:val="bottom"/>
          </w:tcPr>
          <w:p>
            <w:pPr>
              <w:jc w:val="right"/>
              <w:ind w:right="433"/>
              <w:spacing w:after="0"/>
              <w:rPr>
                <w:sz w:val="20"/>
                <w:szCs w:val="20"/>
                <w:color w:val="auto"/>
              </w:rPr>
            </w:pPr>
            <w:r>
              <w:rPr>
                <w:rFonts w:ascii="Arial" w:cs="Arial" w:eastAsia="Arial" w:hAnsi="Arial"/>
                <w:sz w:val="14"/>
                <w:szCs w:val="14"/>
                <w:b w:val="1"/>
                <w:bCs w:val="1"/>
                <w:color w:val="auto"/>
              </w:rPr>
              <w:t>Liability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2016</w:t>
            </w:r>
          </w:p>
        </w:tc>
        <w:tc>
          <w:tcPr>
            <w:tcW w:w="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Issuance of convertible preferred stock warrants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Initial fair value of derivative liability</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Change in fair value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2017</w:t>
            </w:r>
          </w:p>
        </w:tc>
        <w:tc>
          <w:tcPr>
            <w:tcW w:w="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292</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Initial fair value of derivative asset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Elimination as a result of debt extinguishment</w:t>
            </w:r>
          </w:p>
        </w:tc>
        <w:tc>
          <w:tcPr>
            <w:tcW w:w="4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Balance—December 31, 2018</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Change in fair value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warrant liability to additional paid in capital on conversion</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Balance—December 31, 2019</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5540"/>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1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6. Borrowings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Amounts outstanding under the Company’s financing arrangements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Credit agreement</w:t>
            </w:r>
          </w:p>
        </w:tc>
        <w:tc>
          <w:tcPr>
            <w:tcW w:w="1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Revolving Loan</w:t>
            </w:r>
          </w:p>
        </w:tc>
        <w:tc>
          <w:tcPr>
            <w:tcW w:w="1280" w:type="dxa"/>
            <w:vAlign w:val="bottom"/>
          </w:tcPr>
          <w:p>
            <w:pPr>
              <w:jc w:val="right"/>
              <w:ind w:right="109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5,000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principal payments due</w:t>
            </w:r>
          </w:p>
        </w:tc>
        <w:tc>
          <w:tcPr>
            <w:tcW w:w="1280" w:type="dxa"/>
            <w:vAlign w:val="bottom"/>
            <w:tcBorders>
              <w:top w:val="single" w:sz="8" w:color="auto"/>
            </w:tcBorders>
            <w:shd w:val="clear" w:color="auto" w:fill="CFF0FC"/>
          </w:tcPr>
          <w:p>
            <w:pPr>
              <w:jc w:val="right"/>
              <w:ind w:right="10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5,000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Reduction in carrying value</w:t>
            </w:r>
          </w:p>
        </w:tc>
        <w:tc>
          <w:tcPr>
            <w:tcW w:w="1280" w:type="dxa"/>
            <w:vAlign w:val="bottom"/>
          </w:tcPr>
          <w:p>
            <w:pPr>
              <w:spacing w:after="0"/>
              <w:rPr>
                <w:sz w:val="19"/>
                <w:szCs w:val="19"/>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amounts outstanding</w:t>
            </w:r>
          </w:p>
        </w:tc>
        <w:tc>
          <w:tcPr>
            <w:tcW w:w="1280" w:type="dxa"/>
            <w:vAlign w:val="bottom"/>
            <w:tcBorders>
              <w:top w:val="single" w:sz="8" w:color="auto"/>
            </w:tcBorders>
            <w:shd w:val="clear" w:color="auto" w:fill="CFF0FC"/>
          </w:tcPr>
          <w:p>
            <w:pPr>
              <w:jc w:val="right"/>
              <w:ind w:right="10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4,996</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Current portion</w:t>
            </w:r>
          </w:p>
        </w:tc>
        <w:tc>
          <w:tcPr>
            <w:tcW w:w="1280" w:type="dxa"/>
            <w:vAlign w:val="bottom"/>
          </w:tcPr>
          <w:p>
            <w:pPr>
              <w:spacing w:after="0"/>
              <w:rPr>
                <w:sz w:val="19"/>
                <w:szCs w:val="19"/>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(4,996)</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portion</w:t>
            </w:r>
          </w:p>
        </w:tc>
        <w:tc>
          <w:tcPr>
            <w:tcW w:w="1280" w:type="dxa"/>
            <w:vAlign w:val="bottom"/>
            <w:tcBorders>
              <w:top w:val="single" w:sz="8" w:color="auto"/>
              <w:bottom w:val="single" w:sz="8" w:color="auto"/>
            </w:tcBorders>
            <w:shd w:val="clear" w:color="auto" w:fill="CFF0FC"/>
          </w:tcPr>
          <w:p>
            <w:pPr>
              <w:jc w:val="right"/>
              <w:ind w:right="10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9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September 2014, the Company entered into a loan and security agreement with Silicon Valley Bank to borrow up to $3.0 million under an equipment loan to be secured by the equipment financed (the “Term Loan”). On October 3, 2014, the Company borrowed $2.4 million under the Term Loan. The Term Loan required 12 interest-only payments, followed by 36 equal monthly installments of principal, plus interest, which began on October 3, 2015.</w:t>
      </w:r>
    </w:p>
    <w:p>
      <w:pPr>
        <w:spacing w:after="0" w:line="146"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In connection with the Term Loan, the Company issued to the bank a warrant exercisable for ten years from the date of grant to purchase 22,489 shares of the Company’s Series B redeemable convertible preferred stock at an exercise price of $4.60 per share (see Note 10).</w:t>
      </w:r>
    </w:p>
    <w:p>
      <w:pPr>
        <w:spacing w:after="0" w:line="106"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estimated fair value of the warrants upon draw down of $0.1 million was based on the Black-Scholes option-pricing model. The Company recorded the fair value of the warrant at issuance as a reduction in the debt-carrying value and as a warrant liability. The debt-carrying value reduction was accreted using the effective interest method as additional interest expense over the contractual period of four years for the Term Loan.</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September 30, 2018, the Term Loan was repaid in full.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Loan</w:t>
      </w:r>
    </w:p>
    <w:p>
      <w:pPr>
        <w:spacing w:after="0" w:line="18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In June 2017, the Company entered into a $10.0 million revolving loan and security agreement (the “Revolving Loan”) with TriplePoint Capital LLC (“TriplePoint”). Borrowings under the Revolving Loan bear an interest rate of prime, plus 6.75%. The Revolving Loan also has a 5.5% end of term loan payment on the highest outstanding principal amount. The Revolving Loan requires monthly interest-only payments until the maturity date. The Revolving Loan’s original maturity date was December 31, 2018, and in December 2018 the maturity date was further extended until March 22, 2019. Upon determining that the change in cash flows between the previous and current credit facility was not greater than 10%, the Company accounted for the transaction as a debt modification.</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December 31, 2018, the Company’s outstanding principal under the Revolving Loan was $5.0 million and $5.0 million was available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w:t>
      </w:r>
    </w:p>
    <w:p>
      <w:pPr>
        <w:spacing w:after="0" w:line="170"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In connection with the Revolving Loan, the Company issued to TriplePoint a warrant to purchase up to 62,096 shares of the Company’s Series C redeemable convertible preferred stock at an exercise price of $8.052 per share exercisable for seven years from June 28, 2017 (see Note 10).</w:t>
      </w:r>
    </w:p>
    <w:p>
      <w:pPr>
        <w:spacing w:after="0" w:line="83"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estimated fair value of the warrant upon draw down of $0.1 million was based on the Black-Scholes option-pricing model. The Company recorded the fair value of the warrant at issuance as a reduction in the debt-carrying value and as a warrant liability. The debt-carrying value reduction was accreted using the effective interest method as additional interest expense over the contractual period of 1.5 years for the Revolving Loan.</w:t>
      </w:r>
    </w:p>
    <w:p>
      <w:pPr>
        <w:spacing w:after="0" w:line="12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Revolving Loan had an effective interest rate of 19.22% per year. The Revolving Loan interest expense for the year ended December 31, 2018 was $0.9 million. Interest expense for the year ended December 31, 2019 was not material.</w:t>
      </w:r>
    </w:p>
    <w:p>
      <w:pPr>
        <w:spacing w:after="0" w:line="130"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 accrued $0.2 million as of December 31, 2018 related to accretion of final payment due at maturity per the agreement using the effective interest rate method.</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March 22, 2019, this Revolving Loan was repaid in full.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Growth Capital Loan</w:t>
      </w:r>
    </w:p>
    <w:p>
      <w:pPr>
        <w:spacing w:after="0" w:line="19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On March 22, 2019, the Company entered into a growth capital loan (the “Growth Capital Loan”) with TriplePoint to provide for a $20.0 million growth capital loan facility and as of June 30, 2019, had drawn down the full $20.0 million available under the facility. The Company used $5.1 million of the Growth Capital Loan to repay, in its entirety, all amounts outstanding under the Revolving Loan. Borrowings under the Growth Capital Loan bore interest at a floating rate of prime, plus 5.00%, for borrowings up to $15.0 million and the prime rate plus 6.50% for borrowings greater than $15.0 million. Under the agreement, the Company was required to make monthly interest-only payments through April 1, 2020 and was required to make 36 equal monthly payments of principal, plus accrued interest, from April 1, 2020 through March 1, 2023, when all unpaid principal and interest was to become due and payable. The agreement allowed voluntary prepayment of all, but not part, of the outstanding principal at any time prior to the maturity date, subject to a prepayment fee of 1.00% of the outstanding balance if prepaid in months one through 12 of the loan term. In addition to the final payment, the Company paid an amount equal to 2.75% of each principal amount drawn under this growth capital loan facility.</w:t>
      </w:r>
    </w:p>
    <w:p>
      <w:pPr>
        <w:spacing w:after="0" w:line="14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connection with the Growth Capital Loan, the Company issued a warrant to purchase 65,502 shares of common stock to TriplePoint at an exercise price of $9.16 per share exercisable for seven years from March 22, 2019. The Company recorded the issuance-date fair value of the warrant of $0.6 million and fees paid to TriplePoint of $0.3 million as a debt discount, which was amortized over the term of the Growth Capital Loan using the effective interest method.</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Upon issuance, the Growth Capital Loan had an effective interest rate of 15.23% per year. Interest expense for the year ended December 31, 2019 was $1.0 million.</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On August 14, 2019, the Company paid off the Growth Capital Loan in its entirety. In connection with this debt repayment, the Company recorded a $1.7 million loss on extinguishment of debt in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8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On June 29, 2017, the Company entered into a convertible promissory note agreement with certain existing redeemable convertible preferred stockholders and third parties (collectively, the “Investors”) for the issuance of convertible promissory notes with a face value of $12.2 million (the “Convertible Notes”). Under the terms of the Convertible Notes agreement, the Convertible Notes bore interest of 8.00% per annum, with a maturity date of June 28, 2018. In the event that the Company issued and sold shares of its equity securities (the “Equity Securities”) to Investors on or before the maturity date in an equity financing with total proceeds to the Company of not less than $10 million (including the conversion of the Convertible Notes or other convertible securities issued for capital raising purposes) (a “Qualified Financing”), then the outstanding principal amount of the Convertible Notes and any unpaid accrued interest would have automatically converted in whole without any further action by the holder into such Equity Securities sold in the Qualified Financing at a conversion price equal to the price paid per share for Equity Securities by the Investors in the Qualified Financing multiplied by 0.8. If the Company consummated a change of control while the Convertible Notes remained outstanding, the Company would have repaid the holders in cash an amount equal to 150% of the outstanding principal amount of the Convertible Notes, plus any unpaid accrued interest on the original principal. The Convertible Notes had customary events of default.</w:t>
      </w:r>
    </w:p>
    <w:p>
      <w:pPr>
        <w:spacing w:after="0" w:line="15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Certain conversion and redemption features of the Convertible Notes met the requirements for separate accounting and were accounted for as a single, compound derivative instrument. The compound derivative instrument was recorded at fair value at inception and was subject to remeasurement to fair value at each consolidated balance sheet date, with any changes in fair value recognized in the consolidated statements of operations as other (expense) income, net. The estimated fair value of the compound derivative instrument was $0.5 million at issuance and was recorded as a reduction in the carrying value of the Convertible Notes and as a single, compound derivative liability. The Convertible Notes carrying value reduction was accreted using the effective interest method as interest expense over the Convertible Notes contractual period of one year. The Convertible Notes had an effective interest rate of 12.69% per year.</w:t>
      </w:r>
    </w:p>
    <w:p>
      <w:pPr>
        <w:spacing w:after="0" w:line="15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On May 31, 2018, the original maturity date for the Convertible Notes was extended to June 28, 2019 (previously June 28, 2018). The maturity date extension was deemed substantial and was accounted for as a debt extinguishment. In connection with the debt extinguishment on May 31, 2018, the fair value of the Convertible Notes was allocated between the carrying amount of the Convertible Notes and accrued interest of $13.1 million, a compound derivative asset of $0.6 million, and an equity component of $3.9 million, which was credited to additional paid-in capital within the consolidated statements of redeemable convertible preferred stock and stockholders’ equity (deficit). A $3.3 million loss on debt extinguishment was also recorded in the consolidated statements of operations. The new carrying value of the Convertible Notes was accreted using the effective interest method as interest expense over the new contractual period of 1.1 years.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8" w:name="page89"/>
    <w:bookmarkEnd w:id="88"/>
    <w:p>
      <w:pPr>
        <w:jc w:val="both"/>
        <w:ind w:right="20" w:firstLine="749"/>
        <w:spacing w:after="0" w:line="273" w:lineRule="auto"/>
        <w:rPr>
          <w:sz w:val="20"/>
          <w:szCs w:val="20"/>
          <w:color w:val="auto"/>
        </w:rPr>
      </w:pPr>
      <w:r>
        <w:rPr>
          <w:rFonts w:ascii="Arial" w:cs="Arial" w:eastAsia="Arial" w:hAnsi="Arial"/>
          <w:sz w:val="17"/>
          <w:szCs w:val="17"/>
          <w:color w:val="auto"/>
        </w:rPr>
        <w:t>On August 20, 2018, the maturity date for the Convertible Notes was extended to September 20, 2018 (previously June 28, 2019). The term change was deemed substantial and was accounted for as a debt extinguishment. In connection with the debt extinguishment on August 20, 2018, the fair value of the Convertible Notes was allocated between the new carrying amount of the Convertible Notes and accrued interest of $13.4 million, and an equity component of $0.8 million, which resulted in a credit to additional paid-in capital. Upon modification, the compound derivative asset was eliminated. A $0.8 million loss on debt extinguishment was also recorded in the consolidated statements of operations. The new carrying value of Convertible Notes was accreted using the effective interest method as interest expense over the new contractual period of one month.</w:t>
      </w:r>
    </w:p>
    <w:p>
      <w:pPr>
        <w:spacing w:after="0" w:line="151"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On September 20, 2018, upon the maturity of the Convertible Notes, the carrying amount, including accrued interest of $13.4 million, was converted into 1,667,997 shares of the Company’s Series C redeemable convertible preferred stock at a conversion price equal to $8.052 per share. No gain or loss was recorded on the conversion.</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Convertible Notes interest expense for the year ended December 31, 2018 was $0.9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85"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In February 2015, the Company entered into a noncancelable operating lease for approximately 31,280 square feet of space used for its current laboratory and office space. The lease expires on November 30, 2020 and includes an option to extend the term for a period of three years immediately following the expiration of the term with rent payments equal to then current fair market rental for the space.</w:t>
      </w:r>
    </w:p>
    <w:p>
      <w:pPr>
        <w:spacing w:after="0" w:line="143"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For the 2018 periods presented, the Company recognized rent expense on a straight-line basis over the noncancelable lease term. The Company’s rent expense was $1.1 million for the year ended December 31, 2018.</w:t>
      </w:r>
    </w:p>
    <w:p>
      <w:pPr>
        <w:spacing w:after="0" w:line="143"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In August 2019, the Company entered into a noncancelable operating lease for a co-located data center space. The lease expires on September 1, 2022 and includes an option to extend the term for a period of three years immediately following the expiration of the term with rent payments to be negotiated upon such a renewal.</w:t>
      </w:r>
    </w:p>
    <w:p>
      <w:pPr>
        <w:spacing w:after="0" w:line="143" w:lineRule="exact"/>
        <w:rPr>
          <w:sz w:val="20"/>
          <w:szCs w:val="20"/>
          <w:color w:val="auto"/>
        </w:rPr>
      </w:pPr>
    </w:p>
    <w:p>
      <w:pPr>
        <w:jc w:val="both"/>
        <w:ind w:right="20" w:firstLine="749"/>
        <w:spacing w:after="0" w:line="270" w:lineRule="auto"/>
        <w:rPr>
          <w:sz w:val="20"/>
          <w:szCs w:val="20"/>
          <w:color w:val="auto"/>
        </w:rPr>
      </w:pPr>
      <w:r>
        <w:rPr>
          <w:rFonts w:ascii="Arial" w:cs="Arial" w:eastAsia="Arial" w:hAnsi="Arial"/>
          <w:sz w:val="17"/>
          <w:szCs w:val="17"/>
          <w:color w:val="auto"/>
        </w:rPr>
        <w:t>The Company adopted the new lease standard as of January 1, 2019. In determining the present value of lease payments, the Company uses its incremental borrowing rate based on the information available at the lease commencement date if the rate implicit in the lease is not readily determinable. At the date of adoption, the Company determined the amounts of lease liability related to the laboratory and office space lease using a discount rate of 8.0%, which represented the Company’s incremental borrowing rate. The Company determines its incremental borrowing rate for lease liability using its current borrowing rate, adjusted for various factors including level of collateralization and term. With respect to the lease for co-located data center space, the Company determined the amounts of lease liability using a discount rate of 6.6%, and the Company recognized a $1.1 million operating lease right-of-use asset and lease liability on the lease commencement date in September 2019. The Company determined that the optional renewal periods for both leases were not reasonably certain to be exercised as of the lease commencement dates. As a result, the optional renewal periods were not recognized as part of the right-of-use asset or lease liability.</w:t>
      </w:r>
    </w:p>
    <w:p>
      <w:pPr>
        <w:spacing w:after="0" w:line="140" w:lineRule="exact"/>
        <w:rPr>
          <w:sz w:val="20"/>
          <w:szCs w:val="20"/>
          <w:color w:val="auto"/>
        </w:rPr>
      </w:pPr>
    </w:p>
    <w:p>
      <w:pPr>
        <w:jc w:val="both"/>
        <w:ind w:right="20" w:firstLine="749"/>
        <w:spacing w:after="0" w:line="311" w:lineRule="auto"/>
        <w:rPr>
          <w:sz w:val="20"/>
          <w:szCs w:val="20"/>
          <w:color w:val="auto"/>
        </w:rPr>
      </w:pPr>
      <w:r>
        <w:rPr>
          <w:rFonts w:ascii="Arial" w:cs="Arial" w:eastAsia="Arial" w:hAnsi="Arial"/>
          <w:sz w:val="16"/>
          <w:szCs w:val="16"/>
          <w:color w:val="auto"/>
        </w:rPr>
        <w:t>Operating lease cost for the year ended December 31, 2019 was $1.1 million. Cash paid for operating lease liabilities, included in cash flow from operating activities in the Consolidated Statement of Cash Flows was $1.2 million for the year ended December 31, 2019. As of December 31, 2019, the weighted average remaining lease term for the operating leases was 1.8 years and the weighted average incremental borrowing rate was 7.3%.</w:t>
      </w:r>
    </w:p>
    <w:p>
      <w:pPr>
        <w:spacing w:after="0" w:line="122" w:lineRule="exact"/>
        <w:rPr>
          <w:sz w:val="20"/>
          <w:szCs w:val="20"/>
          <w:color w:val="auto"/>
        </w:rPr>
      </w:pPr>
    </w:p>
    <w:p>
      <w:pPr>
        <w:jc w:val="both"/>
        <w:ind w:right="40" w:firstLine="749"/>
        <w:spacing w:after="0" w:line="277" w:lineRule="auto"/>
        <w:rPr>
          <w:sz w:val="20"/>
          <w:szCs w:val="20"/>
          <w:color w:val="auto"/>
        </w:rPr>
      </w:pPr>
      <w:r>
        <w:rPr>
          <w:rFonts w:ascii="Arial" w:cs="Arial" w:eastAsia="Arial" w:hAnsi="Arial"/>
          <w:sz w:val="18"/>
          <w:szCs w:val="18"/>
          <w:color w:val="auto"/>
        </w:rPr>
        <w:t>Future minimum noncancelable operating lease payments at December 31, 2018, determined in accordance with the Company’s historical lease accounting standard (ASC 840),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Borders>
              <w:bottom w:val="single" w:sz="8" w:color="CFF0FC"/>
            </w:tcBorders>
          </w:tcPr>
          <w:p>
            <w:pPr>
              <w:spacing w:after="0"/>
              <w:rPr>
                <w:sz w:val="14"/>
                <w:szCs w:val="14"/>
                <w:color w:val="auto"/>
              </w:rPr>
            </w:pPr>
          </w:p>
        </w:tc>
        <w:tc>
          <w:tcPr>
            <w:tcW w:w="50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jc w:val="right"/>
              <w:ind w:right="3810"/>
              <w:spacing w:after="0"/>
              <w:rPr>
                <w:sz w:val="20"/>
                <w:szCs w:val="20"/>
                <w:color w:val="auto"/>
              </w:rPr>
            </w:pPr>
            <w:r>
              <w:rPr>
                <w:rFonts w:ascii="Arial" w:cs="Arial" w:eastAsia="Arial" w:hAnsi="Arial"/>
                <w:sz w:val="18"/>
                <w:szCs w:val="18"/>
                <w:color w:val="auto"/>
                <w:w w:val="84"/>
              </w:rPr>
              <w:t>2019</w:t>
            </w:r>
          </w:p>
        </w:tc>
        <w:tc>
          <w:tcPr>
            <w:tcW w:w="50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FF0FC"/>
            </w:tcBorders>
          </w:tcPr>
          <w:p>
            <w:pPr>
              <w:jc w:val="right"/>
              <w:ind w:right="3810"/>
              <w:spacing w:after="0"/>
              <w:rPr>
                <w:sz w:val="20"/>
                <w:szCs w:val="20"/>
                <w:color w:val="auto"/>
              </w:rPr>
            </w:pPr>
            <w:r>
              <w:rPr>
                <w:rFonts w:ascii="Arial" w:cs="Arial" w:eastAsia="Arial" w:hAnsi="Arial"/>
                <w:sz w:val="18"/>
                <w:szCs w:val="18"/>
                <w:color w:val="auto"/>
                <w:w w:val="84"/>
              </w:rPr>
              <w:t>2020</w:t>
            </w:r>
          </w:p>
        </w:tc>
        <w:tc>
          <w:tcPr>
            <w:tcW w:w="50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shd w:val="clear" w:color="auto" w:fill="CFF0FC"/>
          </w:tcPr>
          <w:p>
            <w:pPr>
              <w:jc w:val="right"/>
              <w:ind w:right="1190"/>
              <w:spacing w:after="0"/>
              <w:rPr>
                <w:sz w:val="20"/>
                <w:szCs w:val="20"/>
                <w:color w:val="auto"/>
              </w:rPr>
            </w:pPr>
            <w:r>
              <w:rPr>
                <w:rFonts w:ascii="Arial" w:cs="Arial" w:eastAsia="Arial" w:hAnsi="Arial"/>
                <w:sz w:val="18"/>
                <w:szCs w:val="18"/>
                <w:color w:val="auto"/>
                <w:w w:val="98"/>
              </w:rPr>
              <w:t>Total future minimum lease payments</w:t>
            </w:r>
          </w:p>
        </w:tc>
        <w:tc>
          <w:tcPr>
            <w:tcW w:w="50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000" w:type="dxa"/>
            <w:vAlign w:val="bottom"/>
            <w:vMerge w:val="restart"/>
          </w:tcPr>
          <w:p>
            <w:pPr>
              <w:jc w:val="right"/>
              <w:ind w:right="3450"/>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89" w:name="page90"/>
    <w:bookmarkEnd w:id="89"/>
    <w:p>
      <w:pPr>
        <w:ind w:left="760"/>
        <w:spacing w:after="0"/>
        <w:rPr>
          <w:sz w:val="20"/>
          <w:szCs w:val="20"/>
          <w:color w:val="auto"/>
        </w:rPr>
      </w:pPr>
      <w:r>
        <w:rPr>
          <w:rFonts w:ascii="Arial" w:cs="Arial" w:eastAsia="Arial" w:hAnsi="Arial"/>
          <w:sz w:val="18"/>
          <w:szCs w:val="18"/>
          <w:color w:val="auto"/>
        </w:rPr>
        <w:t>Future minimum lease payments under noncancelable operating leases as of December 31, 2019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Amount</w:t>
            </w: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1,408</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403</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319</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Pr>
          <w:p>
            <w:pPr>
              <w:spacing w:after="0"/>
              <w:rPr>
                <w:sz w:val="19"/>
                <w:szCs w:val="19"/>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2,130</w:t>
            </w: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Present value of future minimum lease payments</w:t>
            </w:r>
          </w:p>
        </w:tc>
        <w:tc>
          <w:tcPr>
            <w:tcW w:w="20" w:type="dxa"/>
            <w:vAlign w:val="bottom"/>
          </w:tcPr>
          <w:p>
            <w:pPr>
              <w:spacing w:after="0"/>
              <w:rPr>
                <w:sz w:val="19"/>
                <w:szCs w:val="19"/>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2,000</w:t>
            </w: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Current portion of operating lease liabilities</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Operating lease liabilities - noncurrent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639</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Preferred Stock</w:t>
      </w:r>
    </w:p>
    <w:p>
      <w:pPr>
        <w:spacing w:after="0" w:line="18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Series A redeemable convertible preferred stock, Series B redeemable convertible preferred stock, and Series C redeemable convertible preferred stock (collectively the “Redeemable Convertible Preferred Stock”) outstanding consisted of the following as of December 31, 2018 and as of immediately prior to the automatic conversion of the Redeemable Convertible Preferred Stock into common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Shares Issued</w:t>
            </w:r>
          </w:p>
        </w:tc>
        <w:tc>
          <w:tcPr>
            <w:tcW w:w="100" w:type="dxa"/>
            <w:vAlign w:val="bottom"/>
          </w:tcPr>
          <w:p>
            <w:pPr>
              <w:spacing w:after="0"/>
              <w:rPr>
                <w:sz w:val="11"/>
                <w:szCs w:val="11"/>
                <w:color w:val="auto"/>
              </w:rPr>
            </w:pPr>
          </w:p>
        </w:tc>
        <w:tc>
          <w:tcPr>
            <w:tcW w:w="88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160"/>
              <w:spacing w:after="0" w:line="133" w:lineRule="exact"/>
              <w:rPr>
                <w:sz w:val="20"/>
                <w:szCs w:val="20"/>
                <w:color w:val="auto"/>
              </w:rPr>
            </w:pPr>
            <w:r>
              <w:rPr>
                <w:rFonts w:ascii="Arial" w:cs="Arial" w:eastAsia="Arial" w:hAnsi="Arial"/>
                <w:sz w:val="14"/>
                <w:szCs w:val="14"/>
                <w:b w:val="1"/>
                <w:bCs w:val="1"/>
                <w:color w:val="auto"/>
                <w:w w:val="98"/>
              </w:rPr>
              <w:t>Original</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Issuance</w:t>
            </w:r>
          </w:p>
        </w:tc>
        <w:tc>
          <w:tcPr>
            <w:tcW w:w="98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48"/>
        </w:trPr>
        <w:tc>
          <w:tcPr>
            <w:tcW w:w="4660" w:type="dxa"/>
            <w:vAlign w:val="bottom"/>
            <w:vMerge w:val="restart"/>
          </w:tcPr>
          <w:p>
            <w:pPr>
              <w:spacing w:after="0"/>
              <w:rPr>
                <w:sz w:val="20"/>
                <w:szCs w:val="20"/>
                <w:color w:val="auto"/>
              </w:rPr>
            </w:pPr>
            <w:r>
              <w:rPr>
                <w:rFonts w:ascii="Arial" w:cs="Arial" w:eastAsia="Arial" w:hAnsi="Arial"/>
                <w:sz w:val="18"/>
                <w:szCs w:val="18"/>
                <w:color w:val="auto"/>
              </w:rPr>
              <w:t>(in thousands, except share and per share data)</w:t>
            </w: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980" w:type="dxa"/>
            <w:vAlign w:val="bottom"/>
            <w:gridSpan w:val="2"/>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4660" w:type="dxa"/>
            <w:vAlign w:val="bottom"/>
            <w:vMerge w:val="continue"/>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Authorized</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8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Preference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Costs</w:t>
            </w:r>
          </w:p>
        </w:tc>
        <w:tc>
          <w:tcPr>
            <w:tcW w:w="18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4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06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31,250,000</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7,812,497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20,500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20,261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Series B</w:t>
            </w:r>
          </w:p>
        </w:tc>
        <w:tc>
          <w:tcPr>
            <w:tcW w:w="1060" w:type="dxa"/>
            <w:vAlign w:val="bottom"/>
          </w:tcPr>
          <w:p>
            <w:pPr>
              <w:ind w:left="120"/>
              <w:spacing w:after="0"/>
              <w:rPr>
                <w:sz w:val="20"/>
                <w:szCs w:val="20"/>
                <w:color w:val="auto"/>
              </w:rPr>
            </w:pPr>
            <w:r>
              <w:rPr>
                <w:rFonts w:ascii="Arial" w:cs="Arial" w:eastAsia="Arial" w:hAnsi="Arial"/>
                <w:sz w:val="18"/>
                <w:szCs w:val="18"/>
                <w:color w:val="auto"/>
              </w:rPr>
              <w:t>19,288,150</w:t>
            </w:r>
          </w:p>
        </w:tc>
        <w:tc>
          <w:tcPr>
            <w:tcW w:w="10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4,799,548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22,078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22,047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0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24,700,000</w:t>
            </w:r>
          </w:p>
        </w:tc>
        <w:tc>
          <w:tcPr>
            <w:tcW w:w="1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5,862,697</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47,206</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47,096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36"/>
        </w:trPr>
        <w:tc>
          <w:tcPr>
            <w:tcW w:w="4660" w:type="dxa"/>
            <w:vAlign w:val="bottom"/>
          </w:tcPr>
          <w:p>
            <w:pPr>
              <w:ind w:left="260"/>
              <w:spacing w:after="0"/>
              <w:rPr>
                <w:sz w:val="20"/>
                <w:szCs w:val="20"/>
                <w:color w:val="auto"/>
              </w:rPr>
            </w:pPr>
            <w:r>
              <w:rPr>
                <w:rFonts w:ascii="Arial" w:cs="Arial" w:eastAsia="Arial" w:hAnsi="Arial"/>
                <w:sz w:val="18"/>
                <w:szCs w:val="18"/>
                <w:color w:val="auto"/>
              </w:rPr>
              <w:t>Total redeemable convertible preferred stock</w:t>
            </w:r>
          </w:p>
        </w:tc>
        <w:tc>
          <w:tcPr>
            <w:tcW w:w="1060" w:type="dxa"/>
            <w:vAlign w:val="bottom"/>
          </w:tcPr>
          <w:p>
            <w:pPr>
              <w:ind w:left="120"/>
              <w:spacing w:after="0"/>
              <w:rPr>
                <w:sz w:val="20"/>
                <w:szCs w:val="20"/>
                <w:color w:val="auto"/>
              </w:rPr>
            </w:pPr>
            <w:r>
              <w:rPr>
                <w:rFonts w:ascii="Arial" w:cs="Arial" w:eastAsia="Arial" w:hAnsi="Arial"/>
                <w:sz w:val="18"/>
                <w:szCs w:val="18"/>
                <w:color w:val="auto"/>
              </w:rPr>
              <w:t>75,238,150</w:t>
            </w:r>
          </w:p>
        </w:tc>
        <w:tc>
          <w:tcPr>
            <w:tcW w:w="100" w:type="dxa"/>
            <w:vAlign w:val="bottom"/>
          </w:tcPr>
          <w:p>
            <w:pPr>
              <w:spacing w:after="0"/>
              <w:rPr>
                <w:sz w:val="20"/>
                <w:szCs w:val="20"/>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w w:val="99"/>
              </w:rPr>
              <w:t>18,474,742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89,784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89,404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Immediately prior to the closing of the Company’s IPO, all shares of the Company’s then-outstanding Redeemable Convertible Preferred Stock, as shown in the table above, automatically converted on a one-for-one basis into an aggregate of 18,474,703 shares of common stock. The Reverse Stock Split was effected on a holder-by-holder basis with no fractional shares issued, which resulted in 39 fewer shares of common stock issued as compared to the amounts shown in the above table.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Equity Incentive Plan and 2019 Equity Incentive Plan</w:t>
      </w:r>
    </w:p>
    <w:p>
      <w:pPr>
        <w:spacing w:after="0" w:line="18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In 2011, the Company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(“RSUs”). Options under the 2011 Plan could be granted for periods of up to 10 years. The ISOs could be granted at a price per share not less than the fair value at the date of grant. The exercise price of an ISO granted to a 10% stockholder was not less than 110% of the estimated fair value of the shares on the date of grant, as determined by the board of directors (the “Board”). Options granted to new hires generally vested over a four-year period, with 25% vesting at the end of one year and the remaining vesting monthly thereafter; options granted as merit awards generally vested monthly over a four-year period.</w:t>
      </w:r>
    </w:p>
    <w:p>
      <w:pPr>
        <w:spacing w:after="0" w:line="13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For stock option grants issued prior to December 31, 2015, the Company allowed employees to exercise options granted under the 2011 Plan prior to vesting (early exercise of stock options). The unvested shares are subject to the Company’s repurchase rights at the original purchase price. Initially, the proceeds were recorded as an accrued liability from the early exercise of stock options and reclassified to common stock as the Company’s repurchase rights lapsed. There were zero and 262 unvested shares subject to the Company’s repurchase rights as of December 31, 2019 and 2018, respectively.</w:t>
      </w:r>
    </w:p>
    <w:p>
      <w:pPr>
        <w:spacing w:after="0" w:line="147"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Company’s Board adopted and the Company’s stockholders approved the Company’s 2019 Equity Incentive Plan (the “2019 Plan”) in May 2019 and June 2019, respectively. The 2019 Plan became effective in June 2019 in connection with the Company’s IPO, and no further grants will be made under the 2011 Plan. Shares reserved and remaining available for issuance under the 2011 Plan were added to the 2019 Plan reserve upon its effectiveness.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jc w:val="both"/>
        <w:ind w:right="20" w:firstLine="749"/>
        <w:spacing w:after="0" w:line="255" w:lineRule="auto"/>
        <w:rPr>
          <w:sz w:val="20"/>
          <w:szCs w:val="20"/>
          <w:color w:val="auto"/>
        </w:rPr>
      </w:pPr>
      <w:r>
        <w:rPr>
          <w:rFonts w:ascii="Arial" w:cs="Arial" w:eastAsia="Arial" w:hAnsi="Arial"/>
          <w:sz w:val="18"/>
          <w:szCs w:val="18"/>
          <w:color w:val="auto"/>
        </w:rPr>
        <w:t>The 2019 Plan provides for the grant of ISOs, NSOs, stock appreciation rights, restricted stock awards, RSUs,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our common stock on the date of grant. Options under the 2019 Plan may be granted for periods of up to 10 years.</w:t>
      </w:r>
    </w:p>
    <w:p>
      <w:pPr>
        <w:spacing w:after="0" w:line="165"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At December 31, 2018 there were 4,647,839 shares of common stock available for issuance under the 2011 Plan. At December 31, 2019 there were 4,474,057 shares of common stock available for issuance under the 2011 Plan and 2,769,721 available for issuance under the 2019 Plan.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 summary of the Company’s stock option activity under the 2011 Plan and 2019 Plan for the year ended December 31, 2019 is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vMerge w:val="restart"/>
          </w:tcPr>
          <w:p>
            <w:pPr>
              <w:spacing w:after="0"/>
              <w:rPr>
                <w:sz w:val="20"/>
                <w:szCs w:val="20"/>
                <w:color w:val="auto"/>
              </w:rPr>
            </w:pPr>
            <w:r>
              <w:rPr>
                <w:rFonts w:ascii="Arial" w:cs="Arial" w:eastAsia="Arial" w:hAnsi="Arial"/>
                <w:sz w:val="18"/>
                <w:szCs w:val="18"/>
                <w:color w:val="auto"/>
              </w:rPr>
              <w:t>(in thousands, except share and per share data)</w:t>
            </w: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240" w:type="dxa"/>
            <w:vAlign w:val="bottom"/>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24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Term (in years)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2016</w:t>
            </w:r>
          </w:p>
        </w:tc>
        <w:tc>
          <w:tcPr>
            <w:tcW w:w="12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2,112,394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1.76</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6.41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898,510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(95,752)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ind w:right="34"/>
              <w:spacing w:after="0"/>
              <w:rPr>
                <w:sz w:val="20"/>
                <w:szCs w:val="20"/>
                <w:color w:val="auto"/>
              </w:rPr>
            </w:pPr>
            <w:r>
              <w:rPr>
                <w:rFonts w:ascii="Arial" w:cs="Arial" w:eastAsia="Arial" w:hAnsi="Arial"/>
                <w:sz w:val="18"/>
                <w:szCs w:val="18"/>
                <w:color w:val="auto"/>
              </w:rPr>
              <w:t>3.20</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Balance—December 31, 2017</w:t>
            </w: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2,884,527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6.61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1,386,464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(126,435)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ind w:right="34"/>
              <w:spacing w:after="0"/>
              <w:rPr>
                <w:sz w:val="20"/>
                <w:szCs w:val="20"/>
                <w:color w:val="auto"/>
              </w:rPr>
            </w:pPr>
            <w:r>
              <w:rPr>
                <w:rFonts w:ascii="Arial" w:cs="Arial" w:eastAsia="Arial" w:hAnsi="Arial"/>
                <w:sz w:val="18"/>
                <w:szCs w:val="18"/>
                <w:color w:val="auto"/>
              </w:rPr>
              <w:t>2.96</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Balance—December 31, 2018</w:t>
            </w: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4,110,130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6.94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24,716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988,913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11.81</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(79,676)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ind w:right="34"/>
              <w:spacing w:after="0"/>
              <w:rPr>
                <w:sz w:val="20"/>
                <w:szCs w:val="20"/>
                <w:color w:val="auto"/>
              </w:rPr>
            </w:pPr>
            <w:r>
              <w:rPr>
                <w:rFonts w:ascii="Arial" w:cs="Arial" w:eastAsia="Arial" w:hAnsi="Arial"/>
                <w:sz w:val="18"/>
                <w:szCs w:val="18"/>
                <w:color w:val="auto"/>
              </w:rPr>
              <w:t>6.61</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4,731,435</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4.94</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6.60</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29,730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Options vested and exercisable as of December 31, 2019</w:t>
            </w: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line="20" w:lineRule="exact"/>
              <w:rPr>
                <w:sz w:val="1"/>
                <w:szCs w:val="1"/>
                <w:color w:val="auto"/>
              </w:rPr>
            </w:pPr>
          </w:p>
        </w:tc>
        <w:tc>
          <w:tcPr>
            <w:tcW w:w="1240" w:type="dxa"/>
            <w:vAlign w:val="bottom"/>
            <w:vMerge w:val="restart"/>
          </w:tcPr>
          <w:p>
            <w:pPr>
              <w:jc w:val="right"/>
              <w:ind w:right="39"/>
              <w:spacing w:after="0"/>
              <w:rPr>
                <w:sz w:val="20"/>
                <w:szCs w:val="20"/>
                <w:color w:val="auto"/>
              </w:rPr>
            </w:pPr>
            <w:r>
              <w:rPr>
                <w:rFonts w:ascii="Arial" w:cs="Arial" w:eastAsia="Arial" w:hAnsi="Arial"/>
                <w:sz w:val="18"/>
                <w:szCs w:val="18"/>
                <w:color w:val="auto"/>
              </w:rPr>
              <w:t>5.13</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35"/>
              <w:spacing w:after="0"/>
              <w:rPr>
                <w:sz w:val="20"/>
                <w:szCs w:val="20"/>
                <w:color w:val="auto"/>
              </w:rPr>
            </w:pPr>
            <w:r>
              <w:rPr>
                <w:rFonts w:ascii="Arial" w:cs="Arial" w:eastAsia="Arial" w:hAnsi="Arial"/>
                <w:sz w:val="18"/>
                <w:szCs w:val="18"/>
                <w:color w:val="auto"/>
              </w:rPr>
              <w:t>22,858</w:t>
            </w: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2,841,458</w:t>
            </w:r>
          </w:p>
        </w:tc>
        <w:tc>
          <w:tcPr>
            <w:tcW w:w="24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aggregate intrinsic value of unexercised stock options is calculated as the difference between the closing price of the Company’s common stock of $10.90 on December 31, 2019 and the exercise prices of the underlying stock options. Out-of-the money stock options are excluded from the aggregate intrinsic value.</w:t>
      </w:r>
    </w:p>
    <w:p>
      <w:pPr>
        <w:spacing w:after="0" w:line="157"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weighted-average grant date fair value of options granted was $8.00, $5.68, and $2.44 per share for the twelve months ended December 31, 2019, 2018, and 2017, respectively. As of December 31, 2019, the unrecognized stock-based compensation of unvested options was $9.6 million, which is expected to be recognized over a weighted-average period of 2.8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Activity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Company’s RSUs activity under the 2019 Plan for the year ended December 31,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360" w:type="dxa"/>
            <w:vAlign w:val="bottom"/>
            <w:tcBorders>
              <w:bottom w:val="single" w:sz="8" w:color="auto"/>
            </w:tcBorders>
            <w:gridSpan w:val="6"/>
          </w:tcPr>
          <w:p>
            <w:pPr>
              <w:jc w:val="center"/>
              <w:ind w:left="1018"/>
              <w:spacing w:after="0"/>
              <w:rPr>
                <w:sz w:val="20"/>
                <w:szCs w:val="20"/>
                <w:color w:val="auto"/>
              </w:rPr>
            </w:pPr>
            <w:r>
              <w:rPr>
                <w:rFonts w:ascii="Arial" w:cs="Arial" w:eastAsia="Arial" w:hAnsi="Arial"/>
                <w:sz w:val="14"/>
                <w:szCs w:val="14"/>
                <w:b w:val="1"/>
                <w:bCs w:val="1"/>
                <w:color w:val="auto"/>
                <w:w w:val="91"/>
              </w:rPr>
              <w:t>Unvested Restricted Stock Units</w:t>
            </w: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2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center"/>
              <w:ind w:right="117"/>
              <w:spacing w:after="0" w:line="133"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Aggregate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vMerge w:val="restart"/>
          </w:tcPr>
          <w:p>
            <w:pPr>
              <w:spacing w:after="0"/>
              <w:rPr>
                <w:sz w:val="20"/>
                <w:szCs w:val="20"/>
                <w:color w:val="auto"/>
              </w:rPr>
            </w:pPr>
            <w:r>
              <w:rPr>
                <w:rFonts w:ascii="Arial" w:cs="Arial" w:eastAsia="Arial" w:hAnsi="Arial"/>
                <w:sz w:val="18"/>
                <w:szCs w:val="18"/>
                <w:color w:val="auto"/>
              </w:rPr>
              <w:t>(in thousands, except share and per share data)</w:t>
            </w:r>
          </w:p>
        </w:tc>
        <w:tc>
          <w:tcPr>
            <w:tcW w:w="2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CFF0FC"/>
            </w:tcBorders>
            <w:vMerge w:val="continue"/>
          </w:tcPr>
          <w:p>
            <w:pPr>
              <w:spacing w:after="0"/>
              <w:rPr>
                <w:sz w:val="14"/>
                <w:szCs w:val="14"/>
                <w:color w:val="auto"/>
              </w:rPr>
            </w:pPr>
          </w:p>
        </w:tc>
        <w:tc>
          <w:tcPr>
            <w:tcW w:w="222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Balance—December 31, 2018</w:t>
            </w:r>
          </w:p>
        </w:tc>
        <w:tc>
          <w:tcPr>
            <w:tcW w:w="2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RSUs granted</w:t>
            </w:r>
          </w:p>
        </w:tc>
        <w:tc>
          <w:tcPr>
            <w:tcW w:w="3640" w:type="dxa"/>
            <w:vAlign w:val="bottom"/>
            <w:gridSpan w:val="2"/>
          </w:tcPr>
          <w:p>
            <w:pPr>
              <w:jc w:val="right"/>
              <w:ind w:right="38"/>
              <w:spacing w:after="0"/>
              <w:rPr>
                <w:sz w:val="20"/>
                <w:szCs w:val="20"/>
                <w:color w:val="auto"/>
              </w:rPr>
            </w:pPr>
            <w:r>
              <w:rPr>
                <w:rFonts w:ascii="Arial" w:cs="Arial" w:eastAsia="Arial" w:hAnsi="Arial"/>
                <w:sz w:val="18"/>
                <w:szCs w:val="18"/>
                <w:color w:val="auto"/>
              </w:rPr>
              <w:t>120,000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8.86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RSUs vested</w:t>
            </w:r>
          </w:p>
        </w:tc>
        <w:tc>
          <w:tcPr>
            <w:tcW w:w="2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RSUs cancelled</w:t>
            </w:r>
          </w:p>
        </w:tc>
        <w:tc>
          <w:tcPr>
            <w:tcW w:w="22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22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120,000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8.86</w:t>
            </w:r>
          </w:p>
        </w:tc>
        <w:tc>
          <w:tcPr>
            <w:tcW w:w="3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1,308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20" w:type="dxa"/>
            <w:vAlign w:val="bottom"/>
            <w:vMerge w:val="restart"/>
          </w:tcPr>
          <w:p>
            <w:pPr>
              <w:jc w:val="right"/>
              <w:ind w:right="850"/>
              <w:spacing w:after="0"/>
              <w:rPr>
                <w:sz w:val="20"/>
                <w:szCs w:val="20"/>
                <w:color w:val="auto"/>
              </w:rPr>
            </w:pPr>
            <w:r>
              <w:rPr>
                <w:rFonts w:ascii="Arial" w:cs="Arial" w:eastAsia="Arial" w:hAnsi="Arial"/>
                <w:sz w:val="18"/>
                <w:szCs w:val="18"/>
                <w:color w:val="auto"/>
              </w:rPr>
              <w:t>91</w:t>
            </w: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91" w:name="page92"/>
    <w:bookmarkEnd w:id="91"/>
    <w:p>
      <w:pPr>
        <w:jc w:val="both"/>
        <w:ind w:firstLine="749"/>
        <w:spacing w:after="0" w:line="259" w:lineRule="auto"/>
        <w:rPr>
          <w:sz w:val="20"/>
          <w:szCs w:val="20"/>
          <w:color w:val="auto"/>
        </w:rPr>
      </w:pPr>
      <w:r>
        <w:rPr>
          <w:rFonts w:ascii="Arial" w:cs="Arial" w:eastAsia="Arial" w:hAnsi="Arial"/>
          <w:sz w:val="18"/>
          <w:szCs w:val="18"/>
          <w:color w:val="auto"/>
        </w:rPr>
        <w:t>The Company granted RSUs to employees to receive shares of the Company’s common stock. The RSUs awarded are subject to each individual’s continued service to the Company through each applicable vesting date over a three-year period. The Company accounted for the fair value of the RSUs using the closing market price of the Company’s common stock on the date of grant. The aggregate fair value of unvested RSUs is calculated using the closing price of the Company’s common stock of $10.90 on December 31, 2019.</w:t>
      </w:r>
    </w:p>
    <w:p>
      <w:pPr>
        <w:spacing w:after="0" w:line="146"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Amortization of stock-based compensation expense related to RSUs in 2019 was not material. As of December 31, 2019, the unrecognized stock-based compensation of unvested RSUs was $1.0 million, which is expected to be recognized over a weighted-average period of 2.9 years.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Stock Options</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Company estimated the fair value of stock options using the Black-Scholes option-pricing model. The fair value of stock options is recognized on a straight-line basis over the requisite service periods of the awards.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fair value of stock options was estimated using the following weighted-average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495"/>
              <w:spacing w:after="0" w:line="155"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495"/>
              <w:spacing w:after="0" w:line="155"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495"/>
              <w:spacing w:after="0" w:line="155" w:lineRule="exact"/>
              <w:rPr>
                <w:sz w:val="20"/>
                <w:szCs w:val="20"/>
                <w:color w:val="auto"/>
              </w:rPr>
            </w:pPr>
            <w:r>
              <w:rPr>
                <w:rFonts w:ascii="Arial" w:cs="Arial" w:eastAsia="Arial" w:hAnsi="Arial"/>
                <w:sz w:val="14"/>
                <w:szCs w:val="14"/>
                <w:b w:val="1"/>
                <w:bCs w:val="1"/>
                <w:color w:val="auto"/>
                <w:w w:val="96"/>
              </w:rPr>
              <w:t>2017</w:t>
            </w: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4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5.00 - 6.87</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1.50 - 6.35</w:t>
            </w: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5.97 - 6.95</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56.20</w:t>
            </w:r>
          </w:p>
        </w:tc>
        <w:tc>
          <w:tcPr>
            <w:tcW w:w="860" w:type="dxa"/>
            <w:vAlign w:val="bottom"/>
          </w:tcPr>
          <w:p>
            <w:pPr>
              <w:ind w:left="40"/>
              <w:spacing w:after="0"/>
              <w:rPr>
                <w:sz w:val="20"/>
                <w:szCs w:val="20"/>
                <w:color w:val="auto"/>
              </w:rPr>
            </w:pPr>
            <w:r>
              <w:rPr>
                <w:rFonts w:ascii="Arial" w:cs="Arial" w:eastAsia="Arial" w:hAnsi="Arial"/>
                <w:sz w:val="18"/>
                <w:szCs w:val="18"/>
                <w:color w:val="auto"/>
              </w:rPr>
              <w:t>- 63.08%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52.19</w:t>
            </w:r>
          </w:p>
        </w:tc>
        <w:tc>
          <w:tcPr>
            <w:tcW w:w="860" w:type="dxa"/>
            <w:vAlign w:val="bottom"/>
          </w:tcPr>
          <w:p>
            <w:pPr>
              <w:ind w:left="40"/>
              <w:spacing w:after="0"/>
              <w:rPr>
                <w:sz w:val="20"/>
                <w:szCs w:val="20"/>
                <w:color w:val="auto"/>
              </w:rPr>
            </w:pPr>
            <w:r>
              <w:rPr>
                <w:rFonts w:ascii="Arial" w:cs="Arial" w:eastAsia="Arial" w:hAnsi="Arial"/>
                <w:sz w:val="18"/>
                <w:szCs w:val="18"/>
                <w:color w:val="auto"/>
              </w:rPr>
              <w:t>- 56.47%</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56.05</w:t>
            </w:r>
          </w:p>
        </w:tc>
        <w:tc>
          <w:tcPr>
            <w:tcW w:w="880" w:type="dxa"/>
            <w:vAlign w:val="bottom"/>
          </w:tcPr>
          <w:p>
            <w:pPr>
              <w:ind w:left="40"/>
              <w:spacing w:after="0"/>
              <w:rPr>
                <w:sz w:val="20"/>
                <w:szCs w:val="20"/>
                <w:color w:val="auto"/>
              </w:rPr>
            </w:pPr>
            <w:r>
              <w:rPr>
                <w:rFonts w:ascii="Arial" w:cs="Arial" w:eastAsia="Arial" w:hAnsi="Arial"/>
                <w:sz w:val="18"/>
                <w:szCs w:val="18"/>
                <w:color w:val="auto"/>
              </w:rPr>
              <w:t>- 65.78%</w:t>
            </w: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- 2.52%</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- 2.88%</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- 2.10%</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Dividend yield</w:t>
            </w:r>
          </w:p>
        </w:tc>
        <w:tc>
          <w:tcPr>
            <w:tcW w:w="560" w:type="dxa"/>
            <w:vAlign w:val="bottom"/>
          </w:tcPr>
          <w:p>
            <w:pPr>
              <w:spacing w:after="0"/>
              <w:rPr>
                <w:sz w:val="20"/>
                <w:szCs w:val="20"/>
                <w:color w:val="auto"/>
              </w:rPr>
            </w:pPr>
          </w:p>
        </w:tc>
        <w:tc>
          <w:tcPr>
            <w:tcW w:w="860" w:type="dxa"/>
            <w:vAlign w:val="bottom"/>
          </w:tcPr>
          <w:p>
            <w:pPr>
              <w:jc w:val="center"/>
              <w:ind w:right="495"/>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2"/>
          </w:tcPr>
          <w:p>
            <w:pPr>
              <w:jc w:val="center"/>
              <w:ind w:right="740"/>
              <w:spacing w:after="0"/>
              <w:rPr>
                <w:sz w:val="20"/>
                <w:szCs w:val="20"/>
                <w:color w:val="auto"/>
              </w:rPr>
            </w:pPr>
            <w:r>
              <w:rPr>
                <w:rFonts w:ascii="Arial" w:cs="Arial" w:eastAsia="Arial" w:hAnsi="Arial"/>
                <w:sz w:val="18"/>
                <w:szCs w:val="18"/>
                <w:color w:val="auto"/>
                <w:w w:val="92"/>
              </w:rPr>
              <w:t>–%</w:t>
            </w:r>
          </w:p>
        </w:tc>
        <w:tc>
          <w:tcPr>
            <w:tcW w:w="560" w:type="dxa"/>
            <w:vAlign w:val="bottom"/>
          </w:tcPr>
          <w:p>
            <w:pPr>
              <w:spacing w:after="0"/>
              <w:rPr>
                <w:sz w:val="20"/>
                <w:szCs w:val="20"/>
                <w:color w:val="auto"/>
              </w:rPr>
            </w:pPr>
          </w:p>
        </w:tc>
        <w:tc>
          <w:tcPr>
            <w:tcW w:w="880" w:type="dxa"/>
            <w:vAlign w:val="bottom"/>
          </w:tcPr>
          <w:p>
            <w:pPr>
              <w:jc w:val="center"/>
              <w:ind w:right="475"/>
              <w:spacing w:after="0"/>
              <w:rPr>
                <w:sz w:val="20"/>
                <w:szCs w:val="20"/>
                <w:color w:val="auto"/>
              </w:rPr>
            </w:pPr>
            <w:r>
              <w:rPr>
                <w:rFonts w:ascii="Arial" w:cs="Arial" w:eastAsia="Arial" w:hAnsi="Arial"/>
                <w:sz w:val="18"/>
                <w:szCs w:val="18"/>
                <w:color w:val="auto"/>
                <w:w w:val="92"/>
              </w:rPr>
              <w:t>–%</w:t>
            </w:r>
          </w:p>
        </w:tc>
      </w:tr>
    </w:tbl>
    <w:p>
      <w:pPr>
        <w:spacing w:after="0" w:line="20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is calculated using the simplified method, which is available if there is insufficient historical data about</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patterns and post-vesting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times from grant until the midpoints for each of the tranches may be averaged to provide an overall expected term.</w:t>
      </w:r>
    </w:p>
    <w:p>
      <w:pPr>
        <w:spacing w:after="0" w:line="16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used an average historical stock price volatility of a peer group of publicly traded companies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implied yield currently available on U.S. Treasury zero-coupon issues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terms equivalent to the expected term of a stock award.</w:t>
      </w:r>
    </w:p>
    <w:p>
      <w:pPr>
        <w:spacing w:after="0" w:line="13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not paid and does not anticipate paying any dividends in the near future. Accordingly,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has estimated the dividend yield to be zero.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Employee Stock Purchase Plan</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May 2019, the Board adopted the 2019 Employee Stock Purchase Plan (the “ESPP”), which was approved by the Company’s stockholders in June 2019. A total of 250,000 shares of common stock are initially reserved for issuance under the ESPP. The number of shares may be increased in accordance with the terms of the ESPP.</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Except for the initial offering period, the ESPP provides for separate six-month offering periods beginning on May 1 and November 1 of each year. The initial offering period ran from June 20, 2019 through October 31,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jc w:val="both"/>
        <w:ind w:firstLine="749"/>
        <w:spacing w:after="0" w:line="259" w:lineRule="auto"/>
        <w:rPr>
          <w:sz w:val="20"/>
          <w:szCs w:val="20"/>
          <w:color w:val="auto"/>
        </w:rPr>
      </w:pPr>
      <w:r>
        <w:rPr>
          <w:rFonts w:ascii="Arial" w:cs="Arial" w:eastAsia="Arial" w:hAnsi="Arial"/>
          <w:sz w:val="18"/>
          <w:szCs w:val="18"/>
          <w:color w:val="auto"/>
        </w:rPr>
        <w:t>During the year ended December 31, 2019, 77,684 shares of common stock were purchased under the ESPP. The total compensation expense related to the ESPP for the year ended December 31, 2019 was $0.3 million. The following range of assumptions were used to calculate stock-based compensation for each stock purchase right granted under the ESPP: weighted-average expected life of 0.37 – 0.5 years; expected volatility of 59.1 – 59.9%; risk-free interest rate of 1.6 - 2.1%; and a zero dividend yield.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492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Costs of revenues</w:t>
            </w:r>
          </w:p>
        </w:tc>
        <w:tc>
          <w:tcPr>
            <w:tcW w:w="17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74</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225</w:t>
            </w: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3,475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454</w:t>
            </w:r>
          </w:p>
        </w:tc>
      </w:tr>
      <w:tr>
        <w:trPr>
          <w:trHeight w:val="223"/>
        </w:trPr>
        <w:tc>
          <w:tcPr>
            <w:tcW w:w="4920" w:type="dxa"/>
            <w:vAlign w:val="bottom"/>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74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4,858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753</w:t>
            </w:r>
          </w:p>
        </w:tc>
      </w:tr>
      <w:tr>
        <w:trPr>
          <w:trHeight w:val="20"/>
        </w:trPr>
        <w:tc>
          <w:tcPr>
            <w:tcW w:w="4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the year ended December 31, 2019, 67,418 shares with performance conditions vested. The awards were subject to two vesting criteria:</w:t>
      </w:r>
    </w:p>
    <w:p>
      <w:pPr>
        <w:spacing w:after="0" w:line="46" w:lineRule="exact"/>
        <w:rPr>
          <w:sz w:val="20"/>
          <w:szCs w:val="20"/>
          <w:color w:val="auto"/>
        </w:rPr>
      </w:pPr>
    </w:p>
    <w:p>
      <w:pPr>
        <w:jc w:val="both"/>
        <w:ind w:firstLine="8"/>
        <w:spacing w:after="0" w:line="302" w:lineRule="auto"/>
        <w:tabs>
          <w:tab w:leader="none" w:pos="223"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time-based service criterion, and (ii) a performance criterion of an initial public offering, which were met in connection with our June 20, 2019 IPO. The Company recognized $0.3 million of stock-based compensation expense for all such awards. During the years ended December 31, 2018 and 2017, no shares with performance conditions vested and no stock-based compensation expense was recognized related to shares with performance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Redeemable Convertible Preferred Stock Warrants</w:t>
      </w:r>
    </w:p>
    <w:p>
      <w:pPr>
        <w:spacing w:after="0" w:line="2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September 2014, in connection with the Term Loan (see Note 6), the Company issued a warrant to purchase 22,489 shares of its Series B redeemable convertible preferred stock at an exercise price of $4.60 per share. The estimated fair value of the Series B convertible preferred stock warrant on the date of issuance of $0.1 million was recorded as a debt reduction. As of the issuance date, the fair value of the Series B convertible preferred stock warrant was calculated using the Black-Scholes option-pricing model and was based on a contractual term of ten years, a risk-free interest rate of 2.52%, expected volatility of 66.53%, and 0% expected dividend yield.</w:t>
      </w:r>
    </w:p>
    <w:p>
      <w:pPr>
        <w:spacing w:after="0" w:line="14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June 2017, as additional consideration for the Revolving Loan (see Note 6), the Company issued a warrant to purchase up to 62,096 shares of its Series C redeemable convertible preferred stock at an exercise price of $8.052, subject to certain adjustments, such as any stock splits, stock dividends, recapitalizations, reclassifications, combinations, or similar transactions. The remaining term of the Series C convertible preferred stock warrant is seven years from June 28, 2017.</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estimated fair value of the Series C convertible preferred stock warrant on the date of issuance of $0.1 million was recorded as a debt reduction. As of the issuance date, the fair value of the Series C convertible preferred stock warrant was calculated using the Black-Scholes option-pricing model and was based on a contractual term of seven years, a risk-free interest rate of 1.97%, expected volatility of 64.33%, and 0% expected dividend yield.</w:t>
      </w:r>
    </w:p>
    <w:p>
      <w:pPr>
        <w:spacing w:after="0" w:line="16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At initial recognition, the convertible preferred stock warrants were recorded at their estimated fair values and were subject to remeasurement at each consolidated balance sheet date, with changes in fair value recognized as a component of net income. As of December 31, 2018, the fair values of the convertible preferred stock warrants were calculated to be $0.7 million.</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Immediately prior to the closing of the Company’s IPO, the redeemable convertible preferred stock warrants automatically converted to common stock warrants. As a result of the automatic conversion of the redeemable convertible preferred stock warrants to common stock warrants, the Company revalued the redeemable convertible preferred stock warrants as of the completion of the IPO and reclassified the outstanding preferred stock warrant liability balance to additional paid-in capital with no further remeasurements as the common stock warrants are now deemed permanent equity. The fair value transferred to additional paid-in capital was $2.1 million.</w:t>
      </w:r>
    </w:p>
    <w:p>
      <w:pPr>
        <w:spacing w:after="0" w:line="14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Subsequent to the conversion to a common stock warrant and before the end of the Company’s second quarter ended June 30, 2019, the common stock warrant for 22,489 shares was exercised. As a result, the Company issued 19,069 shares of common stock as the contract allows a net share settlement. Separately, the common stock warrant issued in June 2017 for 62,096 shares was still outstanding as of December 31,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11. Common Stock Warrants</w:t>
      </w:r>
    </w:p>
    <w:p>
      <w:pPr>
        <w:spacing w:after="0" w:line="202" w:lineRule="exact"/>
        <w:rPr>
          <w:sz w:val="20"/>
          <w:szCs w:val="20"/>
          <w:color w:val="auto"/>
        </w:rPr>
      </w:pPr>
    </w:p>
    <w:p>
      <w:pPr>
        <w:jc w:val="both"/>
        <w:ind w:right="20" w:firstLine="749"/>
        <w:spacing w:after="0" w:line="301" w:lineRule="auto"/>
        <w:rPr>
          <w:sz w:val="20"/>
          <w:szCs w:val="20"/>
          <w:color w:val="auto"/>
        </w:rPr>
      </w:pPr>
      <w:r>
        <w:rPr>
          <w:rFonts w:ascii="Arial" w:cs="Arial" w:eastAsia="Arial" w:hAnsi="Arial"/>
          <w:sz w:val="16"/>
          <w:szCs w:val="16"/>
          <w:color w:val="auto"/>
        </w:rPr>
        <w:t>In connection with the sale of Series A redeemable convertible preferred stock in August 2011, the Company issued a warrant to purchase 188,643 shares of common stock to an investor who purchased Series A redeemable convertible preferred stock in August 2011 at an exercise price of $0.04 per share. The Company recorded the issuance-date fair value of the warrant of $0.1 million in equity as the warrant met all criteria for equity classification. The common stock warrant was exercised in June 2019 prior to the Company’s IPO and is no longer outstanding as of December 31, 2019.</w:t>
      </w:r>
    </w:p>
    <w:p>
      <w:pPr>
        <w:spacing w:after="0" w:line="117" w:lineRule="exact"/>
        <w:rPr>
          <w:sz w:val="20"/>
          <w:szCs w:val="20"/>
          <w:color w:val="auto"/>
        </w:rPr>
      </w:pPr>
    </w:p>
    <w:p>
      <w:pPr>
        <w:jc w:val="both"/>
        <w:ind w:right="20" w:firstLine="749"/>
        <w:spacing w:after="0" w:line="311" w:lineRule="auto"/>
        <w:rPr>
          <w:sz w:val="20"/>
          <w:szCs w:val="20"/>
          <w:color w:val="auto"/>
        </w:rPr>
      </w:pPr>
      <w:r>
        <w:rPr>
          <w:rFonts w:ascii="Arial" w:cs="Arial" w:eastAsia="Arial" w:hAnsi="Arial"/>
          <w:sz w:val="16"/>
          <w:szCs w:val="16"/>
          <w:color w:val="auto"/>
        </w:rPr>
        <w:t>In connection with the Growth Capital Loan agreement (see Note 6), the Company issued a warrant to purchase 65,502 shares of common stock to the lender at an exercise price of $9.16 per share exercisable for seven years from March 22, 2019. The Company recorded the issuance-date fair value of the warrant of $0.6 million in equity as the warrant met all criteria for equity classification. The warrant is still outstanding as of December 31,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85" w:lineRule="exact"/>
        <w:rPr>
          <w:sz w:val="20"/>
          <w:szCs w:val="20"/>
          <w:color w:val="auto"/>
        </w:rPr>
      </w:pPr>
    </w:p>
    <w:p>
      <w:pPr>
        <w:jc w:val="both"/>
        <w:ind w:right="20" w:firstLine="749"/>
        <w:spacing w:after="0" w:line="290"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December 31, 2019, the Company was not involved in any material legal proceedings.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98" w:lineRule="exact"/>
        <w:rPr>
          <w:sz w:val="20"/>
          <w:szCs w:val="20"/>
          <w:color w:val="auto"/>
        </w:rPr>
      </w:pPr>
    </w:p>
    <w:p>
      <w:pPr>
        <w:jc w:val="both"/>
        <w:ind w:right="20" w:firstLine="749"/>
        <w:spacing w:after="0" w:line="30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 Attributable to Common Stockholders</w:t>
      </w:r>
    </w:p>
    <w:p>
      <w:pPr>
        <w:spacing w:after="0" w:line="189"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Because the Company reported a net loss for the years ended December 31, 2019, 2018, and 2017, the number of shares used to calculate diluted net loss per common share is the same as the number of shares used to calculate basic net loss per common share for those periods presented because the potentially dilutive shares would have been antidilutive if included in the calculation.</w:t>
      </w:r>
    </w:p>
    <w:p>
      <w:pPr>
        <w:spacing w:after="0" w:line="160"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(25,084)</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(19,886)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18,011,955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3,063,516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3,035,791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Weighted-average shares subject to repurchase</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60"/>
              <w:spacing w:after="0"/>
              <w:rPr>
                <w:sz w:val="20"/>
                <w:szCs w:val="20"/>
                <w:color w:val="auto"/>
              </w:rPr>
            </w:pPr>
            <w:r>
              <w:rPr>
                <w:rFonts w:ascii="Arial" w:cs="Arial" w:eastAsia="Arial" w:hAnsi="Arial"/>
                <w:sz w:val="18"/>
                <w:szCs w:val="18"/>
                <w:color w:val="auto"/>
                <w:w w:val="90"/>
              </w:rPr>
              <w:t>Weighted-average shares outstanding used in computing net loss per share attributable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 common stockholders — basic and diluted</w:t>
            </w: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18,011,470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3,063,157</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3,031,636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55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94" w:name="page95"/>
    <w:bookmarkEnd w:id="94"/>
    <w:p>
      <w:pPr>
        <w:ind w:right="20" w:firstLine="74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1440" w:type="dxa"/>
            <w:vAlign w:val="bottom"/>
            <w:tcBorders>
              <w:bottom w:val="single" w:sz="8" w:color="auto"/>
            </w:tcBorders>
          </w:tcPr>
          <w:p>
            <w:pPr>
              <w:spacing w:after="0"/>
              <w:rPr>
                <w:sz w:val="14"/>
                <w:szCs w:val="14"/>
                <w:color w:val="auto"/>
              </w:rPr>
            </w:pPr>
          </w:p>
        </w:tc>
      </w:tr>
      <w:tr>
        <w:trPr>
          <w:trHeight w:val="156"/>
        </w:trPr>
        <w:tc>
          <w:tcPr>
            <w:tcW w:w="6660" w:type="dxa"/>
            <w:vAlign w:val="bottom"/>
          </w:tcPr>
          <w:p>
            <w:pPr>
              <w:spacing w:after="0"/>
              <w:rPr>
                <w:sz w:val="13"/>
                <w:szCs w:val="13"/>
                <w:color w:val="auto"/>
              </w:rPr>
            </w:pPr>
          </w:p>
        </w:tc>
        <w:tc>
          <w:tcPr>
            <w:tcW w:w="1420" w:type="dxa"/>
            <w:vAlign w:val="bottom"/>
          </w:tcPr>
          <w:p>
            <w:pPr>
              <w:jc w:val="right"/>
              <w:ind w:right="532"/>
              <w:spacing w:after="0" w:line="155" w:lineRule="exact"/>
              <w:rPr>
                <w:sz w:val="20"/>
                <w:szCs w:val="20"/>
                <w:color w:val="auto"/>
              </w:rPr>
            </w:pPr>
            <w:r>
              <w:rPr>
                <w:rFonts w:ascii="Arial" w:cs="Arial" w:eastAsia="Arial" w:hAnsi="Arial"/>
                <w:sz w:val="14"/>
                <w:szCs w:val="14"/>
                <w:b w:val="1"/>
                <w:bCs w:val="1"/>
                <w:color w:val="auto"/>
              </w:rPr>
              <w:t>2019</w:t>
            </w:r>
          </w:p>
        </w:tc>
        <w:tc>
          <w:tcPr>
            <w:tcW w:w="1580" w:type="dxa"/>
            <w:vAlign w:val="bottom"/>
            <w:gridSpan w:val="2"/>
          </w:tcPr>
          <w:p>
            <w:pPr>
              <w:jc w:val="right"/>
              <w:ind w:right="55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440" w:type="dxa"/>
            <w:vAlign w:val="bottom"/>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4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18,474,742</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16,806,746</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Conversion of Convertible Notes</w:t>
            </w:r>
            <w:r>
              <w:rPr>
                <w:rFonts w:ascii="Arial" w:cs="Arial" w:eastAsia="Arial" w:hAnsi="Arial"/>
                <w:sz w:val="15"/>
                <w:szCs w:val="15"/>
                <w:color w:val="auto"/>
              </w:rPr>
              <w:t>(1)</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1,580,151</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127,598</w:t>
            </w:r>
          </w:p>
        </w:tc>
        <w:tc>
          <w:tcPr>
            <w:tcW w:w="15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188,643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188,643</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Series B preferred stock warrant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22,489</w:t>
            </w:r>
          </w:p>
        </w:tc>
        <w:tc>
          <w:tcPr>
            <w:tcW w:w="14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22,489</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Series C preferred stock warrant</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62,096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62,096</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4,731,435</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4,110,130</w:t>
            </w:r>
          </w:p>
        </w:tc>
        <w:tc>
          <w:tcPr>
            <w:tcW w:w="14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2,884,527</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Unvested early exercised common stock options</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2,213</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120,000</w:t>
            </w:r>
          </w:p>
        </w:tc>
        <w:tc>
          <w:tcPr>
            <w:tcW w:w="1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75,405</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5,054,438</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22,858,362</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21,546,865</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40" w:hanging="232"/>
        <w:spacing w:after="0"/>
        <w:tabs>
          <w:tab w:leader="none" w:pos="240" w:val="left"/>
        </w:tabs>
        <w:numPr>
          <w:ilvl w:val="0"/>
          <w:numId w:val="36"/>
        </w:numPr>
        <w:rPr>
          <w:rFonts w:ascii="Arial" w:cs="Arial" w:eastAsia="Arial" w:hAnsi="Arial"/>
          <w:sz w:val="15"/>
          <w:szCs w:val="15"/>
          <w:color w:val="auto"/>
        </w:rPr>
      </w:pPr>
      <w:r>
        <w:rPr>
          <w:rFonts w:ascii="Arial" w:cs="Arial" w:eastAsia="Arial" w:hAnsi="Arial"/>
          <w:sz w:val="16"/>
          <w:szCs w:val="16"/>
          <w:color w:val="auto"/>
        </w:rPr>
        <w:t>Calculated as $12.2 million principal and $0.5 million accrued but unpaid interest as of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financial reporting purposes, loss before income taxes includes the following components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34"/>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(19,879)</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(23,593)</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300" w:type="dxa"/>
            <w:vAlign w:val="bottom"/>
          </w:tcPr>
          <w:p>
            <w:pPr>
              <w:ind w:left="760"/>
              <w:spacing w:after="0"/>
              <w:rPr>
                <w:sz w:val="20"/>
                <w:szCs w:val="20"/>
                <w:color w:val="auto"/>
              </w:rPr>
            </w:pPr>
            <w:r>
              <w:rPr>
                <w:rFonts w:ascii="Arial" w:cs="Arial" w:eastAsia="Arial" w:hAnsi="Arial"/>
                <w:sz w:val="18"/>
                <w:szCs w:val="18"/>
                <w:color w:val="auto"/>
                <w:w w:val="97"/>
              </w:rPr>
              <w:t>The provision for income taxes consists of the following (in thousands):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3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34"/>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Federal</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w:t>
            </w:r>
          </w:p>
        </w:tc>
        <w:tc>
          <w:tcPr>
            <w:tcW w:w="3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300" w:type="dxa"/>
            <w:vAlign w:val="bottom"/>
          </w:tcPr>
          <w:p>
            <w:pPr>
              <w:ind w:left="50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Income tax provision related to continuing operations differ from the amounts computed by applying the statutory income tax rate of 21% to pretax loss in 2019 and 2018; and 35% to pretax loss in 2017 as follows (in thousands):</w:t>
      </w:r>
    </w:p>
    <w:p>
      <w:pPr>
        <w:spacing w:after="0" w:line="243"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9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1660" w:type="dxa"/>
            <w:vAlign w:val="bottom"/>
            <w:tcBorders>
              <w:top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Effect of:</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State taxes</w:t>
            </w:r>
          </w:p>
        </w:tc>
        <w:tc>
          <w:tcPr>
            <w:tcW w:w="600" w:type="dxa"/>
            <w:vAlign w:val="bottom"/>
            <w:shd w:val="clear" w:color="auto" w:fill="CFF0FC"/>
          </w:tcPr>
          <w:p>
            <w:pPr>
              <w:jc w:val="center"/>
              <w:ind w:left="92"/>
              <w:spacing w:after="0"/>
              <w:rPr>
                <w:sz w:val="20"/>
                <w:szCs w:val="20"/>
                <w:color w:val="auto"/>
              </w:rPr>
            </w:pPr>
            <w:r>
              <w:rPr>
                <w:rFonts w:ascii="Arial" w:cs="Arial" w:eastAsia="Arial" w:hAnsi="Arial"/>
                <w:sz w:val="18"/>
                <w:szCs w:val="18"/>
                <w:color w:val="auto"/>
                <w:w w:val="99"/>
              </w:rPr>
              <w:t>(8)%</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ind w:left="260"/>
              <w:spacing w:after="0"/>
              <w:rPr>
                <w:sz w:val="20"/>
                <w:szCs w:val="20"/>
                <w:color w:val="auto"/>
              </w:rPr>
            </w:pPr>
            <w:r>
              <w:rPr>
                <w:rFonts w:ascii="Arial" w:cs="Arial" w:eastAsia="Arial" w:hAnsi="Arial"/>
                <w:sz w:val="18"/>
                <w:szCs w:val="18"/>
                <w:color w:val="auto"/>
              </w:rPr>
              <w:t>Change in valuation allowance</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Rate impact due to tax reform</w:t>
            </w:r>
          </w:p>
        </w:tc>
        <w:tc>
          <w:tcPr>
            <w:tcW w:w="1660" w:type="dxa"/>
            <w:vAlign w:val="bottom"/>
            <w:gridSpan w:val="3"/>
            <w:shd w:val="clear" w:color="auto" w:fill="CFF0FC"/>
          </w:tcPr>
          <w:p>
            <w:pPr>
              <w:jc w:val="center"/>
              <w:ind w:right="8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 credit</w:t>
            </w:r>
          </w:p>
        </w:tc>
        <w:tc>
          <w:tcPr>
            <w:tcW w:w="600" w:type="dxa"/>
            <w:vAlign w:val="bottom"/>
          </w:tcPr>
          <w:p>
            <w:pPr>
              <w:jc w:val="center"/>
              <w:ind w:left="92"/>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Debt extinguishment</w:t>
            </w:r>
          </w:p>
        </w:tc>
        <w:tc>
          <w:tcPr>
            <w:tcW w:w="1660" w:type="dxa"/>
            <w:vAlign w:val="bottom"/>
            <w:gridSpan w:val="3"/>
            <w:shd w:val="clear" w:color="auto" w:fill="CFF0FC"/>
          </w:tcPr>
          <w:p>
            <w:pPr>
              <w:jc w:val="center"/>
              <w:ind w:right="8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600" w:type="dxa"/>
            <w:vAlign w:val="bottom"/>
          </w:tcPr>
          <w:p>
            <w:pPr>
              <w:jc w:val="center"/>
              <w:ind w:left="92"/>
              <w:spacing w:after="0"/>
              <w:rPr>
                <w:sz w:val="20"/>
                <w:szCs w:val="20"/>
                <w:color w:val="auto"/>
              </w:rPr>
            </w:pPr>
            <w:r>
              <w:rPr>
                <w:rFonts w:ascii="Arial" w:cs="Arial" w:eastAsia="Arial" w:hAnsi="Arial"/>
                <w:sz w:val="18"/>
                <w:szCs w:val="18"/>
                <w:color w:val="auto"/>
                <w:w w:val="99"/>
              </w:rPr>
              <w:t>4%</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Effective tax rate</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center"/>
              <w:ind w:left="92"/>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5540"/>
              <w:spacing w:after="0"/>
              <w:rPr>
                <w:sz w:val="20"/>
                <w:szCs w:val="20"/>
                <w:color w:val="auto"/>
              </w:rPr>
            </w:pPr>
            <w:r>
              <w:rPr>
                <w:rFonts w:ascii="Arial" w:cs="Arial" w:eastAsia="Arial" w:hAnsi="Arial"/>
                <w:sz w:val="18"/>
                <w:szCs w:val="18"/>
                <w:color w:val="auto"/>
              </w:rPr>
              <w:t>95</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4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Tax Law Changes</w:t>
      </w:r>
    </w:p>
    <w:p>
      <w:pPr>
        <w:spacing w:after="0" w:line="189"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The U.S. Tax Cuts and Jobs Act (the “Tax Act”) was enacted on December 22, 2017. The Tax Act reduced the U.S. federal corporate tax rate from 35% in 2017 to 21% in 2018, required companies to pay a one-time transition tax on earnings of certain foreign subsidiaries that were previously tax deferred, and created new taxes on certain foreign sourced earnings. For the year ended December 31, 2017, the Company remeasured its deferred tax assets and liabilities based on the change in the federal rate to 21%. At December 31, 2018, the Company had completed its accounting for the Tax Act, which, other than the decrease in its gross deferred tax assets, did not have a material impact on the Company’s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Company’s deferred tax assets for federal and state income taxes are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30,375</w:t>
            </w:r>
          </w:p>
        </w:tc>
        <w:tc>
          <w:tcPr>
            <w:tcW w:w="16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22,441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6,190</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2,154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Accruals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784</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19"/>
                <w:szCs w:val="19"/>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intangibles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gross deferred tax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41,404</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33,174</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Less: Valuation allowance</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(40,000)</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deferred tax assets</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1,404</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right-of-use assets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deferred tax liabilities</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Realization of our deferred tax assets is dependent upon future earnings, if any, the timing and amount of which are uncertain. Because of our lack of U.S. earnings history, the net U.S. deferred tax assets have been fully offset by a valuation allowance. The valuation allowance increased by $7.6 million and $4.5 million for the years ended December 31, 2019 and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Tax Credit Carryforwards</w:t>
      </w:r>
    </w:p>
    <w:p>
      <w:pPr>
        <w:spacing w:after="0" w:line="2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As of December 31, 2019, the Company had net operating loss carryforwards for federal income tax purposes of approximately $114.9 million, portions of which will begin to expire in 2031. The Company had a total state net operating loss carryforward of approximately $72.2 million, which will begin to expire in 2031. Utilization of some of the federal and state net operating loss and credit carryforwards are subject to annual limitations due to the “change in ownership” provisions of the Internal Revenue Code of 1986, as amended, and similar state provisions. The annual limitations may result in the expiration of net operating losses and credits before utilization.</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Company has federal credits of approximately $3.0 million, which will begin to expire in 2031 and state research credits of approximately $3.2 million, which have no expiration date. These tax credits are subject to the same limitations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Unrecognized Tax Benefits</w:t>
      </w:r>
    </w:p>
    <w:p>
      <w:pPr>
        <w:spacing w:after="0" w:line="202" w:lineRule="exact"/>
        <w:rPr>
          <w:sz w:val="20"/>
          <w:szCs w:val="20"/>
          <w:color w:val="auto"/>
        </w:rPr>
      </w:pPr>
    </w:p>
    <w:p>
      <w:pPr>
        <w:jc w:val="both"/>
        <w:ind w:right="20" w:firstLine="749"/>
        <w:spacing w:after="0" w:line="255" w:lineRule="auto"/>
        <w:rPr>
          <w:sz w:val="20"/>
          <w:szCs w:val="20"/>
          <w:color w:val="auto"/>
        </w:rPr>
      </w:pPr>
      <w:r>
        <w:rPr>
          <w:rFonts w:ascii="Arial" w:cs="Arial" w:eastAsia="Arial" w:hAnsi="Arial"/>
          <w:sz w:val="18"/>
          <w:szCs w:val="18"/>
          <w:color w:val="auto"/>
        </w:rPr>
        <w:t>The Company has incurred net operating losses since inception and does not have any significant unrecognized tax benefits. The Company’s policy is to include interest and penalties related to unrecognized tax benefits, if any, within the provision for taxes in the consolidated statements of operations. If the Company is eventually able to recognize its uncertain positions, the effective tax rate would be reduced. The Company currently has a full valuation allowance against its net deferred tax asset, which would impact the timing of the effective tax rate benefit should any of these uncertain tax positions be favorably settled in the future. Any adjustments to the Company’s uncertain tax positions would result in an adjustment of net operating loss or tax credit carryforwards rather than resulting in a cash outlay.</w:t>
      </w:r>
    </w:p>
    <w:p>
      <w:pPr>
        <w:spacing w:after="0" w:line="15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 files U.S. federal income tax returns and various state income tax returns. Because of net operating losses and research credit carryovers, substantially all of the Company’s tax years remain open to examination.</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the following activity relating to unrecognized tax benefits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114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1,192</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917</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increase—tax provision in current period</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389</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275</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1,581</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1,192</w:t>
            </w: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18"/>
          <w:szCs w:val="18"/>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2019, 2018, and 2017, no significant interest or penalties were required to be recognized relating to unrecognized tax benefits.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Selected Quarterly Financial Information (Unaudited)</w:t>
      </w:r>
    </w:p>
    <w:p>
      <w:pPr>
        <w:spacing w:after="0" w:line="18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tables show a summary of the Company’s quarterly financial information for each of the four quarters of 2019 and 2018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7"/>
              </w:rPr>
              <w:t>For the Three Months Ended (Unaudited)</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40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156"/>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1"/>
                <w:szCs w:val="11"/>
                <w:color w:val="auto"/>
              </w:rPr>
            </w:pPr>
          </w:p>
        </w:tc>
        <w:tc>
          <w:tcPr>
            <w:tcW w:w="1040" w:type="dxa"/>
            <w:vAlign w:val="bottom"/>
          </w:tcPr>
          <w:p>
            <w:pPr>
              <w:jc w:val="center"/>
              <w:ind w:right="236"/>
              <w:spacing w:after="0" w:line="133"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216"/>
              <w:spacing w:after="0" w:line="133"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1"/>
                <w:szCs w:val="11"/>
                <w:color w:val="auto"/>
              </w:rPr>
            </w:pPr>
          </w:p>
        </w:tc>
      </w:tr>
      <w:tr>
        <w:trPr>
          <w:trHeight w:val="171"/>
        </w:trPr>
        <w:tc>
          <w:tcPr>
            <w:tcW w:w="408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18,154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17,153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15,825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14,075</w:t>
            </w:r>
          </w:p>
        </w:tc>
        <w:tc>
          <w:tcPr>
            <w:tcW w:w="20" w:type="dxa"/>
            <w:vAlign w:val="bottom"/>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Gross profit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6,565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5,629</w:t>
            </w:r>
          </w:p>
        </w:tc>
        <w:tc>
          <w:tcPr>
            <w:tcW w:w="1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5,902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3,984</w:t>
            </w:r>
          </w:p>
        </w:tc>
        <w:tc>
          <w:tcPr>
            <w:tcW w:w="2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(5,685)</w:t>
            </w:r>
          </w:p>
        </w:tc>
        <w:tc>
          <w:tcPr>
            <w:tcW w:w="20" w:type="dxa"/>
            <w:vAlign w:val="bottom"/>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Basic and diluted earnings per share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r>
      <w:tr>
        <w:trPr>
          <w:trHeight w:val="404"/>
        </w:trPr>
        <w:tc>
          <w:tcPr>
            <w:tcW w:w="4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7"/>
              </w:rPr>
              <w:t>For the Three Months Ended (Unaudited)</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3"/>
        </w:trPr>
        <w:tc>
          <w:tcPr>
            <w:tcW w:w="40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156"/>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1"/>
                <w:szCs w:val="11"/>
                <w:color w:val="auto"/>
              </w:rPr>
            </w:pPr>
          </w:p>
        </w:tc>
        <w:tc>
          <w:tcPr>
            <w:tcW w:w="1040" w:type="dxa"/>
            <w:vAlign w:val="bottom"/>
          </w:tcPr>
          <w:p>
            <w:pPr>
              <w:jc w:val="center"/>
              <w:ind w:right="236"/>
              <w:spacing w:after="0" w:line="133"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216"/>
              <w:spacing w:after="0" w:line="133"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1"/>
                <w:szCs w:val="11"/>
                <w:color w:val="auto"/>
              </w:rPr>
            </w:pPr>
          </w:p>
        </w:tc>
      </w:tr>
      <w:tr>
        <w:trPr>
          <w:trHeight w:val="171"/>
        </w:trPr>
        <w:tc>
          <w:tcPr>
            <w:tcW w:w="408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13,157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11,654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8,799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4,164</w:t>
            </w:r>
          </w:p>
        </w:tc>
        <w:tc>
          <w:tcPr>
            <w:tcW w:w="20" w:type="dxa"/>
            <w:vAlign w:val="bottom"/>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Gross profit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4,829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4,481</w:t>
            </w:r>
          </w:p>
        </w:tc>
        <w:tc>
          <w:tcPr>
            <w:tcW w:w="1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2,396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w:t>
            </w:r>
          </w:p>
        </w:tc>
        <w:tc>
          <w:tcPr>
            <w:tcW w:w="20" w:type="dxa"/>
            <w:vAlign w:val="bottom"/>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Basic and diluted earnings per share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0"/>
                <w:szCs w:val="20"/>
                <w:color w:val="auto"/>
              </w:rPr>
            </w:pPr>
          </w:p>
        </w:tc>
      </w:tr>
      <w:tr>
        <w:trPr>
          <w:trHeight w:val="647"/>
        </w:trPr>
        <w:tc>
          <w:tcPr>
            <w:tcW w:w="4080" w:type="dxa"/>
            <w:vAlign w:val="bottom"/>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97" w:name="page98"/>
    <w:bookmarkEnd w:id="97"/>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Personalis,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the accompanying consolidated balance sheets of Personalis, Inc. and subsidiary (the "Company") as of December 31, 2019 and 2018, the related consolidated statements of operations, comprehensive loss, redeemable convertible preferred stock and stockholders' equity (deficit),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Annual Report on Form 10-K. Based on that evaluation, our CEO and CFO have concluded that as of December 31, 2019,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required information is accumulated and communicated to our management, including our CEO and CFO, as appropriate, to allow timely decisions regarding required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8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During the fourth quarter of 2019, we remediated the material weaknesses in our internal control over financial reporting identified in connection with preparation of our financial statements for the years ended December 31, 2017 and 2018. The material weakness in internal controls was due to a lack of sufficient full-time accounting staff with requisite experience and deep technical accounting knowledge to (i) identify and resolve complex accounting issues under U.S. GAAP and (ii) allow for appropriate segregation of duties. Remediation of the material weakness involved hiring a Chief Financial Officer in March 2019 and four additional accounting resources in the second, third, and fourth quarters of 2019, including two Certified Public Accountants with the specific technical accounting and financial reporting experience necessary for a public company. Management believes these additional resources provide an appropriate remediation of the material weakness.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0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due to a transition period established by rules of the Securities and Exchange Commission for newly public companies.</w:t>
      </w:r>
    </w:p>
    <w:p>
      <w:pPr>
        <w:spacing w:after="0" w:line="13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addition, our independent registered accounting firm is not required to issue an attestation report on our internal control over financial reporting for so long as we qualify as an “emerging growth company,” as defined under the JOBS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information required by this Item is set forth under the headings “Executive Officers,” “Security Ownership of Certain Beneficial Owners and Management,” “Delinquent Section 16(a) Reports,” “Corporate Governance and Board of Directors Matters,” and “Proposal No. 1 Election of Directors—Information About Our Continuing Directors” in the Company’s 2020 Proxy Statement to be filed with the SEC within 120 days after December 31, 2019 in connection with the solicitation of proxies for the Company’s 2020 annual meeting of stockholders, and is incorporated herein by reference.</w:t>
      </w:r>
    </w:p>
    <w:p>
      <w:pPr>
        <w:spacing w:after="0" w:line="16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Our board of directors has adopted a Code of Business Conduct and Ethics applicable to all officers, directors and employees, which is available on our website (investors.personalis.com) under "Corporate Governance." We intend to satisfy the disclosure requirement under Item 5.05 of Form 8-K regarding amendment to, or waiver from, a provision of our Code of Business Conduct and Ethics by posting such information on the website address and location specified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information required by this Item is set forth under the headings “Director Compensation,” “Executive Compensation,” and “Compensation Committee Interlocks and Insider Participation” in the Company’s 2020 Proxy Statement to be filed with the SEC within 120 days after December 31, 2019, and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information required by this Item is set forth under the headings “Equity Compensation Plans at December 31, 2019” and “Security Ownership of Certain Beneficial Owners and Management” in the Company’s 2020 Proxy Statement to be filed with the SEC within 120 days after December 31, 2019,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information required by this Item is set forth under the headings “Corporate Governance and Board of Directors Matters” and “Transactions with Related Persons and Indemnification” in the Company’s 2020 Proxy Statement to be filed with the SEC within 120 days after December 31, 2019,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information required by this Item is set forth under the headings “Principal Accountant Fees and Services” and “Pre-Approval Procedures” under the proposal “Ratification of Selection of Independent Registered Public Accounting Firm” in the Company’s 2020 Proxy Statement to be filed with the SEC within 120 days after December 31, 2019, and is incorporated herein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5" w:lineRule="exact"/>
        <w:rPr>
          <w:sz w:val="20"/>
          <w:szCs w:val="20"/>
          <w:color w:val="auto"/>
        </w:rPr>
      </w:pPr>
    </w:p>
    <w:p>
      <w:pPr>
        <w:ind w:left="860" w:hanging="852"/>
        <w:spacing w:after="0"/>
        <w:tabs>
          <w:tab w:leader="none" w:pos="8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Schedules</w:t>
      </w:r>
    </w:p>
    <w:p>
      <w:pPr>
        <w:spacing w:after="0" w:line="202"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The financial statements are set forth under Item 8 of this Form 10-K, as indexed below. Financial statement schedules have been omitted since they either are not required, not applicable, or the information is otherwise included.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0" w:type="dxa"/>
            <w:vAlign w:val="bottom"/>
            <w:gridSpan w:val="8"/>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0"/>
                <w:szCs w:val="20"/>
                <w:color w:val="auto"/>
              </w:rPr>
            </w:pPr>
          </w:p>
        </w:tc>
      </w:tr>
      <w:tr>
        <w:trPr>
          <w:trHeight w:val="183"/>
        </w:trPr>
        <w:tc>
          <w:tcPr>
            <w:tcW w:w="2100" w:type="dxa"/>
            <w:vAlign w:val="bottom"/>
            <w:tcBorders>
              <w:bottom w:val="single" w:sz="8" w:color="0000EE"/>
            </w:tcBorders>
          </w:tcPr>
          <w:p>
            <w:pPr>
              <w:spacing w:after="0" w:line="182"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Balance Sheets</w:t>
              </w:r>
            </w:hyperlink>
          </w:p>
        </w:tc>
        <w:tc>
          <w:tcPr>
            <w:tcW w:w="8500" w:type="dxa"/>
            <w:vAlign w:val="bottom"/>
            <w:gridSpan w:val="7"/>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5"/>
                <w:szCs w:val="15"/>
                <w:color w:val="auto"/>
              </w:rPr>
            </w:pPr>
          </w:p>
        </w:tc>
      </w:tr>
      <w:tr>
        <w:trPr>
          <w:trHeight w:val="209"/>
        </w:trPr>
        <w:tc>
          <w:tcPr>
            <w:tcW w:w="10600" w:type="dxa"/>
            <w:vAlign w:val="bottom"/>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00" w:type="dxa"/>
            <w:vAlign w:val="bottom"/>
            <w:gridSpan w:val="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Comprehensive Loss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Redeemable Convertible Preferred Stock and Stockholders’ Equity (Deficit)</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209"/>
        </w:trPr>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Cash Flows</w:t>
              </w:r>
            </w:hyperlink>
          </w:p>
        </w:tc>
        <w:tc>
          <w:tcPr>
            <w:tcW w:w="4640" w:type="dxa"/>
            <w:vAlign w:val="bottom"/>
            <w:tcBorders>
              <w:top w:val="single" w:sz="8" w:color="0000EE"/>
            </w:tcBorders>
            <w:gridSpan w:val="4"/>
          </w:tcPr>
          <w:p>
            <w:pPr>
              <w:spacing w:after="0"/>
              <w:rPr>
                <w:sz w:val="18"/>
                <w:szCs w:val="18"/>
                <w:color w:val="auto"/>
              </w:rPr>
            </w:pPr>
          </w:p>
        </w:tc>
        <w:tc>
          <w:tcPr>
            <w:tcW w:w="3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09"/>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Notes to Consolidated Financial Statements</w:t>
              </w:r>
            </w:hyperlink>
          </w:p>
        </w:tc>
        <w:tc>
          <w:tcPr>
            <w:tcW w:w="7440" w:type="dxa"/>
            <w:vAlign w:val="bottom"/>
            <w:gridSpan w:val="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r>
      <w:tr>
        <w:trPr>
          <w:trHeight w:val="209"/>
        </w:trPr>
        <w:tc>
          <w:tcPr>
            <w:tcW w:w="10600" w:type="dxa"/>
            <w:vAlign w:val="bottom"/>
            <w:gridSpan w:val="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669"/>
        </w:trPr>
        <w:tc>
          <w:tcPr>
            <w:tcW w:w="4220" w:type="dxa"/>
            <w:vAlign w:val="bottom"/>
            <w:tcBorders>
              <w:top w:val="single" w:sz="8" w:color="0000EE"/>
            </w:tcBorders>
            <w:gridSpan w:val="6"/>
          </w:tcPr>
          <w:p>
            <w:pPr>
              <w:spacing w:after="0"/>
              <w:rPr>
                <w:sz w:val="24"/>
                <w:szCs w:val="24"/>
                <w:color w:val="auto"/>
              </w:rPr>
            </w:pPr>
          </w:p>
        </w:tc>
        <w:tc>
          <w:tcPr>
            <w:tcW w:w="3300" w:type="dxa"/>
            <w:vAlign w:val="bottom"/>
          </w:tcPr>
          <w:p>
            <w:pPr>
              <w:jc w:val="right"/>
              <w:ind w:right="1670"/>
              <w:spacing w:after="0"/>
              <w:rPr>
                <w:sz w:val="20"/>
                <w:szCs w:val="20"/>
                <w:color w:val="auto"/>
              </w:rPr>
            </w:pPr>
            <w:r>
              <w:rPr>
                <w:rFonts w:ascii="Arial" w:cs="Arial" w:eastAsia="Arial" w:hAnsi="Arial"/>
                <w:sz w:val="18"/>
                <w:szCs w:val="18"/>
                <w:color w:val="auto"/>
              </w:rPr>
              <w:t>101</w:t>
            </w:r>
          </w:p>
        </w:tc>
        <w:tc>
          <w:tcPr>
            <w:tcW w:w="3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1" w:name="page102"/>
    <w:bookmarkEnd w:id="101"/>
    <w:p>
      <w:pPr>
        <w:ind w:left="880" w:hanging="872"/>
        <w:spacing w:after="0"/>
        <w:tabs>
          <w:tab w:leader="none" w:pos="8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gridSpan w:val="31"/>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gridSpan w:val="3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5"/>
                <w:szCs w:val="15"/>
                <w:color w:val="auto"/>
              </w:rPr>
            </w:pPr>
          </w:p>
        </w:tc>
        <w:tc>
          <w:tcPr>
            <w:tcW w:w="5000" w:type="dxa"/>
            <w:vAlign w:val="bottom"/>
            <w:tcBorders>
              <w:top w:val="single" w:sz="8" w:color="auto"/>
              <w:bottom w:val="single" w:sz="8" w:color="0000EE"/>
            </w:tcBorders>
            <w:gridSpan w:val="26"/>
          </w:tcPr>
          <w:p>
            <w:pPr>
              <w:spacing w:after="0" w:line="182"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Amended and Restated Certificate of Incorporation of the Registrant.</w:t>
              </w:r>
            </w:hyperlink>
          </w:p>
        </w:tc>
        <w:tc>
          <w:tcPr>
            <w:tcW w:w="420" w:type="dxa"/>
            <w:vAlign w:val="bottom"/>
            <w:tcBorders>
              <w:top w:val="single" w:sz="8" w:color="auto"/>
            </w:tcBorders>
            <w:gridSpan w:val="11"/>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3560" w:type="dxa"/>
            <w:vAlign w:val="bottom"/>
            <w:tcBorders>
              <w:bottom w:val="single" w:sz="8" w:color="0000EE"/>
            </w:tcBorders>
            <w:gridSpan w:val="12"/>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Amended and Restated Bylaws of the Registrant.</w:t>
              </w:r>
            </w:hyperlink>
          </w:p>
        </w:tc>
        <w:tc>
          <w:tcPr>
            <w:tcW w:w="1860" w:type="dxa"/>
            <w:vAlign w:val="bottom"/>
            <w:gridSpan w:val="2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5420" w:type="dxa"/>
            <w:vAlign w:val="bottom"/>
            <w:gridSpan w:val="3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Description of Securities of Personalis, Inc.</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3880" w:type="dxa"/>
            <w:vAlign w:val="bottom"/>
            <w:tcBorders>
              <w:bottom w:val="single" w:sz="8" w:color="0000EE"/>
            </w:tcBorders>
            <w:gridSpan w:val="15"/>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Form of Common Stock Certificate of the Registrant.</w:t>
              </w:r>
            </w:hyperlink>
          </w:p>
        </w:tc>
        <w:tc>
          <w:tcPr>
            <w:tcW w:w="154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5020" w:type="dxa"/>
            <w:vAlign w:val="bottom"/>
            <w:tcBorders>
              <w:bottom w:val="single" w:sz="8" w:color="0000EE"/>
            </w:tcBorders>
            <w:gridSpan w:val="27"/>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Amended and Restated Investor Rights Agreement by and among the</w:t>
              </w:r>
            </w:hyperlink>
          </w:p>
        </w:tc>
        <w:tc>
          <w:tcPr>
            <w:tcW w:w="4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gridSpan w:val="37"/>
          </w:tcPr>
          <w:p>
            <w:pPr>
              <w:spacing w:after="0" w:line="196" w:lineRule="exact"/>
              <w:rPr>
                <w:rFonts w:ascii="Arial" w:cs="Arial" w:eastAsia="Arial" w:hAnsi="Arial"/>
                <w:sz w:val="18"/>
                <w:szCs w:val="18"/>
                <w:color w:val="0000EE"/>
                <w:w w:val="98"/>
              </w:rPr>
            </w:pPr>
            <w:hyperlink r:id="rId141">
              <w:r>
                <w:rPr>
                  <w:rFonts w:ascii="Arial" w:cs="Arial" w:eastAsia="Arial" w:hAnsi="Arial"/>
                  <w:sz w:val="18"/>
                  <w:szCs w:val="18"/>
                  <w:color w:val="0000EE"/>
                  <w:w w:val="98"/>
                </w:rPr>
                <w:t>Registrant and certain of its stockholders, dated December 16, 2014</w:t>
              </w:r>
              <w:r>
                <w:rPr>
                  <w:rFonts w:ascii="Arial" w:cs="Arial" w:eastAsia="Arial" w:hAnsi="Arial"/>
                  <w:sz w:val="18"/>
                  <w:szCs w:val="18"/>
                  <w:u w:val="single" w:color="auto"/>
                  <w:color w:val="000000"/>
                  <w:w w:val="98"/>
                </w:rPr>
                <w: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5420" w:type="dxa"/>
            <w:vAlign w:val="bottom"/>
            <w:gridSpan w:val="37"/>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Warrant to purchase capital stock of the Registrant, issued to TriplePoint</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Capital LLC, dated September June 28, 2017.</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5420" w:type="dxa"/>
            <w:vAlign w:val="bottom"/>
            <w:gridSpan w:val="37"/>
          </w:tcPr>
          <w:p>
            <w:pPr>
              <w:spacing w:after="0"/>
              <w:rPr>
                <w:rFonts w:ascii="Arial" w:cs="Arial" w:eastAsia="Arial" w:hAnsi="Arial"/>
                <w:sz w:val="18"/>
                <w:szCs w:val="18"/>
                <w:color w:val="0000EE"/>
                <w:w w:val="93"/>
              </w:rPr>
            </w:pPr>
            <w:hyperlink r:id="rId143">
              <w:r>
                <w:rPr>
                  <w:rFonts w:ascii="Arial" w:cs="Arial" w:eastAsia="Arial" w:hAnsi="Arial"/>
                  <w:sz w:val="18"/>
                  <w:szCs w:val="18"/>
                  <w:color w:val="0000EE"/>
                  <w:w w:val="93"/>
                </w:rPr>
                <w:t>Warrant to purchase capital stock of the Registrant, issued to TriplePoint</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Capital LLC, dated September March 22, 2019.</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060" w:type="dxa"/>
            <w:vAlign w:val="bottom"/>
            <w:tcBorders>
              <w:bottom w:val="single" w:sz="8" w:color="0000EE"/>
            </w:tcBorders>
            <w:gridSpan w:val="29"/>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Personalis, Inc. 2011 Equity Incentive Plan, as amended, and forms of</w:t>
              </w:r>
            </w:hyperlink>
          </w:p>
        </w:tc>
        <w:tc>
          <w:tcPr>
            <w:tcW w:w="3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r:id="rId144">
              <w:r>
                <w:rPr>
                  <w:rFonts w:ascii="Arial" w:cs="Arial" w:eastAsia="Arial" w:hAnsi="Arial"/>
                  <w:sz w:val="18"/>
                  <w:szCs w:val="18"/>
                  <w:color w:val="0000EE"/>
                  <w:w w:val="86"/>
                </w:rPr>
                <w:t>agreements thereunder.</w:t>
              </w:r>
            </w:hyperlink>
          </w:p>
        </w:tc>
        <w:tc>
          <w:tcPr>
            <w:tcW w:w="374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960" w:type="dxa"/>
            <w:vAlign w:val="bottom"/>
            <w:tcBorders>
              <w:bottom w:val="single" w:sz="8" w:color="0000EE"/>
            </w:tcBorders>
            <w:gridSpan w:val="24"/>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Personalis, Inc. 2019 Equity Incentive Plan and forms of agreements</w:t>
              </w:r>
            </w:hyperlink>
          </w:p>
        </w:tc>
        <w:tc>
          <w:tcPr>
            <w:tcW w:w="4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45">
              <w:r>
                <w:rPr>
                  <w:rFonts w:ascii="Arial" w:cs="Arial" w:eastAsia="Arial" w:hAnsi="Arial"/>
                  <w:sz w:val="18"/>
                  <w:szCs w:val="18"/>
                  <w:color w:val="0000EE"/>
                  <w:w w:val="86"/>
                </w:rPr>
                <w:t>thereunder.</w:t>
              </w:r>
            </w:hyperlink>
          </w:p>
        </w:tc>
        <w:tc>
          <w:tcPr>
            <w:tcW w:w="460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10.3</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3860" w:type="dxa"/>
            <w:vAlign w:val="bottom"/>
            <w:tcBorders>
              <w:bottom w:val="single" w:sz="8" w:color="0000EE"/>
            </w:tcBorders>
            <w:gridSpan w:val="14"/>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Personalis, Inc. 2019 Employee Stock Purchase Plan.</w:t>
              </w:r>
            </w:hyperlink>
          </w:p>
        </w:tc>
        <w:tc>
          <w:tcPr>
            <w:tcW w:w="156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980" w:type="dxa"/>
            <w:vAlign w:val="bottom"/>
            <w:tcBorders>
              <w:bottom w:val="single" w:sz="8" w:color="0000EE"/>
            </w:tcBorders>
            <w:gridSpan w:val="25"/>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Form of Indemnification Agreement entered into by and between the</w:t>
              </w:r>
            </w:hyperlink>
          </w:p>
        </w:tc>
        <w:tc>
          <w:tcPr>
            <w:tcW w:w="44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gridSpan w:val="37"/>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Registrant and each director and executive officer.</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420" w:type="dxa"/>
            <w:vAlign w:val="bottom"/>
            <w:gridSpan w:val="37"/>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Employment Terms Letter, by and between John West and the Registrant,</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dated June 2, 2019.</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740" w:type="dxa"/>
            <w:vAlign w:val="bottom"/>
            <w:tcBorders>
              <w:bottom w:val="single" w:sz="8" w:color="0000EE"/>
            </w:tcBorders>
            <w:gridSpan w:val="21"/>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Employment Terms Letter, by and between Clinton Musil and the</w:t>
              </w:r>
            </w:hyperlink>
          </w:p>
        </w:tc>
        <w:tc>
          <w:tcPr>
            <w:tcW w:w="68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149">
              <w:r>
                <w:rPr>
                  <w:rFonts w:ascii="Arial" w:cs="Arial" w:eastAsia="Arial" w:hAnsi="Arial"/>
                  <w:sz w:val="18"/>
                  <w:szCs w:val="18"/>
                  <w:color w:val="0000EE"/>
                  <w:w w:val="88"/>
                </w:rPr>
                <w:t>Registrant, dated June 2, 2019.</w:t>
              </w:r>
            </w:hyperlink>
          </w:p>
        </w:tc>
        <w:tc>
          <w:tcPr>
            <w:tcW w:w="31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000" w:type="dxa"/>
            <w:vAlign w:val="bottom"/>
            <w:tcBorders>
              <w:bottom w:val="single" w:sz="8" w:color="0000EE"/>
            </w:tcBorders>
            <w:gridSpan w:val="26"/>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Employment Terms Letter, by and between Dr. Richard Chen and the</w:t>
              </w:r>
            </w:hyperlink>
          </w:p>
        </w:tc>
        <w:tc>
          <w:tcPr>
            <w:tcW w:w="4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150">
              <w:r>
                <w:rPr>
                  <w:rFonts w:ascii="Arial" w:cs="Arial" w:eastAsia="Arial" w:hAnsi="Arial"/>
                  <w:sz w:val="18"/>
                  <w:szCs w:val="18"/>
                  <w:color w:val="0000EE"/>
                  <w:w w:val="88"/>
                </w:rPr>
                <w:t>Registrant, dated June 2, 2019.</w:t>
              </w:r>
            </w:hyperlink>
          </w:p>
        </w:tc>
        <w:tc>
          <w:tcPr>
            <w:tcW w:w="31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420" w:type="dxa"/>
            <w:vAlign w:val="bottom"/>
            <w:gridSpan w:val="37"/>
          </w:tcPr>
          <w:p>
            <w:pPr>
              <w:spacing w:after="0"/>
              <w:rPr>
                <w:rFonts w:ascii="Arial" w:cs="Arial" w:eastAsia="Arial" w:hAnsi="Arial"/>
                <w:sz w:val="18"/>
                <w:szCs w:val="18"/>
                <w:color w:val="0000EE"/>
                <w:w w:val="97"/>
              </w:rPr>
            </w:pPr>
            <w:hyperlink r:id="rId151">
              <w:r>
                <w:rPr>
                  <w:rFonts w:ascii="Arial" w:cs="Arial" w:eastAsia="Arial" w:hAnsi="Arial"/>
                  <w:sz w:val="18"/>
                  <w:szCs w:val="18"/>
                  <w:color w:val="0000EE"/>
                  <w:w w:val="97"/>
                </w:rPr>
                <w:t>Employment Terms Letter, by and between Aaron Tachibana and the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Registrant, dated June 2, 2019.</w:t>
              </w:r>
            </w:hyperlink>
          </w:p>
        </w:tc>
        <w:tc>
          <w:tcPr>
            <w:tcW w:w="2720" w:type="dxa"/>
            <w:vAlign w:val="bottom"/>
            <w:tcBorders>
              <w:top w:val="single" w:sz="8" w:color="0000EE"/>
            </w:tcBorders>
            <w:gridSpan w:val="18"/>
          </w:tcPr>
          <w:p>
            <w:pPr>
              <w:spacing w:after="0"/>
              <w:rPr>
                <w:sz w:val="17"/>
                <w:szCs w:val="17"/>
                <w:color w:val="auto"/>
              </w:rPr>
            </w:pPr>
          </w:p>
        </w:tc>
        <w:tc>
          <w:tcPr>
            <w:tcW w:w="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5340" w:type="dxa"/>
            <w:vAlign w:val="bottom"/>
            <w:tcBorders>
              <w:bottom w:val="single" w:sz="8" w:color="0000EE"/>
            </w:tcBorders>
            <w:gridSpan w:val="36"/>
          </w:tcPr>
          <w:p>
            <w:pPr>
              <w:spacing w:after="0"/>
              <w:rPr>
                <w:rFonts w:ascii="Arial" w:cs="Arial" w:eastAsia="Arial" w:hAnsi="Arial"/>
                <w:sz w:val="18"/>
                <w:szCs w:val="18"/>
                <w:color w:val="0000EE"/>
                <w:w w:val="93"/>
              </w:rPr>
            </w:pPr>
            <w:hyperlink r:id="rId152">
              <w:r>
                <w:rPr>
                  <w:rFonts w:ascii="Arial" w:cs="Arial" w:eastAsia="Arial" w:hAnsi="Arial"/>
                  <w:sz w:val="18"/>
                  <w:szCs w:val="18"/>
                  <w:color w:val="0000EE"/>
                  <w:w w:val="93"/>
                </w:rPr>
                <w:t>Lease, by and between MENLO PREHC I, LLC, MENLO PREPI I, LLC,</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TPI INVESTORS 9, LLC and the Registrant, dated February 2, 2015.</w:t>
              </w:r>
            </w:hyperlink>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280" w:type="dxa"/>
            <w:vAlign w:val="bottom"/>
            <w:tcBorders>
              <w:bottom w:val="single" w:sz="8" w:color="0000EE"/>
            </w:tcBorders>
            <w:gridSpan w:val="33"/>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Contract No. VA240-17-D-0103, by and between the U.S. Department of</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gridSpan w:val="37"/>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Veterans Affairs and the Registrant, dated September 28, 2017.</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420" w:type="dxa"/>
            <w:vAlign w:val="bottom"/>
            <w:gridSpan w:val="37"/>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Quotation for Supply of Genetic Analysis Products No. 4079884, by and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between Illumina, Inc. and the Registrant, dated March 21, 2017.</w:t>
              </w:r>
            </w:hyperlink>
          </w:p>
        </w:tc>
        <w:tc>
          <w:tcPr>
            <w:tcW w:w="540" w:type="dxa"/>
            <w:vAlign w:val="bottom"/>
            <w:tcBorders>
              <w:top w:val="single" w:sz="8" w:color="0000EE"/>
            </w:tcBorders>
            <w:gridSpan w:val="12"/>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420" w:type="dxa"/>
            <w:vAlign w:val="bottom"/>
            <w:gridSpan w:val="37"/>
          </w:tcPr>
          <w:p>
            <w:pPr>
              <w:spacing w:after="0"/>
              <w:rPr>
                <w:rFonts w:ascii="Arial" w:cs="Arial" w:eastAsia="Arial" w:hAnsi="Arial"/>
                <w:sz w:val="18"/>
                <w:szCs w:val="18"/>
                <w:color w:val="0000EE"/>
              </w:rPr>
            </w:pPr>
            <w:hyperlink r:id="rId155">
              <w:r>
                <w:rPr>
                  <w:rFonts w:ascii="Arial" w:cs="Arial" w:eastAsia="Arial" w:hAnsi="Arial"/>
                  <w:sz w:val="18"/>
                  <w:szCs w:val="18"/>
                  <w:color w:val="0000EE"/>
                </w:rPr>
                <w:t>Purchase Order No. P11405, by and between Illumina, Inc. and the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Registrant, dated March 31, 2017.</w:t>
              </w:r>
            </w:hyperlink>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160" w:type="dxa"/>
            <w:vAlign w:val="bottom"/>
            <w:tcBorders>
              <w:bottom w:val="single" w:sz="8" w:color="0000EE"/>
            </w:tcBorders>
            <w:gridSpan w:val="30"/>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Master Services Subcontract Agreement, by and between Illumina, Inc.</w:t>
              </w:r>
            </w:hyperlink>
          </w:p>
        </w:tc>
        <w:tc>
          <w:tcPr>
            <w:tcW w:w="2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gridSpan w:val="37"/>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and the Registrant, dated November 1, 2017</w:t>
              </w:r>
              <w:r>
                <w:rPr>
                  <w:rFonts w:ascii="Arial" w:cs="Arial" w:eastAsia="Arial" w:hAnsi="Arial"/>
                  <w:sz w:val="18"/>
                  <w:szCs w:val="18"/>
                  <w:u w:val="single" w:color="auto"/>
                  <w:color w:val="000000"/>
                </w:rPr>
                <w: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020" w:type="dxa"/>
            <w:vAlign w:val="bottom"/>
            <w:tcBorders>
              <w:bottom w:val="single" w:sz="8" w:color="0000EE"/>
            </w:tcBorders>
            <w:gridSpan w:val="27"/>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Pricing Agreement, by and between Illumina, Inc. and the Registrant,</w:t>
              </w:r>
            </w:hyperlink>
          </w:p>
        </w:tc>
        <w:tc>
          <w:tcPr>
            <w:tcW w:w="4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gridSpan w:val="37"/>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dated November 22, 2017.</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1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160" w:type="dxa"/>
            <w:vAlign w:val="bottom"/>
            <w:tcBorders>
              <w:bottom w:val="single" w:sz="8" w:color="0000EE"/>
            </w:tcBorders>
            <w:gridSpan w:val="16"/>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Fasttrack Genetic Analysis Services Agreement No. MQ-</w:t>
              </w:r>
            </w:hyperlink>
          </w:p>
        </w:tc>
        <w:tc>
          <w:tcPr>
            <w:tcW w:w="126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gridSpan w:val="37"/>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20171213CG100, by and between Illumina, Inc. and the Registrant, dated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December 13, 2017.</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700" w:type="dxa"/>
            <w:vAlign w:val="bottom"/>
            <w:gridSpan w:val="1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340" w:type="dxa"/>
            <w:vAlign w:val="bottom"/>
            <w:tcBorders>
              <w:bottom w:val="single" w:sz="8" w:color="0000EE"/>
            </w:tcBorders>
            <w:gridSpan w:val="17"/>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Quotation for Supply of Genetic Analysis Products No. SQ-</w:t>
              </w:r>
            </w:hyperlink>
          </w:p>
        </w:tc>
        <w:tc>
          <w:tcPr>
            <w:tcW w:w="108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gridSpan w:val="37"/>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20190214CG102, by and between Illumina, Inc. and the Registrant, dated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February 22, 2019.</w:t>
              </w:r>
            </w:hyperlink>
          </w:p>
        </w:tc>
        <w:tc>
          <w:tcPr>
            <w:tcW w:w="3920" w:type="dxa"/>
            <w:vAlign w:val="bottom"/>
            <w:tcBorders>
              <w:top w:val="single" w:sz="8" w:color="0000EE"/>
            </w:tcBorders>
            <w:gridSpan w:val="33"/>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420" w:type="dxa"/>
            <w:vAlign w:val="bottom"/>
            <w:gridSpan w:val="37"/>
          </w:tcPr>
          <w:p>
            <w:pPr>
              <w:spacing w:after="0"/>
              <w:rPr>
                <w:rFonts w:ascii="Arial" w:cs="Arial" w:eastAsia="Arial" w:hAnsi="Arial"/>
                <w:sz w:val="18"/>
                <w:szCs w:val="18"/>
                <w:color w:val="0000EE"/>
                <w:w w:val="94"/>
              </w:rPr>
            </w:pPr>
            <w:hyperlink r:id="rId160">
              <w:r>
                <w:rPr>
                  <w:rFonts w:ascii="Arial" w:cs="Arial" w:eastAsia="Arial" w:hAnsi="Arial"/>
                  <w:sz w:val="18"/>
                  <w:szCs w:val="18"/>
                  <w:color w:val="0000EE"/>
                  <w:w w:val="94"/>
                </w:rPr>
                <w:t>Quotation for Supply of Genetic Analysis Products No. 4192031, by and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between Illumina, Inc. and the Registrant, dated March 1, 2019.</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960" w:type="dxa"/>
            <w:vAlign w:val="bottom"/>
            <w:gridSpan w:val="16"/>
            <w:shd w:val="clear" w:color="auto" w:fill="0000EE"/>
          </w:tcPr>
          <w:p>
            <w:pPr>
              <w:spacing w:after="0" w:line="20" w:lineRule="exact"/>
              <w:rPr>
                <w:sz w:val="1"/>
                <w:szCs w:val="1"/>
                <w:color w:val="auto"/>
              </w:rPr>
            </w:pPr>
          </w:p>
        </w:tc>
        <w:tc>
          <w:tcPr>
            <w:tcW w:w="8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420" w:type="dxa"/>
            <w:vAlign w:val="bottom"/>
            <w:gridSpan w:val="37"/>
          </w:tcPr>
          <w:p>
            <w:pPr>
              <w:spacing w:after="0"/>
              <w:rPr>
                <w:rFonts w:ascii="Arial" w:cs="Arial" w:eastAsia="Arial" w:hAnsi="Arial"/>
                <w:sz w:val="18"/>
                <w:szCs w:val="18"/>
                <w:color w:val="0000EE"/>
              </w:rPr>
            </w:pPr>
            <w:hyperlink r:id="rId161">
              <w:r>
                <w:rPr>
                  <w:rFonts w:ascii="Arial" w:cs="Arial" w:eastAsia="Arial" w:hAnsi="Arial"/>
                  <w:sz w:val="18"/>
                  <w:szCs w:val="18"/>
                  <w:color w:val="0000EE"/>
                </w:rPr>
                <w:t>Purchase Order No. P11405, by and between Illumina, Inc. and the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Registrant, dated March 20, 2019.</w:t>
              </w:r>
            </w:hyperlink>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96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020" w:type="dxa"/>
            <w:vAlign w:val="bottom"/>
            <w:tcBorders>
              <w:bottom w:val="single" w:sz="8" w:color="0000EE"/>
            </w:tcBorders>
            <w:gridSpan w:val="27"/>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Pricing Agreement, by and between Illumina, Inc. and the Registrant,</w:t>
              </w:r>
            </w:hyperlink>
          </w:p>
        </w:tc>
        <w:tc>
          <w:tcPr>
            <w:tcW w:w="4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dated March 26, 2019.</w:t>
              </w:r>
            </w:hyperlink>
          </w:p>
        </w:tc>
        <w:tc>
          <w:tcPr>
            <w:tcW w:w="378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gridSpan w:val="19"/>
          </w:tcPr>
          <w:p>
            <w:pPr>
              <w:ind w:left="4320"/>
              <w:spacing w:after="0"/>
              <w:rPr>
                <w:sz w:val="20"/>
                <w:szCs w:val="20"/>
                <w:color w:val="auto"/>
              </w:rPr>
            </w:pPr>
            <w:r>
              <w:rPr>
                <w:rFonts w:ascii="Arial" w:cs="Arial" w:eastAsia="Arial" w:hAnsi="Arial"/>
                <w:sz w:val="18"/>
                <w:szCs w:val="18"/>
                <w:color w:val="auto"/>
                <w:w w:val="86"/>
              </w:rPr>
              <w:t>102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229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Form</w:t>
            </w: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File No.</w:t>
            </w: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Filing Date</w:t>
            </w:r>
          </w:p>
        </w:tc>
      </w:tr>
      <w:tr>
        <w:trPr>
          <w:trHeight w:val="209"/>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001-38943</w:t>
            </w:r>
          </w:p>
        </w:tc>
        <w:tc>
          <w:tcPr>
            <w:tcW w:w="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6/24/2019</w:t>
            </w:r>
          </w:p>
        </w:tc>
      </w:tr>
      <w:tr>
        <w:trPr>
          <w:trHeight w:val="230"/>
        </w:trPr>
        <w:tc>
          <w:tcPr>
            <w:tcW w:w="11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001-38943</w:t>
            </w:r>
          </w:p>
        </w:tc>
        <w:tc>
          <w:tcPr>
            <w:tcW w:w="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6/24/2019</w:t>
            </w:r>
          </w:p>
        </w:tc>
      </w:tr>
      <w:tr>
        <w:trPr>
          <w:trHeight w:val="458"/>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6/7/2019</w:t>
            </w:r>
          </w:p>
        </w:tc>
      </w:tr>
      <w:tr>
        <w:trPr>
          <w:trHeight w:val="230"/>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6"/>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6"/>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6/7/2019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6/7/2019</w:t>
            </w:r>
          </w:p>
        </w:tc>
      </w:tr>
      <w:tr>
        <w:trPr>
          <w:trHeight w:val="230"/>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6/7/2019</w:t>
            </w:r>
          </w:p>
        </w:tc>
      </w:tr>
      <w:tr>
        <w:trPr>
          <w:trHeight w:val="446"/>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6/7/2019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6/7/2019</w:t>
            </w:r>
          </w:p>
        </w:tc>
      </w:tr>
      <w:tr>
        <w:trPr>
          <w:trHeight w:val="446"/>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6/7/2019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6/7/2019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6"/>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661"/>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662"/>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r>
        <w:trPr>
          <w:trHeight w:val="445"/>
        </w:trPr>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5/23/2019</w:t>
            </w:r>
          </w:p>
        </w:tc>
      </w:tr>
    </w:tbl>
    <w:p>
      <w:pPr>
        <w:sectPr>
          <w:pgSz w:w="11900" w:h="16838" w:orient="portrait"/>
          <w:cols w:equalWidth="0" w:num="2">
            <w:col w:w="6580" w:space="60"/>
            <w:col w:w="4600"/>
          </w:cols>
          <w:pgMar w:left="320" w:top="337" w:right="3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10.20</w:t>
            </w:r>
          </w:p>
        </w:tc>
        <w:tc>
          <w:tcPr>
            <w:tcW w:w="5200" w:type="dxa"/>
            <w:vAlign w:val="bottom"/>
            <w:tcBorders>
              <w:bottom w:val="single" w:sz="8" w:color="0000EE"/>
            </w:tcBorders>
            <w:gridSpan w:val="16"/>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Plain English Revolving Loan and Security Agreement, by and between</w:t>
              </w:r>
            </w:hyperlink>
          </w:p>
        </w:tc>
        <w:tc>
          <w:tcPr>
            <w:tcW w:w="160" w:type="dxa"/>
            <w:vAlign w:val="bottom"/>
            <w:gridSpan w:val="4"/>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7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TriplePoint Capital LLC and the Registrant, dated June 28, 2017.</w:t>
              </w:r>
            </w:hyperlink>
          </w:p>
        </w:tc>
        <w:tc>
          <w:tcPr>
            <w:tcW w:w="660" w:type="dxa"/>
            <w:vAlign w:val="bottom"/>
            <w:gridSpan w:val="10"/>
          </w:tcPr>
          <w:p>
            <w:pPr>
              <w:spacing w:after="0"/>
              <w:rPr>
                <w:sz w:val="17"/>
                <w:szCs w:val="17"/>
                <w:color w:val="auto"/>
              </w:rPr>
            </w:pPr>
          </w:p>
        </w:tc>
      </w:tr>
      <w:tr>
        <w:trPr>
          <w:trHeight w:val="210"/>
        </w:trPr>
        <w:tc>
          <w:tcPr>
            <w:tcW w:w="1180" w:type="dxa"/>
            <w:vAlign w:val="bottom"/>
          </w:tcPr>
          <w:p>
            <w:pPr>
              <w:spacing w:after="0"/>
              <w:rPr>
                <w:sz w:val="20"/>
                <w:szCs w:val="20"/>
                <w:color w:val="auto"/>
              </w:rPr>
            </w:pPr>
            <w:r>
              <w:rPr>
                <w:rFonts w:ascii="Arial" w:cs="Arial" w:eastAsia="Arial" w:hAnsi="Arial"/>
                <w:sz w:val="18"/>
                <w:szCs w:val="18"/>
                <w:color w:val="auto"/>
              </w:rPr>
              <w:t>10.21</w:t>
            </w:r>
          </w:p>
        </w:tc>
        <w:tc>
          <w:tcPr>
            <w:tcW w:w="5360" w:type="dxa"/>
            <w:vAlign w:val="bottom"/>
            <w:gridSpan w:val="20"/>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First Amendment to Plain English Revolving Loan and Security</w:t>
              </w:r>
            </w:hyperlink>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360" w:type="dxa"/>
            <w:vAlign w:val="bottom"/>
            <w:gridSpan w:val="20"/>
          </w:tcPr>
          <w:p>
            <w:pPr>
              <w:spacing w:after="0" w:line="196"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Agreement, by and between TriplePoint Capital LLC and the Registrant,</w:t>
              </w:r>
            </w:hyperlink>
          </w:p>
        </w:tc>
      </w:tr>
      <w:tr>
        <w:trPr>
          <w:trHeight w:val="196"/>
        </w:trPr>
        <w:tc>
          <w:tcPr>
            <w:tcW w:w="1180" w:type="dxa"/>
            <w:vAlign w:val="bottom"/>
          </w:tcPr>
          <w:p>
            <w:pPr>
              <w:spacing w:after="0"/>
              <w:rPr>
                <w:sz w:val="17"/>
                <w:szCs w:val="17"/>
                <w:color w:val="auto"/>
              </w:rPr>
            </w:pPr>
          </w:p>
        </w:tc>
        <w:tc>
          <w:tcPr>
            <w:tcW w:w="5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dated March 22, 2019.</w:t>
              </w:r>
            </w:hyperlink>
          </w:p>
        </w:tc>
        <w:tc>
          <w:tcPr>
            <w:tcW w:w="140" w:type="dxa"/>
            <w:vAlign w:val="bottom"/>
            <w:gridSpan w:val="3"/>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Arial" w:cs="Arial" w:eastAsia="Arial" w:hAnsi="Arial"/>
                <w:sz w:val="18"/>
                <w:szCs w:val="18"/>
                <w:color w:val="auto"/>
              </w:rPr>
              <w:t>10.22</w:t>
            </w:r>
          </w:p>
        </w:tc>
        <w:tc>
          <w:tcPr>
            <w:tcW w:w="5360" w:type="dxa"/>
            <w:vAlign w:val="bottom"/>
            <w:gridSpan w:val="20"/>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convertible promissory note of the Registrant.</w:t>
              </w:r>
            </w:hyperlink>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Arial" w:cs="Arial" w:eastAsia="Arial" w:hAnsi="Arial"/>
                <w:sz w:val="18"/>
                <w:szCs w:val="18"/>
                <w:color w:val="auto"/>
              </w:rPr>
              <w:t>10.23</w:t>
            </w:r>
          </w:p>
        </w:tc>
        <w:tc>
          <w:tcPr>
            <w:tcW w:w="5140" w:type="dxa"/>
            <w:vAlign w:val="bottom"/>
            <w:tcBorders>
              <w:bottom w:val="single" w:sz="8" w:color="0000EE"/>
            </w:tcBorders>
            <w:gridSpan w:val="14"/>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Amendment No. 1 to the convertible promissory note of the Registrant.</w:t>
              </w:r>
            </w:hyperlink>
          </w:p>
        </w:tc>
        <w:tc>
          <w:tcPr>
            <w:tcW w:w="220" w:type="dxa"/>
            <w:vAlign w:val="bottom"/>
            <w:gridSpan w:val="6"/>
          </w:tcPr>
          <w:p>
            <w:pPr>
              <w:spacing w:after="0"/>
              <w:rPr>
                <w:sz w:val="18"/>
                <w:szCs w:val="18"/>
                <w:color w:val="auto"/>
              </w:rPr>
            </w:pPr>
          </w:p>
        </w:tc>
      </w:tr>
      <w:tr>
        <w:trPr>
          <w:trHeight w:val="210"/>
        </w:trPr>
        <w:tc>
          <w:tcPr>
            <w:tcW w:w="1180" w:type="dxa"/>
            <w:vAlign w:val="bottom"/>
          </w:tcPr>
          <w:p>
            <w:pPr>
              <w:spacing w:after="0"/>
              <w:rPr>
                <w:sz w:val="20"/>
                <w:szCs w:val="20"/>
                <w:color w:val="auto"/>
              </w:rPr>
            </w:pPr>
            <w:r>
              <w:rPr>
                <w:rFonts w:ascii="Arial" w:cs="Arial" w:eastAsia="Arial" w:hAnsi="Arial"/>
                <w:sz w:val="18"/>
                <w:szCs w:val="18"/>
                <w:color w:val="auto"/>
              </w:rPr>
              <w:t>10.24</w:t>
            </w:r>
          </w:p>
        </w:tc>
        <w:tc>
          <w:tcPr>
            <w:tcW w:w="5140" w:type="dxa"/>
            <w:vAlign w:val="bottom"/>
            <w:tcBorders>
              <w:bottom w:val="single" w:sz="8" w:color="0000EE"/>
            </w:tcBorders>
            <w:gridSpan w:val="14"/>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Amendment No. 2 to the convertible promissory note of the Registrant.</w:t>
              </w:r>
            </w:hyperlink>
          </w:p>
        </w:tc>
        <w:tc>
          <w:tcPr>
            <w:tcW w:w="220" w:type="dxa"/>
            <w:vAlign w:val="bottom"/>
            <w:gridSpan w:val="6"/>
          </w:tcPr>
          <w:p>
            <w:pPr>
              <w:spacing w:after="0"/>
              <w:rPr>
                <w:sz w:val="18"/>
                <w:szCs w:val="18"/>
                <w:color w:val="auto"/>
              </w:rPr>
            </w:pPr>
          </w:p>
        </w:tc>
      </w:tr>
      <w:tr>
        <w:trPr>
          <w:trHeight w:val="210"/>
        </w:trPr>
        <w:tc>
          <w:tcPr>
            <w:tcW w:w="1180" w:type="dxa"/>
            <w:vAlign w:val="bottom"/>
          </w:tcPr>
          <w:p>
            <w:pPr>
              <w:spacing w:after="0"/>
              <w:rPr>
                <w:sz w:val="20"/>
                <w:szCs w:val="20"/>
                <w:color w:val="auto"/>
              </w:rPr>
            </w:pPr>
            <w:r>
              <w:rPr>
                <w:rFonts w:ascii="Arial" w:cs="Arial" w:eastAsia="Arial" w:hAnsi="Arial"/>
                <w:sz w:val="18"/>
                <w:szCs w:val="18"/>
                <w:color w:val="auto"/>
              </w:rPr>
              <w:t>10.25</w:t>
            </w:r>
            <w:r>
              <w:rPr>
                <w:rFonts w:ascii="Arial" w:cs="Arial" w:eastAsia="Arial" w:hAnsi="Arial"/>
                <w:sz w:val="15"/>
                <w:szCs w:val="15"/>
                <w:color w:val="auto"/>
              </w:rPr>
              <w:t>¥</w:t>
            </w:r>
          </w:p>
        </w:tc>
        <w:tc>
          <w:tcPr>
            <w:tcW w:w="49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Quotation for Supply of Genetic Analysis Products, by and between</w:t>
              </w:r>
            </w:hyperlink>
          </w:p>
        </w:tc>
        <w:tc>
          <w:tcPr>
            <w:tcW w:w="460" w:type="dxa"/>
            <w:vAlign w:val="bottom"/>
            <w:gridSpan w:val="9"/>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43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Illumina, Inc. and the Registrant, dated November 19, 2019.</w:t>
              </w:r>
            </w:hyperlink>
          </w:p>
        </w:tc>
        <w:tc>
          <w:tcPr>
            <w:tcW w:w="1020" w:type="dxa"/>
            <w:vAlign w:val="bottom"/>
            <w:gridSpan w:val="13"/>
          </w:tcPr>
          <w:p>
            <w:pPr>
              <w:spacing w:after="0"/>
              <w:rPr>
                <w:sz w:val="17"/>
                <w:szCs w:val="17"/>
                <w:color w:val="auto"/>
              </w:rPr>
            </w:pPr>
          </w:p>
        </w:tc>
      </w:tr>
      <w:tr>
        <w:trPr>
          <w:trHeight w:val="209"/>
        </w:trPr>
        <w:tc>
          <w:tcPr>
            <w:tcW w:w="1180" w:type="dxa"/>
            <w:vAlign w:val="bottom"/>
          </w:tcPr>
          <w:p>
            <w:pPr>
              <w:spacing w:after="0"/>
              <w:rPr>
                <w:sz w:val="20"/>
                <w:szCs w:val="20"/>
                <w:color w:val="auto"/>
              </w:rPr>
            </w:pPr>
            <w:r>
              <w:rPr>
                <w:rFonts w:ascii="Arial" w:cs="Arial" w:eastAsia="Arial" w:hAnsi="Arial"/>
                <w:sz w:val="18"/>
                <w:szCs w:val="18"/>
                <w:color w:val="auto"/>
              </w:rPr>
              <w:t>21.1</w:t>
            </w:r>
          </w:p>
        </w:tc>
        <w:tc>
          <w:tcPr>
            <w:tcW w:w="40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Subsidiaries of the Registrant as of December 31, 2019.</w:t>
              </w:r>
            </w:hyperlink>
          </w:p>
        </w:tc>
        <w:tc>
          <w:tcPr>
            <w:tcW w:w="1340" w:type="dxa"/>
            <w:vAlign w:val="bottom"/>
            <w:gridSpan w:val="15"/>
          </w:tcPr>
          <w:p>
            <w:pPr>
              <w:spacing w:after="0"/>
              <w:rPr>
                <w:sz w:val="18"/>
                <w:szCs w:val="18"/>
                <w:color w:val="auto"/>
              </w:rPr>
            </w:pPr>
          </w:p>
        </w:tc>
      </w:tr>
      <w:tr>
        <w:trPr>
          <w:trHeight w:val="210"/>
        </w:trPr>
        <w:tc>
          <w:tcPr>
            <w:tcW w:w="1180" w:type="dxa"/>
            <w:vAlign w:val="bottom"/>
          </w:tcPr>
          <w:p>
            <w:pPr>
              <w:spacing w:after="0"/>
              <w:rPr>
                <w:sz w:val="20"/>
                <w:szCs w:val="20"/>
                <w:color w:val="auto"/>
              </w:rPr>
            </w:pPr>
            <w:r>
              <w:rPr>
                <w:rFonts w:ascii="Arial" w:cs="Arial" w:eastAsia="Arial" w:hAnsi="Arial"/>
                <w:sz w:val="18"/>
                <w:szCs w:val="18"/>
                <w:color w:val="auto"/>
              </w:rPr>
              <w:t>23.1</w:t>
            </w:r>
          </w:p>
        </w:tc>
        <w:tc>
          <w:tcPr>
            <w:tcW w:w="5360" w:type="dxa"/>
            <w:vAlign w:val="bottom"/>
            <w:gridSpan w:val="20"/>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Consent of Independent Registered Public Accounting Firm.</w:t>
              </w:r>
            </w:hyperlink>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1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Arial" w:cs="Arial" w:eastAsia="Arial" w:hAnsi="Arial"/>
                <w:sz w:val="18"/>
                <w:szCs w:val="18"/>
                <w:color w:val="auto"/>
              </w:rPr>
              <w:t>24.1</w:t>
            </w:r>
          </w:p>
        </w:tc>
        <w:tc>
          <w:tcPr>
            <w:tcW w:w="53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04">
              <w:r>
                <w:rPr>
                  <w:rFonts w:ascii="Arial" w:cs="Arial" w:eastAsia="Arial" w:hAnsi="Arial"/>
                  <w:sz w:val="18"/>
                  <w:szCs w:val="18"/>
                  <w:color w:val="0000EE"/>
                  <w:w w:val="91"/>
                </w:rPr>
                <w:t>Power of Attorney (included on the Signatures page of this Annual Report</w:t>
              </w:r>
            </w:hyperlink>
          </w:p>
        </w:tc>
      </w:tr>
      <w:tr>
        <w:trPr>
          <w:trHeight w:val="196"/>
        </w:trPr>
        <w:tc>
          <w:tcPr>
            <w:tcW w:w="1180" w:type="dxa"/>
            <w:vAlign w:val="bottom"/>
          </w:tcPr>
          <w:p>
            <w:pPr>
              <w:spacing w:after="0"/>
              <w:rPr>
                <w:sz w:val="17"/>
                <w:szCs w:val="17"/>
                <w:color w:val="auto"/>
              </w:rPr>
            </w:pPr>
          </w:p>
        </w:tc>
        <w:tc>
          <w:tcPr>
            <w:tcW w:w="11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on Form 10-K).</w:t>
              </w:r>
            </w:hyperlink>
          </w:p>
        </w:tc>
        <w:tc>
          <w:tcPr>
            <w:tcW w:w="4220" w:type="dxa"/>
            <w:vAlign w:val="bottom"/>
            <w:gridSpan w:val="18"/>
          </w:tcPr>
          <w:p>
            <w:pPr>
              <w:spacing w:after="0"/>
              <w:rPr>
                <w:sz w:val="17"/>
                <w:szCs w:val="17"/>
                <w:color w:val="auto"/>
              </w:rPr>
            </w:pPr>
          </w:p>
        </w:tc>
      </w:tr>
      <w:tr>
        <w:trPr>
          <w:trHeight w:val="210"/>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5360" w:type="dxa"/>
            <w:vAlign w:val="bottom"/>
            <w:gridSpan w:val="20"/>
          </w:tcPr>
          <w:p>
            <w:pPr>
              <w:spacing w:after="0"/>
              <w:rPr>
                <w:rFonts w:ascii="Arial" w:cs="Arial" w:eastAsia="Arial" w:hAnsi="Arial"/>
                <w:sz w:val="18"/>
                <w:szCs w:val="18"/>
                <w:color w:val="0000EE"/>
                <w:w w:val="95"/>
              </w:rPr>
            </w:pPr>
            <w:hyperlink w:anchor="page122">
              <w:r>
                <w:rPr>
                  <w:rFonts w:ascii="Arial" w:cs="Arial" w:eastAsia="Arial" w:hAnsi="Arial"/>
                  <w:sz w:val="18"/>
                  <w:szCs w:val="18"/>
                  <w:color w:val="0000EE"/>
                  <w:w w:val="95"/>
                </w:rPr>
                <w:t>Certification of Principal Executive Officer Pursuant to Rules 13a-14(a)</w:t>
              </w:r>
            </w:hyperlink>
          </w:p>
        </w:tc>
      </w:tr>
      <w:tr>
        <w:trPr>
          <w:trHeight w:val="196"/>
        </w:trPr>
        <w:tc>
          <w:tcPr>
            <w:tcW w:w="118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and 15d-14(a) under the Securities Exchange Act of 1934, as Adopted</w:t>
              </w:r>
            </w:hyperlink>
          </w:p>
        </w:tc>
        <w:tc>
          <w:tcPr>
            <w:tcW w:w="120" w:type="dxa"/>
            <w:vAlign w:val="bottom"/>
            <w:tcBorders>
              <w:top w:val="single" w:sz="8" w:color="0000EE"/>
            </w:tcBorders>
            <w:gridSpan w:val="3"/>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Pursuant to Section 302 of the Sarbanes-Oxley Act of 2002.</w:t>
              </w:r>
            </w:hyperlink>
          </w:p>
        </w:tc>
        <w:tc>
          <w:tcPr>
            <w:tcW w:w="1040" w:type="dxa"/>
            <w:vAlign w:val="bottom"/>
            <w:gridSpan w:val="14"/>
          </w:tcPr>
          <w:p>
            <w:pPr>
              <w:spacing w:after="0"/>
              <w:rPr>
                <w:sz w:val="17"/>
                <w:szCs w:val="17"/>
                <w:color w:val="auto"/>
              </w:rPr>
            </w:pPr>
          </w:p>
        </w:tc>
      </w:tr>
      <w:tr>
        <w:trPr>
          <w:trHeight w:val="209"/>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51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Certification of Principal Financial Officer Pursuant to Rules 13a-14(a)</w:t>
              </w:r>
            </w:hyperlink>
          </w:p>
        </w:tc>
        <w:tc>
          <w:tcPr>
            <w:tcW w:w="220" w:type="dxa"/>
            <w:vAlign w:val="bottom"/>
            <w:gridSpan w:val="7"/>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50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and 15d-14(a) under the Securities Exchange Act of 1934, as Adopted</w:t>
              </w:r>
            </w:hyperlink>
          </w:p>
        </w:tc>
        <w:tc>
          <w:tcPr>
            <w:tcW w:w="300" w:type="dxa"/>
            <w:vAlign w:val="bottom"/>
            <w:gridSpan w:val="8"/>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Pursuant to Section 302 of the Sarbanes-Oxley Act of 2002.</w:t>
              </w:r>
            </w:hyperlink>
          </w:p>
        </w:tc>
        <w:tc>
          <w:tcPr>
            <w:tcW w:w="1040" w:type="dxa"/>
            <w:vAlign w:val="bottom"/>
            <w:gridSpan w:val="14"/>
          </w:tcPr>
          <w:p>
            <w:pPr>
              <w:spacing w:after="0"/>
              <w:rPr>
                <w:sz w:val="17"/>
                <w:szCs w:val="17"/>
                <w:color w:val="auto"/>
              </w:rPr>
            </w:pPr>
          </w:p>
        </w:tc>
      </w:tr>
      <w:tr>
        <w:trPr>
          <w:trHeight w:val="209"/>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5360" w:type="dxa"/>
            <w:vAlign w:val="bottom"/>
            <w:gridSpan w:val="20"/>
          </w:tcPr>
          <w:p>
            <w:pPr>
              <w:spacing w:after="0"/>
              <w:rPr>
                <w:rFonts w:ascii="Arial" w:cs="Arial" w:eastAsia="Arial" w:hAnsi="Arial"/>
                <w:sz w:val="18"/>
                <w:szCs w:val="18"/>
                <w:color w:val="0000EE"/>
                <w:w w:val="92"/>
              </w:rPr>
            </w:pPr>
            <w:hyperlink w:anchor="page124">
              <w:r>
                <w:rPr>
                  <w:rFonts w:ascii="Arial" w:cs="Arial" w:eastAsia="Arial" w:hAnsi="Arial"/>
                  <w:sz w:val="18"/>
                  <w:szCs w:val="18"/>
                  <w:color w:val="0000EE"/>
                  <w:w w:val="92"/>
                </w:rPr>
                <w:t>Certification of Principal Executive Officer Pursuant to 18 U.S.C. Section</w:t>
              </w:r>
            </w:hyperlink>
          </w:p>
        </w:tc>
      </w:tr>
      <w:tr>
        <w:trPr>
          <w:trHeight w:val="196"/>
        </w:trPr>
        <w:tc>
          <w:tcPr>
            <w:tcW w:w="1180" w:type="dxa"/>
            <w:vAlign w:val="bottom"/>
          </w:tcPr>
          <w:p>
            <w:pPr>
              <w:spacing w:after="0"/>
              <w:rPr>
                <w:sz w:val="17"/>
                <w:szCs w:val="17"/>
                <w:color w:val="auto"/>
              </w:rPr>
            </w:pPr>
          </w:p>
        </w:tc>
        <w:tc>
          <w:tcPr>
            <w:tcW w:w="5320" w:type="dxa"/>
            <w:vAlign w:val="bottom"/>
            <w:tcBorders>
              <w:top w:val="single" w:sz="8" w:color="0000EE"/>
            </w:tcBorders>
            <w:gridSpan w:val="19"/>
          </w:tcPr>
          <w:p>
            <w:pPr>
              <w:spacing w:after="0" w:line="19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1350, as Adopted Pursuant to Section 906 of the Sarbanes-Oxley Act of</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24">
              <w:r>
                <w:rPr>
                  <w:rFonts w:ascii="Arial" w:cs="Arial" w:eastAsia="Arial" w:hAnsi="Arial"/>
                  <w:sz w:val="18"/>
                  <w:szCs w:val="18"/>
                  <w:color w:val="0000EE"/>
                  <w:w w:val="84"/>
                </w:rPr>
                <w:t>2002.</w:t>
              </w:r>
            </w:hyperlink>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528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125">
              <w:r>
                <w:rPr>
                  <w:rFonts w:ascii="Arial" w:cs="Arial" w:eastAsia="Arial" w:hAnsi="Arial"/>
                  <w:sz w:val="18"/>
                  <w:szCs w:val="18"/>
                  <w:color w:val="0000EE"/>
                  <w:w w:val="92"/>
                </w:rPr>
                <w:t>Certification of Principal Financial Officer Pursuant to 18 U.S.C. Section</w:t>
              </w:r>
            </w:hyperlink>
          </w:p>
        </w:tc>
        <w:tc>
          <w:tcPr>
            <w:tcW w:w="80" w:type="dxa"/>
            <w:vAlign w:val="bottom"/>
            <w:gridSpan w:val="2"/>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5360" w:type="dxa"/>
            <w:vAlign w:val="bottom"/>
            <w:gridSpan w:val="20"/>
          </w:tcPr>
          <w:p>
            <w:pPr>
              <w:spacing w:after="0" w:line="196" w:lineRule="exact"/>
              <w:rPr>
                <w:rFonts w:ascii="Arial" w:cs="Arial" w:eastAsia="Arial" w:hAnsi="Arial"/>
                <w:sz w:val="18"/>
                <w:szCs w:val="18"/>
                <w:color w:val="0000EE"/>
                <w:w w:val="93"/>
              </w:rPr>
            </w:pPr>
            <w:hyperlink w:anchor="page125">
              <w:r>
                <w:rPr>
                  <w:rFonts w:ascii="Arial" w:cs="Arial" w:eastAsia="Arial" w:hAnsi="Arial"/>
                  <w:sz w:val="18"/>
                  <w:szCs w:val="18"/>
                  <w:color w:val="0000EE"/>
                  <w:w w:val="93"/>
                </w:rPr>
                <w:t>1350, as Adopted Pursuant to Section 906 of the Sarbanes-Oxley Act of</w:t>
              </w:r>
            </w:hyperlink>
          </w:p>
        </w:tc>
      </w:tr>
      <w:tr>
        <w:trPr>
          <w:trHeight w:val="196"/>
        </w:trPr>
        <w:tc>
          <w:tcPr>
            <w:tcW w:w="11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25">
              <w:r>
                <w:rPr>
                  <w:rFonts w:ascii="Arial" w:cs="Arial" w:eastAsia="Arial" w:hAnsi="Arial"/>
                  <w:sz w:val="18"/>
                  <w:szCs w:val="18"/>
                  <w:color w:val="0000EE"/>
                  <w:w w:val="84"/>
                </w:rPr>
                <w:t>2002.</w:t>
              </w:r>
            </w:hyperlink>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9"/>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536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536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536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536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536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536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8770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333-231703</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10.20</w:t>
            </w:r>
          </w:p>
        </w:tc>
        <w:tc>
          <w:tcPr>
            <w:tcW w:w="1020" w:type="dxa"/>
            <w:vAlign w:val="bottom"/>
          </w:tcPr>
          <w:p>
            <w:pPr>
              <w:jc w:val="right"/>
              <w:spacing w:after="0"/>
              <w:rPr>
                <w:sz w:val="20"/>
                <w:szCs w:val="20"/>
                <w:color w:val="auto"/>
              </w:rPr>
            </w:pPr>
            <w:r>
              <w:rPr>
                <w:rFonts w:ascii="Arial" w:cs="Arial" w:eastAsia="Arial" w:hAnsi="Arial"/>
                <w:sz w:val="18"/>
                <w:szCs w:val="18"/>
                <w:color w:val="auto"/>
              </w:rPr>
              <w:t>5/23/2019</w:t>
            </w:r>
          </w:p>
        </w:tc>
      </w:tr>
      <w:tr>
        <w:trPr>
          <w:trHeight w:val="445"/>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333-231703</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10.21</w:t>
            </w:r>
          </w:p>
        </w:tc>
        <w:tc>
          <w:tcPr>
            <w:tcW w:w="1020" w:type="dxa"/>
            <w:vAlign w:val="bottom"/>
          </w:tcPr>
          <w:p>
            <w:pPr>
              <w:jc w:val="right"/>
              <w:spacing w:after="0"/>
              <w:rPr>
                <w:sz w:val="20"/>
                <w:szCs w:val="20"/>
                <w:color w:val="auto"/>
              </w:rPr>
            </w:pPr>
            <w:r>
              <w:rPr>
                <w:rFonts w:ascii="Arial" w:cs="Arial" w:eastAsia="Arial" w:hAnsi="Arial"/>
                <w:sz w:val="18"/>
                <w:szCs w:val="18"/>
                <w:color w:val="auto"/>
              </w:rPr>
              <w:t>5/23/2019</w:t>
            </w:r>
          </w:p>
        </w:tc>
      </w:tr>
      <w:tr>
        <w:trPr>
          <w:trHeight w:val="661"/>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333-231703</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10.22</w:t>
            </w:r>
          </w:p>
        </w:tc>
        <w:tc>
          <w:tcPr>
            <w:tcW w:w="1020" w:type="dxa"/>
            <w:vAlign w:val="bottom"/>
          </w:tcPr>
          <w:p>
            <w:pPr>
              <w:jc w:val="right"/>
              <w:spacing w:after="0"/>
              <w:rPr>
                <w:sz w:val="20"/>
                <w:szCs w:val="20"/>
                <w:color w:val="auto"/>
              </w:rPr>
            </w:pPr>
            <w:r>
              <w:rPr>
                <w:rFonts w:ascii="Arial" w:cs="Arial" w:eastAsia="Arial" w:hAnsi="Arial"/>
                <w:sz w:val="18"/>
                <w:szCs w:val="18"/>
                <w:color w:val="auto"/>
              </w:rPr>
              <w:t>5/23/2019</w:t>
            </w:r>
          </w:p>
        </w:tc>
      </w:t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333-231703</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10.23</w:t>
            </w:r>
          </w:p>
        </w:tc>
        <w:tc>
          <w:tcPr>
            <w:tcW w:w="1020" w:type="dxa"/>
            <w:vAlign w:val="bottom"/>
          </w:tcPr>
          <w:p>
            <w:pPr>
              <w:jc w:val="right"/>
              <w:spacing w:after="0"/>
              <w:rPr>
                <w:sz w:val="20"/>
                <w:szCs w:val="20"/>
                <w:color w:val="auto"/>
              </w:rPr>
            </w:pPr>
            <w:r>
              <w:rPr>
                <w:rFonts w:ascii="Arial" w:cs="Arial" w:eastAsia="Arial" w:hAnsi="Arial"/>
                <w:sz w:val="18"/>
                <w:szCs w:val="18"/>
                <w:color w:val="auto"/>
              </w:rPr>
              <w:t>5/23/2019</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333-231703</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10.24</w:t>
            </w:r>
          </w:p>
        </w:tc>
        <w:tc>
          <w:tcPr>
            <w:tcW w:w="1020" w:type="dxa"/>
            <w:vAlign w:val="bottom"/>
          </w:tcPr>
          <w:p>
            <w:pPr>
              <w:jc w:val="right"/>
              <w:spacing w:after="0"/>
              <w:rPr>
                <w:sz w:val="20"/>
                <w:szCs w:val="20"/>
                <w:color w:val="auto"/>
              </w:rPr>
            </w:pPr>
            <w:r>
              <w:rPr>
                <w:rFonts w:ascii="Arial" w:cs="Arial" w:eastAsia="Arial" w:hAnsi="Arial"/>
                <w:sz w:val="18"/>
                <w:szCs w:val="18"/>
                <w:color w:val="auto"/>
              </w:rPr>
              <w:t>5/23/2019</w:t>
            </w:r>
          </w:p>
        </w:tc>
      </w:tr>
    </w:tbl>
    <w:p>
      <w:pPr>
        <w:spacing w:after="0" w:line="5586" w:lineRule="exact"/>
        <w:rPr>
          <w:sz w:val="20"/>
          <w:szCs w:val="20"/>
          <w:color w:val="auto"/>
        </w:rPr>
      </w:pPr>
    </w:p>
    <w:p>
      <w:pPr>
        <w:sectPr>
          <w:pgSz w:w="11900" w:h="16838" w:orient="portrait"/>
          <w:cols w:equalWidth="0" w:num="2">
            <w:col w:w="6540" w:space="520"/>
            <w:col w:w="4180"/>
          </w:cols>
          <w:pgMar w:left="320" w:top="338" w:right="339" w:bottom="1440" w:gutter="0" w:footer="0" w:header="0"/>
        </w:sectPr>
      </w:pPr>
    </w:p>
    <w:p>
      <w:pPr>
        <w:spacing w:after="0" w:line="11"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8" w:lineRule="exact"/>
        <w:rPr>
          <w:sz w:val="20"/>
          <w:szCs w:val="20"/>
          <w:color w:val="auto"/>
        </w:rPr>
      </w:pPr>
    </w:p>
    <w:p>
      <w:pPr>
        <w:jc w:val="both"/>
        <w:ind w:left="500" w:hanging="492"/>
        <w:spacing w:after="0" w:line="238"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7" w:lineRule="exact"/>
        <w:rPr>
          <w:sz w:val="20"/>
          <w:szCs w:val="20"/>
          <w:color w:val="auto"/>
        </w:rPr>
      </w:pPr>
    </w:p>
    <w:p>
      <w:pPr>
        <w:ind w:left="500" w:hanging="492"/>
        <w:spacing w:after="0" w:line="253" w:lineRule="auto"/>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as the Registrant has determined that (i) the omitted information is not material and (ii) the omitted information would likely cause competitive harm to the Registrant if publicly disclosed.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6"/>
          <w:szCs w:val="16"/>
          <w:color w:val="auto"/>
        </w:rPr>
        <w:t>Personalis, Inc.</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Aaron Tachibana</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4"/>
          <w:szCs w:val="14"/>
          <w:i w:val="1"/>
          <w:iCs w:val="1"/>
          <w:color w:val="auto"/>
        </w:rPr>
        <w:t>(Principal Financial and Accounting Officer)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John West and Aaron Tachibana,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216" w:lineRule="exact"/>
        <w:rPr>
          <w:sz w:val="20"/>
          <w:szCs w:val="20"/>
          <w:color w:val="auto"/>
        </w:rPr>
      </w:pPr>
    </w:p>
    <w:p>
      <w:pPr>
        <w:ind w:left="122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 and 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John West</w:t>
            </w:r>
          </w:p>
        </w:tc>
        <w:tc>
          <w:tcPr>
            <w:tcW w:w="5000" w:type="dxa"/>
            <w:vAlign w:val="bottom"/>
          </w:tcPr>
          <w:p>
            <w:pPr>
              <w:jc w:val="center"/>
              <w:ind w:left="13"/>
              <w:spacing w:after="0"/>
              <w:rPr>
                <w:sz w:val="20"/>
                <w:szCs w:val="20"/>
                <w:color w:val="auto"/>
              </w:rPr>
            </w:pPr>
            <w:r>
              <w:rPr>
                <w:rFonts w:ascii="Arial" w:cs="Arial" w:eastAsia="Arial" w:hAnsi="Arial"/>
                <w:sz w:val="18"/>
                <w:szCs w:val="18"/>
                <w:color w:val="auto"/>
                <w:w w:val="91"/>
              </w:rPr>
              <w:t>President, Chief Executive Officer and 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John West</w:t>
            </w:r>
          </w:p>
        </w:tc>
        <w:tc>
          <w:tcPr>
            <w:tcW w:w="5000" w:type="dxa"/>
            <w:vAlign w:val="bottom"/>
          </w:tcPr>
          <w:p>
            <w:pPr>
              <w:jc w:val="center"/>
              <w:ind w:left="33"/>
              <w:spacing w:after="0"/>
              <w:rPr>
                <w:sz w:val="20"/>
                <w:szCs w:val="20"/>
                <w:color w:val="auto"/>
              </w:rPr>
            </w:pPr>
            <w:r>
              <w:rPr>
                <w:rFonts w:ascii="Arial" w:cs="Arial" w:eastAsia="Arial" w:hAnsi="Arial"/>
                <w:sz w:val="14"/>
                <w:szCs w:val="14"/>
                <w:i w:val="1"/>
                <w:iCs w:val="1"/>
                <w:color w:val="auto"/>
                <w:w w:val="97"/>
              </w:rPr>
              <w:t>(Principal Executive Officer)</w:t>
            </w:r>
          </w:p>
        </w:tc>
        <w:tc>
          <w:tcPr>
            <w:tcW w:w="18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Aaron Tachibana</w:t>
            </w:r>
          </w:p>
        </w:tc>
        <w:tc>
          <w:tcPr>
            <w:tcW w:w="5000" w:type="dxa"/>
            <w:vAlign w:val="bottom"/>
          </w:tcPr>
          <w:p>
            <w:pPr>
              <w:jc w:val="center"/>
              <w:ind w:left="13"/>
              <w:spacing w:after="0"/>
              <w:rPr>
                <w:sz w:val="20"/>
                <w:szCs w:val="20"/>
                <w:color w:val="auto"/>
              </w:rPr>
            </w:pPr>
            <w:r>
              <w:rPr>
                <w:rFonts w:ascii="Arial" w:cs="Arial" w:eastAsia="Arial" w:hAnsi="Arial"/>
                <w:sz w:val="18"/>
                <w:szCs w:val="18"/>
                <w:color w:val="auto"/>
                <w:w w:val="93"/>
              </w:rPr>
              <w:t>Chief Financial Officer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Aaron Tachibana</w:t>
            </w:r>
          </w:p>
        </w:tc>
        <w:tc>
          <w:tcPr>
            <w:tcW w:w="5000" w:type="dxa"/>
            <w:vAlign w:val="bottom"/>
          </w:tcPr>
          <w:p>
            <w:pPr>
              <w:jc w:val="center"/>
              <w:ind w:left="13"/>
              <w:spacing w:after="0"/>
              <w:rPr>
                <w:sz w:val="20"/>
                <w:szCs w:val="20"/>
                <w:color w:val="auto"/>
              </w:rPr>
            </w:pPr>
            <w:r>
              <w:rPr>
                <w:rFonts w:ascii="Arial" w:cs="Arial" w:eastAsia="Arial" w:hAnsi="Arial"/>
                <w:sz w:val="14"/>
                <w:szCs w:val="14"/>
                <w:i w:val="1"/>
                <w:iCs w:val="1"/>
                <w:color w:val="auto"/>
                <w:w w:val="97"/>
              </w:rPr>
              <w:t>(Principal Financial and Accounting Officer)</w:t>
            </w:r>
          </w:p>
        </w:tc>
        <w:tc>
          <w:tcPr>
            <w:tcW w:w="18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Patrick Balthrop</w:t>
            </w:r>
          </w:p>
        </w:tc>
        <w:tc>
          <w:tcPr>
            <w:tcW w:w="5000" w:type="dxa"/>
            <w:vAlign w:val="bottom"/>
          </w:tcPr>
          <w:p>
            <w:pPr>
              <w:jc w:val="center"/>
              <w:ind w:left="33"/>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Patrick Balthrop</w:t>
            </w:r>
          </w:p>
        </w:tc>
        <w:tc>
          <w:tcPr>
            <w:tcW w:w="50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 Blaine Bowman</w:t>
            </w:r>
          </w:p>
        </w:tc>
        <w:tc>
          <w:tcPr>
            <w:tcW w:w="5000" w:type="dxa"/>
            <w:vAlign w:val="bottom"/>
          </w:tcPr>
          <w:p>
            <w:pPr>
              <w:jc w:val="center"/>
              <w:ind w:left="33"/>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A. Blaine Bowman</w:t>
            </w:r>
          </w:p>
        </w:tc>
        <w:tc>
          <w:tcPr>
            <w:tcW w:w="50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Alan Colowick</w:t>
            </w:r>
          </w:p>
        </w:tc>
        <w:tc>
          <w:tcPr>
            <w:tcW w:w="5000" w:type="dxa"/>
            <w:vAlign w:val="bottom"/>
          </w:tcPr>
          <w:p>
            <w:pPr>
              <w:jc w:val="center"/>
              <w:ind w:left="33"/>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Alan Colowick, M.D.</w:t>
            </w:r>
          </w:p>
        </w:tc>
        <w:tc>
          <w:tcPr>
            <w:tcW w:w="50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Karin Eastham</w:t>
            </w:r>
          </w:p>
        </w:tc>
        <w:tc>
          <w:tcPr>
            <w:tcW w:w="5000" w:type="dxa"/>
            <w:vAlign w:val="bottom"/>
          </w:tcPr>
          <w:p>
            <w:pPr>
              <w:jc w:val="center"/>
              <w:ind w:left="33"/>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Karin Eastham</w:t>
            </w:r>
          </w:p>
        </w:tc>
        <w:tc>
          <w:tcPr>
            <w:tcW w:w="50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Kenneth Ludlum</w:t>
            </w:r>
          </w:p>
        </w:tc>
        <w:tc>
          <w:tcPr>
            <w:tcW w:w="5000" w:type="dxa"/>
            <w:vAlign w:val="bottom"/>
          </w:tcPr>
          <w:p>
            <w:pPr>
              <w:jc w:val="center"/>
              <w:ind w:left="33"/>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Kenneth Ludlum</w:t>
            </w:r>
          </w:p>
        </w:tc>
        <w:tc>
          <w:tcPr>
            <w:tcW w:w="50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Jonathan MacQuitty</w:t>
            </w:r>
          </w:p>
        </w:tc>
        <w:tc>
          <w:tcPr>
            <w:tcW w:w="5000" w:type="dxa"/>
            <w:vAlign w:val="bottom"/>
          </w:tcPr>
          <w:p>
            <w:pPr>
              <w:jc w:val="center"/>
              <w:ind w:left="33"/>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Jonathan MacQuitty, Ph.D.</w:t>
            </w:r>
          </w:p>
        </w:tc>
        <w:tc>
          <w:tcPr>
            <w:tcW w:w="50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Paul Ricci</w:t>
            </w:r>
          </w:p>
        </w:tc>
        <w:tc>
          <w:tcPr>
            <w:tcW w:w="5000" w:type="dxa"/>
            <w:vAlign w:val="bottom"/>
          </w:tcPr>
          <w:p>
            <w:pPr>
              <w:jc w:val="center"/>
              <w:ind w:left="33"/>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Paul Ricci</w:t>
            </w:r>
          </w:p>
        </w:tc>
        <w:tc>
          <w:tcPr>
            <w:tcW w:w="50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624"/>
        </w:trPr>
        <w:tc>
          <w:tcPr>
            <w:tcW w:w="3720" w:type="dxa"/>
            <w:vAlign w:val="bottom"/>
          </w:tcPr>
          <w:p>
            <w:pPr>
              <w:spacing w:after="0"/>
              <w:rPr>
                <w:sz w:val="24"/>
                <w:szCs w:val="24"/>
                <w:color w:val="auto"/>
              </w:rPr>
            </w:pPr>
          </w:p>
        </w:tc>
        <w:tc>
          <w:tcPr>
            <w:tcW w:w="5000" w:type="dxa"/>
            <w:vAlign w:val="bottom"/>
          </w:tcPr>
          <w:p>
            <w:pPr>
              <w:jc w:val="right"/>
              <w:ind w:right="2873"/>
              <w:spacing w:after="0"/>
              <w:rPr>
                <w:sz w:val="20"/>
                <w:szCs w:val="20"/>
                <w:color w:val="auto"/>
              </w:rPr>
            </w:pPr>
            <w:r>
              <w:rPr>
                <w:rFonts w:ascii="Arial" w:cs="Arial" w:eastAsia="Arial" w:hAnsi="Arial"/>
                <w:sz w:val="18"/>
                <w:szCs w:val="18"/>
                <w:color w:val="auto"/>
              </w:rPr>
              <w:t>104</w:t>
            </w:r>
          </w:p>
        </w:tc>
        <w:tc>
          <w:tcPr>
            <w:tcW w:w="18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00" w:lineRule="exact"/>
        <w:rPr>
          <w:sz w:val="20"/>
          <w:szCs w:val="20"/>
          <w:color w:val="auto"/>
        </w:rPr>
      </w:pPr>
    </w:p>
    <w:p>
      <w:pPr>
        <w:spacing w:after="0" w:line="2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Personalis, Inc. (“we,” “our,” “us,” or the “Company”) has one class of securities registered under Section 12 of the Securities Exchange Act of 1934, as amended (the “Exchange Act”): our common stock. The following summary of the terms of our common stock is based upon our amended and restated certificate of incorporation and our amended and restated bylaws. This summary does not purport to be complete and is subject to, and is qualified in its entirety by express reference to, the applicable provisions of our amended and restated certificate of incorporation, our amended and restated bylaws, and the amended and restated investor rights agreement (the “IRA”). We encourage you to read our amended and restated certificate of incorporation, our amended and restated bylaws, the IRA, and the applicable provisions of the Delaware General Corporation Law (the “DGCL”) for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210,000,000 shares, all with a par value of $0.0001 per share, of which: 200,000,000 shares are designated as common stock and 10,000,000 shares are designated as preferred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preferences that may be applicable to any then-outstanding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then-outstanding. Holders of common stock have no preemptive or conversion rights or other subscription rights and there are no redemption or sinking funds provisions applicable to the common stock. All outstanding shares of common stock are duly authorized, validly issued, fully paid, and nonassessable. All authorized but unissued shares of our common stock are available for issuance by our board of directors without any further stockholder action, except as required by the listing standards of Nasdaq. The rights, preferences, and privileges of holders of common stock are subject to and may be adversely affected by the rights of the holders of shares of any series of preferred stock that we may designate and issue in the future.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may, without further action by our stockholders, fix the rights, preferences, privileges and restrictions of up to an aggregate of 10,000,000 shares of redeemable convertible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redeemable convertible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As of December 31, 2019, our outstanding warrants consist of a warrant to purchase 62,096 shares of common stock at an exercise price of $8.052 per share exercisable for seven years from June 28, 2017 and a warrant to purchase 65,502 shares of common stock at an exercise price of $9.16 per share exercisable for seven years from March 22,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both"/>
        <w:spacing w:after="0" w:line="263" w:lineRule="auto"/>
        <w:rPr>
          <w:sz w:val="20"/>
          <w:szCs w:val="20"/>
          <w:color w:val="auto"/>
        </w:rPr>
      </w:pPr>
      <w:r>
        <w:rPr>
          <w:rFonts w:ascii="Arial" w:cs="Arial" w:eastAsia="Arial" w:hAnsi="Arial"/>
          <w:sz w:val="18"/>
          <w:szCs w:val="18"/>
          <w:color w:val="auto"/>
        </w:rPr>
        <w:t>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Meetings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Requirements for Advance Notification of Stockholder Nominations and Proposals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Elimination of Stockholder Action by Written Consent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Staggered Board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Removal of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Not Entitled to Cumulative Voting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Anti-Takeover Statute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Choice of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Chancery of the State of Delaware will be the exclusive forum for the following types of actions or proceedings under Delaware statutory or common law:</w:t>
      </w:r>
    </w:p>
    <w:p>
      <w:pPr>
        <w:spacing w:after="0" w:line="32" w:lineRule="exact"/>
        <w:rPr>
          <w:sz w:val="20"/>
          <w:szCs w:val="20"/>
          <w:color w:val="auto"/>
        </w:rPr>
      </w:pPr>
    </w:p>
    <w:p>
      <w:pPr>
        <w:jc w:val="both"/>
        <w:ind w:firstLine="8"/>
        <w:spacing w:after="0" w:line="267" w:lineRule="auto"/>
        <w:tabs>
          <w:tab w:leader="none" w:pos="259"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DGCL or our certificate of incorporation or bylaws; (4) any action to interpret, apply, enforce or determine the validity of our certificate of incorporation or bylaws; or (5) any action asserting a claim governed by the internal affairs doctrine. This provision would not apply to suits brought to enforce a duty or liability created by the Exchange Act or any other claim for which the U.S.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the choice of forum provisions to be contained in our amended and restated certificate of incorporation are inapplicable or unenforceable if they are challenged in a proceeding or otherwise.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Charter Provisions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listed on The Nasdaq Global Market under the symbol “PSNL.”</w:t>
      </w:r>
    </w:p>
    <w:p>
      <w:pPr>
        <w:sectPr>
          <w:pgSz w:w="11900" w:h="16838" w:orient="portrait"/>
          <w:cols w:equalWidth="0" w:num="1">
            <w:col w:w="11240"/>
          </w:cols>
          <w:pgMar w:left="320" w:top="125" w:right="339" w:bottom="1440" w:gutter="0" w:footer="0" w:header="0"/>
        </w:sectPr>
      </w:pPr>
    </w:p>
    <w:bookmarkStart w:id="107" w:name="page108"/>
    <w:bookmarkEnd w:id="107"/>
    <w:p>
      <w:pPr>
        <w:ind w:left="8600"/>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27" w:lineRule="exact"/>
        <w:rPr>
          <w:sz w:val="20"/>
          <w:szCs w:val="20"/>
          <w:color w:val="auto"/>
        </w:rPr>
      </w:pPr>
    </w:p>
    <w:p>
      <w:pPr>
        <w:ind w:right="280" w:firstLine="8"/>
        <w:spacing w:after="0" w:line="271" w:lineRule="auto"/>
        <w:tabs>
          <w:tab w:leader="none" w:pos="3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information contained in this document, marked by brackets, has been omitted because it is both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7"/>
          <w:szCs w:val="27"/>
          <w:color w:val="auto"/>
        </w:rPr>
        <w:t>QUOTATION FOR SUPPLY OF GENETIC ANALYSIS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700" w:type="dxa"/>
            <w:vAlign w:val="bottom"/>
            <w:gridSpan w:val="2"/>
          </w:tcPr>
          <w:p>
            <w:pPr>
              <w:jc w:val="center"/>
              <w:spacing w:after="0"/>
              <w:rPr>
                <w:sz w:val="20"/>
                <w:szCs w:val="20"/>
                <w:color w:val="auto"/>
              </w:rPr>
            </w:pPr>
            <w:r>
              <w:rPr>
                <w:rFonts w:ascii="Arial" w:cs="Arial" w:eastAsia="Arial" w:hAnsi="Arial"/>
                <w:sz w:val="20"/>
                <w:szCs w:val="20"/>
                <w:color w:val="auto"/>
                <w:w w:val="99"/>
              </w:rPr>
              <w:t>Prepared by:</w:t>
            </w:r>
          </w:p>
        </w:tc>
        <w:tc>
          <w:tcPr>
            <w:tcW w:w="15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630"/>
        </w:trPr>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Illumina, Inc.</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00" w:type="dxa"/>
            <w:vAlign w:val="bottom"/>
            <w:gridSpan w:val="2"/>
          </w:tcPr>
          <w:p>
            <w:pPr>
              <w:jc w:val="center"/>
              <w:spacing w:after="0" w:line="216" w:lineRule="exact"/>
              <w:rPr>
                <w:sz w:val="20"/>
                <w:szCs w:val="20"/>
                <w:color w:val="auto"/>
              </w:rPr>
            </w:pPr>
            <w:r>
              <w:rPr>
                <w:rFonts w:ascii="Arial" w:cs="Arial" w:eastAsia="Arial" w:hAnsi="Arial"/>
                <w:sz w:val="20"/>
                <w:szCs w:val="20"/>
                <w:b w:val="1"/>
                <w:bCs w:val="1"/>
                <w:color w:val="auto"/>
                <w:w w:val="98"/>
              </w:rPr>
              <w:t>5200 Illumina Way</w:t>
            </w:r>
          </w:p>
        </w:tc>
        <w:tc>
          <w:tcPr>
            <w:tcW w:w="15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61"/>
        </w:trPr>
        <w:tc>
          <w:tcPr>
            <w:tcW w:w="2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70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San Diego, CA, 92122-4616, US</w:t>
            </w:r>
          </w:p>
        </w:tc>
        <w:tc>
          <w:tcPr>
            <w:tcW w:w="15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904"/>
        </w:trPr>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gridSpan w:val="2"/>
          </w:tcPr>
          <w:p>
            <w:pPr>
              <w:jc w:val="center"/>
              <w:spacing w:after="0"/>
              <w:rPr>
                <w:sz w:val="20"/>
                <w:szCs w:val="20"/>
                <w:color w:val="auto"/>
              </w:rPr>
            </w:pPr>
            <w:r>
              <w:rPr>
                <w:rFonts w:ascii="Arial" w:cs="Arial" w:eastAsia="Arial" w:hAnsi="Arial"/>
                <w:sz w:val="20"/>
                <w:szCs w:val="20"/>
                <w:color w:val="auto"/>
                <w:w w:val="98"/>
              </w:rPr>
              <w:t>Hereinafter referred to as “Illumina”</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363"/>
        </w:trPr>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gridSpan w:val="2"/>
          </w:tcPr>
          <w:p>
            <w:pPr>
              <w:jc w:val="center"/>
              <w:spacing w:after="0"/>
              <w:rPr>
                <w:sz w:val="20"/>
                <w:szCs w:val="20"/>
                <w:color w:val="auto"/>
              </w:rPr>
            </w:pPr>
            <w:r>
              <w:rPr>
                <w:rFonts w:ascii="Arial" w:cs="Arial" w:eastAsia="Arial" w:hAnsi="Arial"/>
                <w:sz w:val="20"/>
                <w:szCs w:val="20"/>
                <w:color w:val="auto"/>
                <w:w w:val="98"/>
              </w:rPr>
              <w:t>Prepared For:</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32"/>
        </w:trPr>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gridSpan w:val="2"/>
          </w:tcPr>
          <w:p>
            <w:pPr>
              <w:jc w:val="center"/>
              <w:spacing w:after="0"/>
              <w:rPr>
                <w:sz w:val="20"/>
                <w:szCs w:val="20"/>
                <w:color w:val="auto"/>
              </w:rPr>
            </w:pPr>
            <w:r>
              <w:rPr>
                <w:rFonts w:ascii="Arial" w:cs="Arial" w:eastAsia="Arial" w:hAnsi="Arial"/>
                <w:sz w:val="20"/>
                <w:szCs w:val="20"/>
                <w:color w:val="auto"/>
                <w:w w:val="98"/>
              </w:rPr>
              <w:t>Personalis</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32"/>
        </w:trPr>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gridSpan w:val="2"/>
          </w:tcPr>
          <w:p>
            <w:pPr>
              <w:jc w:val="center"/>
              <w:spacing w:after="0"/>
              <w:rPr>
                <w:sz w:val="20"/>
                <w:szCs w:val="20"/>
                <w:color w:val="auto"/>
              </w:rPr>
            </w:pPr>
            <w:r>
              <w:rPr>
                <w:rFonts w:ascii="Arial" w:cs="Arial" w:eastAsia="Arial" w:hAnsi="Arial"/>
                <w:sz w:val="20"/>
                <w:szCs w:val="20"/>
                <w:color w:val="auto"/>
                <w:w w:val="99"/>
              </w:rPr>
              <w:t>Hereinafter referred to as “ Personalis ”</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846"/>
        </w:trPr>
        <w:tc>
          <w:tcPr>
            <w:tcW w:w="22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224"/>
        </w:trPr>
        <w:tc>
          <w:tcPr>
            <w:tcW w:w="2240" w:type="dxa"/>
            <w:vAlign w:val="bottom"/>
            <w:tcBorders>
              <w:right w:val="single" w:sz="8" w:color="auto"/>
            </w:tcBorders>
          </w:tcPr>
          <w:p>
            <w:pPr>
              <w:spacing w:after="0"/>
              <w:rPr>
                <w:sz w:val="19"/>
                <w:szCs w:val="19"/>
                <w:color w:val="auto"/>
              </w:rPr>
            </w:pPr>
          </w:p>
        </w:tc>
        <w:tc>
          <w:tcPr>
            <w:tcW w:w="1540" w:type="dxa"/>
            <w:vAlign w:val="bottom"/>
          </w:tcPr>
          <w:p>
            <w:pPr>
              <w:ind w:left="20"/>
              <w:spacing w:after="0"/>
              <w:rPr>
                <w:sz w:val="20"/>
                <w:szCs w:val="20"/>
                <w:color w:val="auto"/>
              </w:rPr>
            </w:pPr>
            <w:r>
              <w:rPr>
                <w:rFonts w:ascii="Arial" w:cs="Arial" w:eastAsia="Arial" w:hAnsi="Arial"/>
                <w:sz w:val="18"/>
                <w:szCs w:val="18"/>
                <w:color w:val="auto"/>
                <w:w w:val="98"/>
              </w:rPr>
              <w:t>Quotation Number:</w:t>
            </w:r>
          </w:p>
        </w:tc>
        <w:tc>
          <w:tcPr>
            <w:tcW w:w="1560" w:type="dxa"/>
            <w:vAlign w:val="bottom"/>
            <w:tcBorders>
              <w:right w:val="single" w:sz="8" w:color="auto"/>
            </w:tcBorders>
          </w:tcPr>
          <w:p>
            <w:pPr>
              <w:spacing w:after="0"/>
              <w:rPr>
                <w:sz w:val="19"/>
                <w:szCs w:val="19"/>
                <w:color w:val="auto"/>
              </w:rPr>
            </w:pPr>
          </w:p>
        </w:tc>
        <w:tc>
          <w:tcPr>
            <w:tcW w:w="2140" w:type="dxa"/>
            <w:vAlign w:val="bottom"/>
          </w:tcPr>
          <w:p>
            <w:pPr>
              <w:ind w:left="6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377"/>
        </w:trPr>
        <w:tc>
          <w:tcPr>
            <w:tcW w:w="2240" w:type="dxa"/>
            <w:vAlign w:val="bottom"/>
            <w:tcBorders>
              <w:right w:val="single" w:sz="8" w:color="auto"/>
            </w:tcBorders>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8"/>
                <w:szCs w:val="18"/>
                <w:color w:val="auto"/>
              </w:rPr>
              <w:t>Quotation Date:</w:t>
            </w:r>
          </w:p>
        </w:tc>
        <w:tc>
          <w:tcPr>
            <w:tcW w:w="1560" w:type="dxa"/>
            <w:vAlign w:val="bottom"/>
            <w:tcBorders>
              <w:right w:val="single" w:sz="8" w:color="auto"/>
            </w:tcBorders>
          </w:tcPr>
          <w:p>
            <w:pPr>
              <w:spacing w:after="0"/>
              <w:rPr>
                <w:sz w:val="24"/>
                <w:szCs w:val="24"/>
                <w:color w:val="auto"/>
              </w:rPr>
            </w:pPr>
          </w:p>
        </w:tc>
        <w:tc>
          <w:tcPr>
            <w:tcW w:w="2140" w:type="dxa"/>
            <w:vAlign w:val="bottom"/>
          </w:tcPr>
          <w:p>
            <w:pPr>
              <w:ind w:left="60"/>
              <w:spacing w:after="0"/>
              <w:rPr>
                <w:sz w:val="20"/>
                <w:szCs w:val="20"/>
                <w:color w:val="auto"/>
              </w:rPr>
            </w:pPr>
            <w:r>
              <w:rPr>
                <w:rFonts w:ascii="Arial" w:cs="Arial" w:eastAsia="Arial" w:hAnsi="Arial"/>
                <w:sz w:val="18"/>
                <w:szCs w:val="18"/>
                <w:color w:val="auto"/>
              </w:rPr>
              <w:t>November 19, 2019</w:t>
            </w:r>
          </w:p>
        </w:tc>
        <w:tc>
          <w:tcPr>
            <w:tcW w:w="1560" w:type="dxa"/>
            <w:vAlign w:val="bottom"/>
            <w:tcBorders>
              <w:right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432"/>
        </w:trPr>
        <w:tc>
          <w:tcPr>
            <w:tcW w:w="2240" w:type="dxa"/>
            <w:vAlign w:val="bottom"/>
            <w:tcBorders>
              <w:right w:val="single" w:sz="8" w:color="auto"/>
            </w:tcBorders>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8"/>
                <w:szCs w:val="18"/>
                <w:color w:val="auto"/>
              </w:rPr>
              <w:t>Expiration Date:</w:t>
            </w:r>
          </w:p>
        </w:tc>
        <w:tc>
          <w:tcPr>
            <w:tcW w:w="1560" w:type="dxa"/>
            <w:vAlign w:val="bottom"/>
            <w:tcBorders>
              <w:right w:val="single" w:sz="8" w:color="auto"/>
            </w:tcBorders>
          </w:tcPr>
          <w:p>
            <w:pPr>
              <w:spacing w:after="0"/>
              <w:rPr>
                <w:sz w:val="24"/>
                <w:szCs w:val="24"/>
                <w:color w:val="auto"/>
              </w:rPr>
            </w:pPr>
          </w:p>
        </w:tc>
        <w:tc>
          <w:tcPr>
            <w:tcW w:w="2140" w:type="dxa"/>
            <w:vAlign w:val="bottom"/>
          </w:tcPr>
          <w:p>
            <w:pPr>
              <w:ind w:left="60"/>
              <w:spacing w:after="0"/>
              <w:rPr>
                <w:sz w:val="20"/>
                <w:szCs w:val="20"/>
                <w:color w:val="auto"/>
              </w:rPr>
            </w:pPr>
            <w:r>
              <w:rPr>
                <w:rFonts w:ascii="Arial" w:cs="Arial" w:eastAsia="Arial" w:hAnsi="Arial"/>
                <w:sz w:val="18"/>
                <w:szCs w:val="18"/>
                <w:color w:val="auto"/>
              </w:rPr>
              <w:t>December 31, 2020</w:t>
            </w:r>
          </w:p>
        </w:tc>
        <w:tc>
          <w:tcPr>
            <w:tcW w:w="1560" w:type="dxa"/>
            <w:vAlign w:val="bottom"/>
            <w:tcBorders>
              <w:right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391"/>
        </w:trPr>
        <w:tc>
          <w:tcPr>
            <w:tcW w:w="2240" w:type="dxa"/>
            <w:vAlign w:val="bottom"/>
            <w:tcBorders>
              <w:right w:val="single" w:sz="8" w:color="auto"/>
            </w:tcBorders>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8"/>
                <w:szCs w:val="18"/>
                <w:color w:val="auto"/>
              </w:rPr>
              <w:t>Prepared by:</w:t>
            </w:r>
          </w:p>
        </w:tc>
        <w:tc>
          <w:tcPr>
            <w:tcW w:w="1560" w:type="dxa"/>
            <w:vAlign w:val="bottom"/>
            <w:tcBorders>
              <w:right w:val="single" w:sz="8" w:color="auto"/>
            </w:tcBorders>
          </w:tcPr>
          <w:p>
            <w:pPr>
              <w:spacing w:after="0"/>
              <w:rPr>
                <w:sz w:val="24"/>
                <w:szCs w:val="24"/>
                <w:color w:val="auto"/>
              </w:rPr>
            </w:pPr>
          </w:p>
        </w:tc>
        <w:tc>
          <w:tcPr>
            <w:tcW w:w="2140" w:type="dxa"/>
            <w:vAlign w:val="bottom"/>
          </w:tcPr>
          <w:p>
            <w:pPr>
              <w:ind w:left="6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392"/>
        </w:trPr>
        <w:tc>
          <w:tcPr>
            <w:tcW w:w="2240" w:type="dxa"/>
            <w:vAlign w:val="bottom"/>
            <w:tcBorders>
              <w:right w:val="single" w:sz="8" w:color="auto"/>
            </w:tcBorders>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8"/>
                <w:szCs w:val="18"/>
                <w:color w:val="auto"/>
              </w:rPr>
              <w:t>Phone Number:</w:t>
            </w:r>
          </w:p>
        </w:tc>
        <w:tc>
          <w:tcPr>
            <w:tcW w:w="1560" w:type="dxa"/>
            <w:vAlign w:val="bottom"/>
            <w:tcBorders>
              <w:right w:val="single" w:sz="8" w:color="auto"/>
            </w:tcBorders>
          </w:tcPr>
          <w:p>
            <w:pPr>
              <w:spacing w:after="0"/>
              <w:rPr>
                <w:sz w:val="24"/>
                <w:szCs w:val="24"/>
                <w:color w:val="auto"/>
              </w:rPr>
            </w:pPr>
          </w:p>
        </w:tc>
        <w:tc>
          <w:tcPr>
            <w:tcW w:w="2140" w:type="dxa"/>
            <w:vAlign w:val="bottom"/>
          </w:tcPr>
          <w:p>
            <w:pPr>
              <w:ind w:left="6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409"/>
        </w:trPr>
        <w:tc>
          <w:tcPr>
            <w:tcW w:w="2240" w:type="dxa"/>
            <w:vAlign w:val="bottom"/>
            <w:tcBorders>
              <w:right w:val="single" w:sz="8" w:color="auto"/>
            </w:tcBorders>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8"/>
                <w:szCs w:val="18"/>
                <w:color w:val="auto"/>
              </w:rPr>
              <w:t>Email:</w:t>
            </w:r>
          </w:p>
        </w:tc>
        <w:tc>
          <w:tcPr>
            <w:tcW w:w="1560" w:type="dxa"/>
            <w:vAlign w:val="bottom"/>
            <w:tcBorders>
              <w:right w:val="single" w:sz="8" w:color="auto"/>
            </w:tcBorders>
          </w:tcPr>
          <w:p>
            <w:pPr>
              <w:spacing w:after="0"/>
              <w:rPr>
                <w:sz w:val="24"/>
                <w:szCs w:val="24"/>
                <w:color w:val="auto"/>
              </w:rPr>
            </w:pPr>
          </w:p>
        </w:tc>
        <w:tc>
          <w:tcPr>
            <w:tcW w:w="2140" w:type="dxa"/>
            <w:vAlign w:val="bottom"/>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w:t>
            </w:r>
          </w:p>
        </w:tc>
        <w:tc>
          <w:tcPr>
            <w:tcW w:w="1560" w:type="dxa"/>
            <w:vAlign w:val="bottom"/>
            <w:tcBorders>
              <w:right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104"/>
        </w:trPr>
        <w:tc>
          <w:tcPr>
            <w:tcW w:w="2240" w:type="dxa"/>
            <w:vAlign w:val="bottom"/>
            <w:tcBorders>
              <w:right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2220" w:type="dxa"/>
            <w:vAlign w:val="bottom"/>
          </w:tcPr>
          <w:p>
            <w:pPr>
              <w:spacing w:after="0"/>
              <w:rPr>
                <w:sz w:val="9"/>
                <w:szCs w:val="9"/>
                <w:color w:val="auto"/>
              </w:rPr>
            </w:pPr>
          </w:p>
        </w:tc>
      </w:tr>
      <w:tr>
        <w:trPr>
          <w:trHeight w:val="672"/>
        </w:trPr>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40" w:type="dxa"/>
            <w:vAlign w:val="bottom"/>
          </w:tcPr>
          <w:p>
            <w:pPr>
              <w:ind w:left="1080"/>
              <w:spacing w:after="0"/>
              <w:rPr>
                <w:sz w:val="20"/>
                <w:szCs w:val="20"/>
                <w:color w:val="auto"/>
              </w:rPr>
            </w:pPr>
            <w:r>
              <w:rPr>
                <w:rFonts w:ascii="Arial" w:cs="Arial" w:eastAsia="Arial" w:hAnsi="Arial"/>
                <w:sz w:val="20"/>
                <w:szCs w:val="20"/>
                <w:color w:val="auto"/>
              </w:rPr>
              <w:t>Proposal#</w:t>
            </w:r>
          </w:p>
        </w:tc>
        <w:tc>
          <w:tcPr>
            <w:tcW w:w="1560" w:type="dxa"/>
            <w:vAlign w:val="bottom"/>
          </w:tcPr>
          <w:p>
            <w:pPr>
              <w:jc w:val="right"/>
              <w:ind w:right="961"/>
              <w:spacing w:after="0"/>
              <w:rPr>
                <w:sz w:val="20"/>
                <w:szCs w:val="20"/>
                <w:color w:val="auto"/>
              </w:rPr>
            </w:pPr>
            <w:r>
              <w:rPr>
                <w:rFonts w:ascii="Arial" w:cs="Arial" w:eastAsia="Arial" w:hAnsi="Arial"/>
                <w:sz w:val="20"/>
                <w:szCs w:val="20"/>
                <w:color w:val="auto"/>
              </w:rPr>
              <w:t>[***]</w:t>
            </w:r>
          </w:p>
        </w:tc>
        <w:tc>
          <w:tcPr>
            <w:tcW w:w="2220" w:type="dxa"/>
            <w:vAlign w:val="bottom"/>
          </w:tcPr>
          <w:p>
            <w:pPr>
              <w:ind w:left="1080"/>
              <w:spacing w:after="0"/>
              <w:rPr>
                <w:sz w:val="20"/>
                <w:szCs w:val="20"/>
                <w:color w:val="auto"/>
              </w:rPr>
            </w:pPr>
            <w:r>
              <w:rPr>
                <w:rFonts w:ascii="Arial" w:cs="Arial" w:eastAsia="Arial" w:hAnsi="Arial"/>
                <w:sz w:val="20"/>
                <w:szCs w:val="20"/>
                <w:color w:val="auto"/>
                <w:w w:val="98"/>
              </w:rPr>
              <w:t>Page 1 of 12</w:t>
            </w:r>
          </w:p>
        </w:tc>
      </w:tr>
      <w:tr>
        <w:trPr>
          <w:trHeight w:val="530"/>
        </w:trPr>
        <w:tc>
          <w:tcPr>
            <w:tcW w:w="2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1225550"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8" w:name="page109"/>
    <w:bookmarkEnd w:id="108"/>
    <w:p>
      <w:pPr>
        <w:ind w:left="1880"/>
        <w:spacing w:after="0"/>
        <w:tabs>
          <w:tab w:leader="none" w:pos="5340" w:val="left"/>
          <w:tab w:leader="none" w:pos="8280" w:val="left"/>
        </w:tabs>
        <w:rPr>
          <w:sz w:val="20"/>
          <w:szCs w:val="20"/>
          <w:color w:val="auto"/>
        </w:rPr>
      </w:pPr>
      <w:r>
        <w:rPr>
          <w:rFonts w:ascii="Arial" w:cs="Arial" w:eastAsia="Arial" w:hAnsi="Arial"/>
          <w:sz w:val="20"/>
          <w:szCs w:val="20"/>
          <w:color w:val="auto"/>
        </w:rPr>
        <w:t>Proposal#</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Page 2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336550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-5715</wp:posOffset>
            </wp:positionV>
            <wp:extent cx="1225550"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9420"/>
          </w:cols>
          <w:pgMar w:left="1440" w:top="568" w:right="1039" w:bottom="1440" w:gutter="0" w:footer="0" w:header="0"/>
        </w:sectPr>
      </w:pPr>
    </w:p>
    <w:bookmarkStart w:id="109" w:name="page110"/>
    <w:bookmarkEnd w:id="109"/>
    <w:p>
      <w:pPr>
        <w:ind w:left="60"/>
        <w:spacing w:after="0"/>
        <w:rPr>
          <w:sz w:val="20"/>
          <w:szCs w:val="20"/>
          <w:color w:val="auto"/>
        </w:rPr>
      </w:pPr>
      <w:r>
        <w:rPr>
          <w:rFonts w:ascii="Arial" w:cs="Arial" w:eastAsia="Arial" w:hAnsi="Arial"/>
          <w:sz w:val="20"/>
          <w:szCs w:val="20"/>
          <w:b w:val="1"/>
          <w:bCs w:val="1"/>
          <w:color w:val="auto"/>
        </w:rPr>
        <w:t>I. CUSTOMER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548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Company or Institution Name:</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Personalis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1330 Obrien Dr, Menlo Park, CA, 94025-1436.</w:t>
      </w:r>
    </w:p>
    <w:p>
      <w:pPr>
        <w:spacing w:after="0" w:line="222" w:lineRule="exact"/>
        <w:rPr>
          <w:sz w:val="20"/>
          <w:szCs w:val="20"/>
          <w:color w:val="auto"/>
        </w:rPr>
      </w:pPr>
    </w:p>
    <w:p>
      <w:pPr>
        <w:sectPr>
          <w:pgSz w:w="11900" w:h="16838" w:orient="portrait"/>
          <w:cols w:equalWidth="0" w:num="2">
            <w:col w:w="3420" w:space="720"/>
            <w:col w:w="7100"/>
          </w:cols>
          <w:pgMar w:left="320" w:top="111" w:right="3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II. PRODUCT &amp; PRICING INFORMATION</w:t>
      </w:r>
    </w:p>
    <w:p>
      <w:pPr>
        <w:spacing w:after="0" w:line="45" w:lineRule="exact"/>
        <w:rPr>
          <w:sz w:val="20"/>
          <w:szCs w:val="20"/>
          <w:color w:val="auto"/>
        </w:rPr>
      </w:pPr>
    </w:p>
    <w:p>
      <w:pPr>
        <w:ind w:right="600"/>
        <w:spacing w:after="0" w:line="301" w:lineRule="auto"/>
        <w:rPr>
          <w:sz w:val="20"/>
          <w:szCs w:val="20"/>
          <w:color w:val="auto"/>
        </w:rPr>
      </w:pPr>
      <w:r>
        <w:rPr>
          <w:rFonts w:ascii="Arial" w:cs="Arial" w:eastAsia="Arial" w:hAnsi="Arial"/>
          <w:sz w:val="17"/>
          <w:szCs w:val="17"/>
          <w:b w:val="1"/>
          <w:bCs w:val="1"/>
          <w:color w:val="auto"/>
        </w:rPr>
        <w:t>Customer receives the following discount on the product families listed below (excludes promotionally priced consumables, software, hardware or new instrument purchases). For the discount to apply, Customer must agree to the following:</w:t>
      </w:r>
    </w:p>
    <w:p>
      <w:pPr>
        <w:spacing w:after="0" w:line="155"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Master Quote, which can be used for multiple purchases, will only be valid until 5:00pm on the expiration date listed on page 1.</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Customer Purchase Orders received by Illumina that include this discounted pricing must be in the quoted currency and reference this quotation.</w:t>
      </w:r>
    </w:p>
    <w:p>
      <w:pPr>
        <w:spacing w:after="0" w:line="5" w:lineRule="exact"/>
        <w:rPr>
          <w:rFonts w:ascii="Arial" w:cs="Arial" w:eastAsia="Arial" w:hAnsi="Arial"/>
          <w:sz w:val="16"/>
          <w:szCs w:val="16"/>
          <w:color w:val="auto"/>
        </w:rPr>
      </w:pPr>
    </w:p>
    <w:p>
      <w:pPr>
        <w:ind w:left="380" w:right="60" w:hanging="372"/>
        <w:spacing w:after="0" w:line="246"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discounts will be applied to Illumina's then current list price. Illumina shall at its sole discretion, adjust discount percentages for future products or for any list price adjustments to the products offered on this Quotation.</w:t>
      </w:r>
    </w:p>
    <w:p>
      <w:pPr>
        <w:ind w:left="380" w:hanging="372"/>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pricing and terms of this offer are kept confidential except as needed to execute the purchase.</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Discount for consumables applies only to the product families specified in the table herein.</w:t>
      </w:r>
    </w:p>
    <w:p>
      <w:pPr>
        <w:spacing w:after="0" w:line="5" w:lineRule="exact"/>
        <w:rPr>
          <w:rFonts w:ascii="Arial" w:cs="Arial" w:eastAsia="Arial" w:hAnsi="Arial"/>
          <w:sz w:val="16"/>
          <w:szCs w:val="16"/>
          <w:color w:val="auto"/>
        </w:rPr>
      </w:pPr>
    </w:p>
    <w:p>
      <w:pPr>
        <w:ind w:left="380" w:right="40" w:hanging="372"/>
        <w:spacing w:after="0" w:line="253"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Customer understands that product pricing stated herein is not inclusive of any applicable shipping, freight and/or taxes. Any estimated shipping and freight charges listed on this quotation may differ from actual charges. Any shipping/freight costs will be pre-paid and charged back to Customer. Customer accepts responsibility for any actual incurred shipping/freight costs.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369"/>
        </w:trPr>
        <w:tc>
          <w:tcPr>
            <w:tcW w:w="6120" w:type="dxa"/>
            <w:vAlign w:val="bottom"/>
            <w:tcBorders>
              <w:top w:val="single" w:sz="8" w:color="auto"/>
              <w:left w:val="single" w:sz="8" w:color="auto"/>
              <w:bottom w:val="single" w:sz="8" w:color="FF9900"/>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0"/>
              </w:rPr>
              <w:t>Product Family</w:t>
            </w:r>
          </w:p>
        </w:tc>
        <w:tc>
          <w:tcPr>
            <w:tcW w:w="5120" w:type="dxa"/>
            <w:vAlign w:val="bottom"/>
            <w:tcBorders>
              <w:top w:val="single" w:sz="8" w:color="auto"/>
              <w:bottom w:val="single" w:sz="8" w:color="FF9900"/>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89"/>
              </w:rPr>
              <w:t>Discount%</w:t>
            </w:r>
          </w:p>
        </w:tc>
      </w:tr>
      <w:tr>
        <w:trPr>
          <w:trHeight w:val="264"/>
        </w:trPr>
        <w:tc>
          <w:tcPr>
            <w:tcW w:w="61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MiSeq Sequencing Consumables</w:t>
            </w:r>
          </w:p>
        </w:tc>
        <w:tc>
          <w:tcPr>
            <w:tcW w:w="5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6120" w:type="dxa"/>
            <w:vAlign w:val="bottom"/>
            <w:tcBorders>
              <w:left w:val="single" w:sz="8" w:color="auto"/>
              <w:bottom w:val="single" w:sz="8" w:color="auto"/>
              <w:right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r>
      <w:tr>
        <w:trPr>
          <w:trHeight w:val="264"/>
        </w:trPr>
        <w:tc>
          <w:tcPr>
            <w:tcW w:w="6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Sample Preparation Consumables</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6120" w:type="dxa"/>
            <w:vAlign w:val="bottom"/>
            <w:tcBorders>
              <w:left w:val="single" w:sz="8" w:color="auto"/>
              <w:bottom w:val="single" w:sz="8" w:color="auto"/>
              <w:right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r>
      <w:tr>
        <w:trPr>
          <w:trHeight w:val="264"/>
        </w:trPr>
        <w:tc>
          <w:tcPr>
            <w:tcW w:w="6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SBS and Cluster Generation Sequencing Co</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6120" w:type="dxa"/>
            <w:vAlign w:val="bottom"/>
            <w:tcBorders>
              <w:left w:val="single" w:sz="8" w:color="auto"/>
              <w:bottom w:val="single" w:sz="8" w:color="auto"/>
              <w:right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r>
      <w:tr>
        <w:trPr>
          <w:trHeight w:val="264"/>
        </w:trPr>
        <w:tc>
          <w:tcPr>
            <w:tcW w:w="6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Miscellaneous Sequencing Consumables</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6120" w:type="dxa"/>
            <w:vAlign w:val="bottom"/>
            <w:tcBorders>
              <w:left w:val="single" w:sz="8" w:color="auto"/>
              <w:bottom w:val="single" w:sz="8" w:color="auto"/>
              <w:right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8117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36"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Discount Exception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Catalog #</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Product Description</w:t>
            </w:r>
          </w:p>
        </w:tc>
        <w:tc>
          <w:tcPr>
            <w:tcW w:w="3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Discount</w:t>
            </w:r>
          </w:p>
        </w:tc>
      </w:tr>
      <w:tr>
        <w:trPr>
          <w:trHeight w:val="270"/>
        </w:trPr>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20012865</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NovaSeq 5000/6000 S1 Rgt Kit (100 cyc)</w:t>
            </w:r>
          </w:p>
        </w:tc>
        <w:tc>
          <w:tcPr>
            <w:tcW w:w="3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9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64"/>
        </w:trPr>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20012864</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NovaSeq 5000/6000 S1 Rgt Kit (200 cyc)</w:t>
            </w:r>
          </w:p>
        </w:tc>
        <w:tc>
          <w:tcPr>
            <w:tcW w:w="3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9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64"/>
        </w:trPr>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20012863</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NovaSeq 5000/6000 S1 Rgt Kit (300 cyc)</w:t>
            </w:r>
          </w:p>
        </w:tc>
        <w:tc>
          <w:tcPr>
            <w:tcW w:w="3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9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64"/>
        </w:trPr>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20012862</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NovaSeq 5000/6000 S2 Rgt Kit (100 cyc)</w:t>
            </w:r>
          </w:p>
        </w:tc>
        <w:tc>
          <w:tcPr>
            <w:tcW w:w="3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9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64"/>
        </w:trPr>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20012861</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NovaSeq 5000/6000 S2 Rgt Kit (200 cyc)</w:t>
            </w:r>
          </w:p>
        </w:tc>
        <w:tc>
          <w:tcPr>
            <w:tcW w:w="3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9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64"/>
        </w:trPr>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20012860</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NovaSeq 5000/6000 S2 Rgt Kit (300 cyc)</w:t>
            </w:r>
          </w:p>
        </w:tc>
        <w:tc>
          <w:tcPr>
            <w:tcW w:w="3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9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64"/>
        </w:trPr>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20012866</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NovaSeq 6000 S4 Rgt Kit (300 cyc)</w:t>
            </w:r>
          </w:p>
        </w:tc>
        <w:tc>
          <w:tcPr>
            <w:tcW w:w="3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9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63"/>
        </w:trPr>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20027464</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NovaSeq 6000 SP Reagent Kit (100 cycles)</w:t>
            </w:r>
          </w:p>
        </w:tc>
        <w:tc>
          <w:tcPr>
            <w:tcW w:w="3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9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63"/>
        </w:trPr>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20027465</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NovaSeq 6000 SP Reagent Kit (300 cycles)</w:t>
            </w:r>
          </w:p>
        </w:tc>
        <w:tc>
          <w:tcPr>
            <w:tcW w:w="3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9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63"/>
        </w:trPr>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20029137</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NovaSeq 6000 SP Reagent Kit (500 cycles)</w:t>
            </w:r>
          </w:p>
        </w:tc>
        <w:tc>
          <w:tcPr>
            <w:tcW w:w="3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9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63"/>
        </w:trPr>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20021665</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NovaSeq Xp 4-Lane Kit</w:t>
            </w:r>
          </w:p>
        </w:tc>
        <w:tc>
          <w:tcPr>
            <w:tcW w:w="3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98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Proposal#[***]Page 3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122555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10" w:name="page111"/>
    <w:bookmarkEnd w:id="110"/>
    <w:tbl>
      <w:tblPr>
        <w:tblLayout w:type="fixed"/>
        <w:tblInd w:w="10" w:type="dxa"/>
        <w:tblCellMar>
          <w:top w:w="0" w:type="dxa"/>
          <w:left w:w="0" w:type="dxa"/>
          <w:bottom w:w="0" w:type="dxa"/>
          <w:right w:w="0" w:type="dxa"/>
        </w:tblCellMar>
      </w:tblPr>
      <w:tr>
        <w:trPr>
          <w:trHeight w:val="229"/>
        </w:trPr>
        <w:tc>
          <w:tcPr>
            <w:tcW w:w="1760" w:type="dxa"/>
            <w:vAlign w:val="bottom"/>
            <w:tcBorders>
              <w:top w:val="single" w:sz="8" w:color="auto"/>
              <w:left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Catalog #</w:t>
            </w:r>
          </w:p>
        </w:tc>
        <w:tc>
          <w:tcPr>
            <w:tcW w:w="4520" w:type="dxa"/>
            <w:vAlign w:val="bottom"/>
            <w:tcBorders>
              <w:top w:val="single" w:sz="8" w:color="auto"/>
            </w:tcBorders>
            <w:shd w:val="clear" w:color="auto" w:fill="FF9900"/>
          </w:tcPr>
          <w:p>
            <w:pPr>
              <w:jc w:val="center"/>
              <w:ind w:left="809"/>
              <w:spacing w:after="0" w:line="229" w:lineRule="exact"/>
              <w:rPr>
                <w:sz w:val="20"/>
                <w:szCs w:val="20"/>
                <w:color w:val="auto"/>
              </w:rPr>
            </w:pPr>
            <w:r>
              <w:rPr>
                <w:rFonts w:ascii="Arial" w:cs="Arial" w:eastAsia="Arial" w:hAnsi="Arial"/>
                <w:sz w:val="22"/>
                <w:szCs w:val="22"/>
                <w:b w:val="1"/>
                <w:bCs w:val="1"/>
                <w:color w:val="auto"/>
                <w:w w:val="88"/>
              </w:rPr>
              <w:t>Product Description</w:t>
            </w:r>
          </w:p>
        </w:tc>
        <w:tc>
          <w:tcPr>
            <w:tcW w:w="920" w:type="dxa"/>
            <w:vAlign w:val="bottom"/>
            <w:tcBorders>
              <w:top w:val="single" w:sz="8" w:color="auto"/>
              <w:right w:val="single" w:sz="8" w:color="auto"/>
            </w:tcBorders>
            <w:shd w:val="clear" w:color="auto" w:fill="FF9900"/>
          </w:tcPr>
          <w:p>
            <w:pPr>
              <w:spacing w:after="0"/>
              <w:rPr>
                <w:sz w:val="19"/>
                <w:szCs w:val="19"/>
                <w:color w:val="auto"/>
              </w:rPr>
            </w:pPr>
          </w:p>
        </w:tc>
        <w:tc>
          <w:tcPr>
            <w:tcW w:w="194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90"/>
              </w:rPr>
              <w:t>List Price</w:t>
            </w:r>
          </w:p>
        </w:tc>
        <w:tc>
          <w:tcPr>
            <w:tcW w:w="210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Customer Price</w:t>
            </w:r>
          </w:p>
        </w:tc>
        <w:tc>
          <w:tcPr>
            <w:tcW w:w="20" w:type="dxa"/>
            <w:vAlign w:val="bottom"/>
          </w:tcPr>
          <w:p>
            <w:pPr>
              <w:spacing w:after="0"/>
              <w:rPr>
                <w:sz w:val="19"/>
                <w:szCs w:val="19"/>
                <w:color w:val="auto"/>
              </w:rPr>
            </w:pPr>
          </w:p>
        </w:tc>
      </w:tr>
      <w:tr>
        <w:trPr>
          <w:trHeight w:val="280"/>
        </w:trPr>
        <w:tc>
          <w:tcPr>
            <w:tcW w:w="1760" w:type="dxa"/>
            <w:vAlign w:val="bottom"/>
            <w:tcBorders>
              <w:left w:val="single" w:sz="8" w:color="auto"/>
              <w:right w:val="single" w:sz="8" w:color="auto"/>
            </w:tcBorders>
            <w:shd w:val="clear" w:color="auto" w:fill="FF9900"/>
          </w:tcPr>
          <w:p>
            <w:pPr>
              <w:spacing w:after="0"/>
              <w:rPr>
                <w:sz w:val="24"/>
                <w:szCs w:val="24"/>
                <w:color w:val="auto"/>
              </w:rPr>
            </w:pPr>
          </w:p>
        </w:tc>
        <w:tc>
          <w:tcPr>
            <w:tcW w:w="4520" w:type="dxa"/>
            <w:vAlign w:val="bottom"/>
            <w:shd w:val="clear" w:color="auto" w:fill="FF9900"/>
          </w:tcPr>
          <w:p>
            <w:pPr>
              <w:spacing w:after="0"/>
              <w:rPr>
                <w:sz w:val="24"/>
                <w:szCs w:val="24"/>
                <w:color w:val="auto"/>
              </w:rPr>
            </w:pPr>
          </w:p>
        </w:tc>
        <w:tc>
          <w:tcPr>
            <w:tcW w:w="920" w:type="dxa"/>
            <w:vAlign w:val="bottom"/>
            <w:tcBorders>
              <w:right w:val="single" w:sz="8" w:color="auto"/>
            </w:tcBorders>
            <w:shd w:val="clear" w:color="auto" w:fill="FF9900"/>
          </w:tcPr>
          <w:p>
            <w:pPr>
              <w:spacing w:after="0"/>
              <w:rPr>
                <w:sz w:val="24"/>
                <w:szCs w:val="24"/>
                <w:color w:val="auto"/>
              </w:rPr>
            </w:pPr>
          </w:p>
        </w:tc>
        <w:tc>
          <w:tcPr>
            <w:tcW w:w="1940" w:type="dxa"/>
            <w:vAlign w:val="bottom"/>
            <w:tcBorders>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4"/>
              </w:rPr>
              <w:t>(USD)</w:t>
            </w:r>
          </w:p>
        </w:tc>
        <w:tc>
          <w:tcPr>
            <w:tcW w:w="2100" w:type="dxa"/>
            <w:vAlign w:val="bottom"/>
            <w:tcBorders>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1"/>
              </w:rPr>
              <w:t>(USD)</w:t>
            </w:r>
          </w:p>
        </w:tc>
        <w:tc>
          <w:tcPr>
            <w:tcW w:w="20" w:type="dxa"/>
            <w:vAlign w:val="bottom"/>
          </w:tcPr>
          <w:p>
            <w:pPr>
              <w:spacing w:after="0"/>
              <w:rPr>
                <w:sz w:val="24"/>
                <w:szCs w:val="24"/>
                <w:color w:val="auto"/>
              </w:rPr>
            </w:pPr>
          </w:p>
        </w:tc>
      </w:tr>
      <w:tr>
        <w:trPr>
          <w:trHeight w:val="71"/>
        </w:trPr>
        <w:tc>
          <w:tcPr>
            <w:tcW w:w="1760" w:type="dxa"/>
            <w:vAlign w:val="bottom"/>
            <w:tcBorders>
              <w:left w:val="single" w:sz="8" w:color="auto"/>
              <w:bottom w:val="single" w:sz="8" w:color="auto"/>
              <w:right w:val="single" w:sz="8" w:color="auto"/>
            </w:tcBorders>
            <w:shd w:val="clear" w:color="auto" w:fill="FF9900"/>
          </w:tcPr>
          <w:p>
            <w:pPr>
              <w:spacing w:after="0"/>
              <w:rPr>
                <w:sz w:val="6"/>
                <w:szCs w:val="6"/>
                <w:color w:val="auto"/>
              </w:rPr>
            </w:pPr>
          </w:p>
        </w:tc>
        <w:tc>
          <w:tcPr>
            <w:tcW w:w="5440" w:type="dxa"/>
            <w:vAlign w:val="bottom"/>
            <w:tcBorders>
              <w:bottom w:val="single" w:sz="8" w:color="auto"/>
              <w:right w:val="single" w:sz="8" w:color="auto"/>
            </w:tcBorders>
            <w:gridSpan w:val="2"/>
            <w:shd w:val="clear" w:color="auto" w:fill="FF9900"/>
          </w:tcPr>
          <w:p>
            <w:pPr>
              <w:spacing w:after="0"/>
              <w:rPr>
                <w:sz w:val="6"/>
                <w:szCs w:val="6"/>
                <w:color w:val="auto"/>
              </w:rPr>
            </w:pPr>
          </w:p>
        </w:tc>
        <w:tc>
          <w:tcPr>
            <w:tcW w:w="1940" w:type="dxa"/>
            <w:vAlign w:val="bottom"/>
            <w:tcBorders>
              <w:bottom w:val="single" w:sz="8" w:color="auto"/>
              <w:right w:val="single" w:sz="8" w:color="auto"/>
            </w:tcBorders>
            <w:shd w:val="clear" w:color="auto" w:fill="FF9900"/>
          </w:tcPr>
          <w:p>
            <w:pPr>
              <w:spacing w:after="0"/>
              <w:rPr>
                <w:sz w:val="6"/>
                <w:szCs w:val="6"/>
                <w:color w:val="auto"/>
              </w:rPr>
            </w:pPr>
          </w:p>
        </w:tc>
        <w:tc>
          <w:tcPr>
            <w:tcW w:w="2100" w:type="dxa"/>
            <w:vAlign w:val="bottom"/>
            <w:tcBorders>
              <w:bottom w:val="single" w:sz="8" w:color="auto"/>
              <w:right w:val="single" w:sz="8" w:color="auto"/>
            </w:tcBorders>
            <w:shd w:val="clear" w:color="auto" w:fill="FF9900"/>
          </w:tcPr>
          <w:p>
            <w:pPr>
              <w:spacing w:after="0"/>
              <w:rPr>
                <w:sz w:val="6"/>
                <w:szCs w:val="6"/>
                <w:color w:val="auto"/>
              </w:rPr>
            </w:pPr>
          </w:p>
        </w:tc>
        <w:tc>
          <w:tcPr>
            <w:tcW w:w="20" w:type="dxa"/>
            <w:vAlign w:val="bottom"/>
          </w:tcPr>
          <w:p>
            <w:pPr>
              <w:spacing w:after="0"/>
              <w:rPr>
                <w:sz w:val="6"/>
                <w:szCs w:val="6"/>
                <w:color w:val="auto"/>
              </w:rPr>
            </w:pPr>
          </w:p>
        </w:tc>
      </w:tr>
      <w:tr>
        <w:trPr>
          <w:trHeight w:val="296"/>
        </w:trPr>
        <w:tc>
          <w:tcPr>
            <w:tcW w:w="1760" w:type="dxa"/>
            <w:vAlign w:val="bottom"/>
            <w:tcBorders>
              <w:left w:val="single" w:sz="8" w:color="auto"/>
              <w:bottom w:val="single" w:sz="8" w:color="C0C0C0"/>
              <w:right w:val="single" w:sz="8" w:color="C0C0C0"/>
            </w:tcBorders>
            <w:shd w:val="clear" w:color="auto" w:fill="C0C0C0"/>
          </w:tcPr>
          <w:p>
            <w:pPr>
              <w:spacing w:after="0"/>
              <w:rPr>
                <w:sz w:val="24"/>
                <w:szCs w:val="24"/>
                <w:color w:val="auto"/>
              </w:rPr>
            </w:pPr>
          </w:p>
        </w:tc>
        <w:tc>
          <w:tcPr>
            <w:tcW w:w="7380" w:type="dxa"/>
            <w:vAlign w:val="bottom"/>
            <w:tcBorders>
              <w:bottom w:val="single" w:sz="8" w:color="C0C0C0"/>
              <w:right w:val="single" w:sz="8" w:color="C0C0C0"/>
            </w:tcBorders>
            <w:gridSpan w:val="3"/>
            <w:shd w:val="clear" w:color="auto" w:fill="C0C0C0"/>
          </w:tcPr>
          <w:p>
            <w:pPr>
              <w:jc w:val="center"/>
              <w:ind w:left="249"/>
              <w:spacing w:after="0"/>
              <w:rPr>
                <w:sz w:val="20"/>
                <w:szCs w:val="20"/>
                <w:color w:val="auto"/>
              </w:rPr>
            </w:pPr>
            <w:r>
              <w:rPr>
                <w:rFonts w:ascii="Arial" w:cs="Arial" w:eastAsia="Arial" w:hAnsi="Arial"/>
                <w:sz w:val="18"/>
                <w:szCs w:val="18"/>
                <w:b w:val="1"/>
                <w:bCs w:val="1"/>
                <w:color w:val="FFFFFF"/>
              </w:rPr>
              <w:t>MiSeq Sequencing Consumables</w:t>
            </w:r>
          </w:p>
        </w:tc>
        <w:tc>
          <w:tcPr>
            <w:tcW w:w="2100" w:type="dxa"/>
            <w:vAlign w:val="bottom"/>
            <w:tcBorders>
              <w:bottom w:val="single" w:sz="8" w:color="C0C0C0"/>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MS-102-2003</w:t>
            </w:r>
          </w:p>
        </w:tc>
        <w:tc>
          <w:tcPr>
            <w:tcW w:w="4520" w:type="dxa"/>
            <w:vAlign w:val="bottom"/>
            <w:tcBorders>
              <w:top w:val="single" w:sz="8" w:color="auto"/>
            </w:tcBorders>
          </w:tcPr>
          <w:p>
            <w:pPr>
              <w:jc w:val="center"/>
              <w:ind w:left="809"/>
              <w:spacing w:after="0"/>
              <w:rPr>
                <w:sz w:val="20"/>
                <w:szCs w:val="20"/>
                <w:color w:val="auto"/>
              </w:rPr>
            </w:pPr>
            <w:r>
              <w:rPr>
                <w:rFonts w:ascii="Arial" w:cs="Arial" w:eastAsia="Arial" w:hAnsi="Arial"/>
                <w:sz w:val="18"/>
                <w:szCs w:val="18"/>
                <w:color w:val="auto"/>
                <w:w w:val="93"/>
              </w:rPr>
              <w:t>MiSeq® Reagent Kit v2 (500 cycle)</w:t>
            </w:r>
          </w:p>
        </w:tc>
        <w:tc>
          <w:tcPr>
            <w:tcW w:w="920" w:type="dxa"/>
            <w:vAlign w:val="bottom"/>
            <w:tcBorders>
              <w:top w:val="single" w:sz="8" w:color="auto"/>
              <w:right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MS-102-2002</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3"/>
              </w:rPr>
              <w:t>MiSeq® Reagent Kit v2 (300 cycle)</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MS-102-2001</w:t>
            </w:r>
          </w:p>
        </w:tc>
        <w:tc>
          <w:tcPr>
            <w:tcW w:w="4520" w:type="dxa"/>
            <w:vAlign w:val="bottom"/>
          </w:tcPr>
          <w:p>
            <w:pPr>
              <w:jc w:val="center"/>
              <w:ind w:left="789"/>
              <w:spacing w:after="0"/>
              <w:rPr>
                <w:sz w:val="20"/>
                <w:szCs w:val="20"/>
                <w:color w:val="auto"/>
              </w:rPr>
            </w:pPr>
            <w:r>
              <w:rPr>
                <w:rFonts w:ascii="Arial" w:cs="Arial" w:eastAsia="Arial" w:hAnsi="Arial"/>
                <w:sz w:val="18"/>
                <w:szCs w:val="18"/>
                <w:color w:val="auto"/>
                <w:w w:val="93"/>
              </w:rPr>
              <w:t>MiSeq® Reagent Kit v2 (50 cycle)</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MS-102-2023</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5"/>
              </w:rPr>
              <w:t>MSQ® RGT KT v2 (500 CYC)-20 PK</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MS-102-3001</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3"/>
              </w:rPr>
              <w:t>MiSeq® Reagent Kit v3 (150 cycle)</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MS-102-3003</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3"/>
              </w:rPr>
              <w:t>MiSeq® Reagent Kit v3 (600 cycle)</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MS-102-2022</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4"/>
              </w:rPr>
              <w:t>MiSeq® RGT Kit v2 (300 cycle)-20 PK</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MS-102-2021</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4"/>
              </w:rPr>
              <w:t>MiSeq® RGT Kit v2 (50 cycle) - 20 PK</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MS-103-1001</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1"/>
              </w:rPr>
              <w:t>MiSeq® Reagent Nano Kit v2 (300 Cycles)</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MS-103-1002</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4"/>
              </w:rPr>
              <w:t>MiSeq® Reagent Micro Kit v2 (300 Cycles)</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MS-103-1003</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1"/>
              </w:rPr>
              <w:t>MiSeq® Reagent Nano Kit v2 (500 Cycles)</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20021681</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3"/>
              </w:rPr>
              <w:t>MiSeq FGx Reagent Micro Kit</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DX-102-1001</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3"/>
              </w:rPr>
              <w:t>MiSEQDx CF Clinical SEQ Assay (6 Run)"</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DX-102-1004</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3"/>
              </w:rPr>
              <w:t>MiSeqDx CF 139 Variant Assay (2 Run)"</w:t>
            </w:r>
          </w:p>
        </w:tc>
        <w:tc>
          <w:tcPr>
            <w:tcW w:w="9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54"/>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5440" w:type="dxa"/>
            <w:vAlign w:val="bottom"/>
            <w:tcBorders>
              <w:bottom w:val="single" w:sz="8" w:color="auto"/>
              <w:right w:val="single" w:sz="8" w:color="auto"/>
            </w:tcBorders>
            <w:gridSpan w:val="2"/>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96"/>
        </w:trPr>
        <w:tc>
          <w:tcPr>
            <w:tcW w:w="1760" w:type="dxa"/>
            <w:vAlign w:val="bottom"/>
            <w:tcBorders>
              <w:left w:val="single" w:sz="8" w:color="auto"/>
              <w:bottom w:val="single" w:sz="8" w:color="C0C0C0"/>
              <w:right w:val="single" w:sz="8" w:color="C0C0C0"/>
            </w:tcBorders>
            <w:shd w:val="clear" w:color="auto" w:fill="C0C0C0"/>
          </w:tcPr>
          <w:p>
            <w:pPr>
              <w:spacing w:after="0"/>
              <w:rPr>
                <w:sz w:val="24"/>
                <w:szCs w:val="24"/>
                <w:color w:val="auto"/>
              </w:rPr>
            </w:pPr>
          </w:p>
        </w:tc>
        <w:tc>
          <w:tcPr>
            <w:tcW w:w="7380" w:type="dxa"/>
            <w:vAlign w:val="bottom"/>
            <w:tcBorders>
              <w:bottom w:val="single" w:sz="8" w:color="C0C0C0"/>
              <w:right w:val="single" w:sz="8" w:color="C0C0C0"/>
            </w:tcBorders>
            <w:gridSpan w:val="3"/>
            <w:shd w:val="clear" w:color="auto" w:fill="C0C0C0"/>
          </w:tcPr>
          <w:p>
            <w:pPr>
              <w:jc w:val="center"/>
              <w:ind w:left="249"/>
              <w:spacing w:after="0"/>
              <w:rPr>
                <w:sz w:val="20"/>
                <w:szCs w:val="20"/>
                <w:color w:val="auto"/>
              </w:rPr>
            </w:pPr>
            <w:r>
              <w:rPr>
                <w:rFonts w:ascii="Arial" w:cs="Arial" w:eastAsia="Arial" w:hAnsi="Arial"/>
                <w:sz w:val="18"/>
                <w:szCs w:val="18"/>
                <w:b w:val="1"/>
                <w:bCs w:val="1"/>
                <w:color w:val="FFFFFF"/>
                <w:w w:val="99"/>
              </w:rPr>
              <w:t>NovaSeq 5000/6000 Sequencing Cons</w:t>
            </w:r>
          </w:p>
        </w:tc>
        <w:tc>
          <w:tcPr>
            <w:tcW w:w="2100" w:type="dxa"/>
            <w:vAlign w:val="bottom"/>
            <w:tcBorders>
              <w:bottom w:val="single" w:sz="8" w:color="C0C0C0"/>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20012865</w:t>
            </w:r>
          </w:p>
        </w:tc>
        <w:tc>
          <w:tcPr>
            <w:tcW w:w="4520" w:type="dxa"/>
            <w:vAlign w:val="bottom"/>
            <w:tcBorders>
              <w:top w:val="single" w:sz="8" w:color="auto"/>
            </w:tcBorders>
          </w:tcPr>
          <w:p>
            <w:pPr>
              <w:jc w:val="center"/>
              <w:ind w:left="809"/>
              <w:spacing w:after="0"/>
              <w:rPr>
                <w:sz w:val="20"/>
                <w:szCs w:val="20"/>
                <w:color w:val="auto"/>
              </w:rPr>
            </w:pPr>
            <w:r>
              <w:rPr>
                <w:rFonts w:ascii="Arial" w:cs="Arial" w:eastAsia="Arial" w:hAnsi="Arial"/>
                <w:sz w:val="18"/>
                <w:szCs w:val="18"/>
                <w:color w:val="auto"/>
                <w:w w:val="91"/>
              </w:rPr>
              <w:t>NovaSeq 5000/6000 S1 Rgt Kit (100 cyc)</w:t>
            </w:r>
          </w:p>
        </w:tc>
        <w:tc>
          <w:tcPr>
            <w:tcW w:w="920" w:type="dxa"/>
            <w:vAlign w:val="bottom"/>
            <w:tcBorders>
              <w:top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20012864</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1"/>
              </w:rPr>
              <w:t>NovaSeq 5000/6000 S1 Rgt Kit (200 cyc)</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20012863</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1"/>
              </w:rPr>
              <w:t>NovaSeq 5000/6000 S1 Rgt Kit (300 cyc)</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20012862</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1"/>
              </w:rPr>
              <w:t>NovaSeq 5000/6000 S2 Rgt Kit (100 cyc)</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20012861</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1"/>
              </w:rPr>
              <w:t>NovaSeq 5000/6000 S2 Rgt Kit (200 cyc)</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20012860</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1"/>
              </w:rPr>
              <w:t>NovaSeq 5000/6000 S2 Rgt Kit (300 cyc)</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20012866*</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2"/>
              </w:rPr>
              <w:t>NovaSeq 6000 S4 Rgt Kit (300 cyc)</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20027464</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89"/>
              </w:rPr>
              <w:t>NovaSeq 6000 SP Reagent Kit (100 cycles)</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20027465</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89"/>
              </w:rPr>
              <w:t>NovaSeq 6000 SP Reagent Kit (300 cycles)</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20029137</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89"/>
              </w:rPr>
              <w:t>NovaSeq 6000 SP Reagent Kit (500 cycles)</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20021665</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2"/>
              </w:rPr>
              <w:t>NovaSeq Xp 4-Lane Kit</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gridSpan w:val="2"/>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95"/>
        </w:trPr>
        <w:tc>
          <w:tcPr>
            <w:tcW w:w="1760" w:type="dxa"/>
            <w:vAlign w:val="bottom"/>
            <w:tcBorders>
              <w:left w:val="single" w:sz="8" w:color="auto"/>
              <w:bottom w:val="single" w:sz="8" w:color="C0C0C0"/>
              <w:right w:val="single" w:sz="8" w:color="C0C0C0"/>
            </w:tcBorders>
            <w:shd w:val="clear" w:color="auto" w:fill="C0C0C0"/>
          </w:tcPr>
          <w:p>
            <w:pPr>
              <w:spacing w:after="0"/>
              <w:rPr>
                <w:sz w:val="24"/>
                <w:szCs w:val="24"/>
                <w:color w:val="auto"/>
              </w:rPr>
            </w:pPr>
          </w:p>
        </w:tc>
        <w:tc>
          <w:tcPr>
            <w:tcW w:w="7380" w:type="dxa"/>
            <w:vAlign w:val="bottom"/>
            <w:tcBorders>
              <w:bottom w:val="single" w:sz="8" w:color="C0C0C0"/>
              <w:right w:val="single" w:sz="8" w:color="C0C0C0"/>
            </w:tcBorders>
            <w:gridSpan w:val="3"/>
            <w:shd w:val="clear" w:color="auto" w:fill="C0C0C0"/>
          </w:tcPr>
          <w:p>
            <w:pPr>
              <w:jc w:val="center"/>
              <w:ind w:left="249"/>
              <w:spacing w:after="0"/>
              <w:rPr>
                <w:sz w:val="20"/>
                <w:szCs w:val="20"/>
                <w:color w:val="auto"/>
              </w:rPr>
            </w:pPr>
            <w:r>
              <w:rPr>
                <w:rFonts w:ascii="Arial" w:cs="Arial" w:eastAsia="Arial" w:hAnsi="Arial"/>
                <w:sz w:val="18"/>
                <w:szCs w:val="18"/>
                <w:b w:val="1"/>
                <w:bCs w:val="1"/>
                <w:color w:val="FFFFFF"/>
                <w:w w:val="99"/>
              </w:rPr>
              <w:t>Sample Preparation Consumables</w:t>
            </w:r>
          </w:p>
        </w:tc>
        <w:tc>
          <w:tcPr>
            <w:tcW w:w="2100" w:type="dxa"/>
            <w:vAlign w:val="bottom"/>
            <w:tcBorders>
              <w:bottom w:val="single" w:sz="8" w:color="C0C0C0"/>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20014279</w:t>
            </w:r>
          </w:p>
        </w:tc>
        <w:tc>
          <w:tcPr>
            <w:tcW w:w="452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SureCell Whl Trans 3 Pr Kt (2 crtg kt )</w:t>
            </w:r>
          </w:p>
        </w:tc>
        <w:tc>
          <w:tcPr>
            <w:tcW w:w="920" w:type="dxa"/>
            <w:vAlign w:val="bottom"/>
            <w:tcBorders>
              <w:top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20014280</w:t>
            </w:r>
          </w:p>
        </w:tc>
        <w:tc>
          <w:tcPr>
            <w:tcW w:w="4520" w:type="dxa"/>
            <w:vAlign w:val="bottom"/>
          </w:tcPr>
          <w:p>
            <w:pPr>
              <w:ind w:left="1280"/>
              <w:spacing w:after="0"/>
              <w:rPr>
                <w:sz w:val="20"/>
                <w:szCs w:val="20"/>
                <w:color w:val="auto"/>
              </w:rPr>
            </w:pPr>
            <w:r>
              <w:rPr>
                <w:rFonts w:ascii="Arial" w:cs="Arial" w:eastAsia="Arial" w:hAnsi="Arial"/>
                <w:sz w:val="18"/>
                <w:szCs w:val="18"/>
                <w:color w:val="auto"/>
              </w:rPr>
              <w:t>SureCell Whl Trans 3 Pr Kt (6 crtg kt)</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20015090</w:t>
            </w:r>
          </w:p>
        </w:tc>
        <w:tc>
          <w:tcPr>
            <w:tcW w:w="4520" w:type="dxa"/>
            <w:vAlign w:val="bottom"/>
          </w:tcPr>
          <w:p>
            <w:pPr>
              <w:ind w:left="1740"/>
              <w:spacing w:after="0"/>
              <w:rPr>
                <w:sz w:val="20"/>
                <w:szCs w:val="20"/>
                <w:color w:val="auto"/>
              </w:rPr>
            </w:pPr>
            <w:r>
              <w:rPr>
                <w:rFonts w:ascii="Arial" w:cs="Arial" w:eastAsia="Arial" w:hAnsi="Arial"/>
                <w:sz w:val="18"/>
                <w:szCs w:val="18"/>
                <w:color w:val="auto"/>
              </w:rPr>
              <w:t>CRUK SMP v2 Consortia</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20015091</w:t>
            </w:r>
          </w:p>
        </w:tc>
        <w:tc>
          <w:tcPr>
            <w:tcW w:w="4520" w:type="dxa"/>
            <w:vAlign w:val="bottom"/>
          </w:tcPr>
          <w:p>
            <w:pPr>
              <w:ind w:left="2340"/>
              <w:spacing w:after="0"/>
              <w:rPr>
                <w:sz w:val="20"/>
                <w:szCs w:val="20"/>
                <w:color w:val="auto"/>
              </w:rPr>
            </w:pPr>
            <w:r>
              <w:rPr>
                <w:rFonts w:ascii="Arial" w:cs="Arial" w:eastAsia="Arial" w:hAnsi="Arial"/>
                <w:sz w:val="18"/>
                <w:szCs w:val="18"/>
                <w:color w:val="auto"/>
              </w:rPr>
              <w:t>CEU Consortia</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20015949</w:t>
            </w:r>
          </w:p>
        </w:tc>
        <w:tc>
          <w:tcPr>
            <w:tcW w:w="4520" w:type="dxa"/>
            <w:vAlign w:val="bottom"/>
          </w:tcPr>
          <w:p>
            <w:pPr>
              <w:jc w:val="center"/>
              <w:ind w:left="789"/>
              <w:spacing w:after="0"/>
              <w:rPr>
                <w:sz w:val="20"/>
                <w:szCs w:val="20"/>
                <w:color w:val="auto"/>
              </w:rPr>
            </w:pPr>
            <w:r>
              <w:rPr>
                <w:rFonts w:ascii="Arial" w:cs="Arial" w:eastAsia="Arial" w:hAnsi="Arial"/>
                <w:sz w:val="18"/>
                <w:szCs w:val="18"/>
                <w:color w:val="auto"/>
                <w:w w:val="94"/>
              </w:rPr>
              <w:t>TruSeq DNA Idx Kit Pl (96 idx,96 spl)</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20015960</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4"/>
              </w:rPr>
              <w:t>TruSeq DNA Idx Kit Set A (12 idx,24 spl)</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20015961</w:t>
            </w:r>
          </w:p>
        </w:tc>
        <w:tc>
          <w:tcPr>
            <w:tcW w:w="4520" w:type="dxa"/>
            <w:vAlign w:val="bottom"/>
          </w:tcPr>
          <w:p>
            <w:pPr>
              <w:jc w:val="center"/>
              <w:ind w:left="809"/>
              <w:spacing w:after="0"/>
              <w:rPr>
                <w:sz w:val="20"/>
                <w:szCs w:val="20"/>
                <w:color w:val="auto"/>
              </w:rPr>
            </w:pPr>
            <w:r>
              <w:rPr>
                <w:rFonts w:ascii="Arial" w:cs="Arial" w:eastAsia="Arial" w:hAnsi="Arial"/>
                <w:sz w:val="18"/>
                <w:szCs w:val="18"/>
                <w:color w:val="auto"/>
                <w:w w:val="94"/>
              </w:rPr>
              <w:t>TruSeq DNA Idx Kit Set B (12 idx,24 spl)</w:t>
            </w: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443"/>
        </w:trPr>
        <w:tc>
          <w:tcPr>
            <w:tcW w:w="1760" w:type="dxa"/>
            <w:vAlign w:val="bottom"/>
          </w:tcPr>
          <w:p>
            <w:pPr>
              <w:spacing w:after="0"/>
              <w:rPr>
                <w:sz w:val="24"/>
                <w:szCs w:val="24"/>
                <w:color w:val="auto"/>
              </w:rPr>
            </w:pPr>
          </w:p>
        </w:tc>
        <w:tc>
          <w:tcPr>
            <w:tcW w:w="4520" w:type="dxa"/>
            <w:vAlign w:val="bottom"/>
          </w:tcPr>
          <w:p>
            <w:pPr>
              <w:ind w:left="1240"/>
              <w:spacing w:after="0"/>
              <w:rPr>
                <w:sz w:val="20"/>
                <w:szCs w:val="20"/>
                <w:color w:val="auto"/>
              </w:rPr>
            </w:pPr>
            <w:r>
              <w:rPr>
                <w:rFonts w:ascii="Arial" w:cs="Arial" w:eastAsia="Arial" w:hAnsi="Arial"/>
                <w:sz w:val="20"/>
                <w:szCs w:val="20"/>
                <w:color w:val="auto"/>
              </w:rPr>
              <w:t>Proposal#</w:t>
            </w:r>
          </w:p>
        </w:tc>
        <w:tc>
          <w:tcPr>
            <w:tcW w:w="92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94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20"/>
                <w:szCs w:val="20"/>
                <w:color w:val="auto"/>
              </w:rPr>
              <w:t>Page 4 of 12</w:t>
            </w:r>
          </w:p>
        </w:tc>
        <w:tc>
          <w:tcPr>
            <w:tcW w:w="20" w:type="dxa"/>
            <w:vAlign w:val="bottom"/>
          </w:tcPr>
          <w:p>
            <w:pPr>
              <w:spacing w:after="0"/>
              <w:rPr>
                <w:sz w:val="24"/>
                <w:szCs w:val="24"/>
                <w:color w:val="auto"/>
              </w:rPr>
            </w:pPr>
          </w:p>
        </w:tc>
      </w:tr>
      <w:tr>
        <w:trPr>
          <w:trHeight w:val="529"/>
        </w:trPr>
        <w:tc>
          <w:tcPr>
            <w:tcW w:w="17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-359410</wp:posOffset>
            </wp:positionV>
            <wp:extent cx="1225550" cy="274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11" w:name="page112"/>
    <w:bookmarkEnd w:id="111"/>
    <w:tbl>
      <w:tblPr>
        <w:tblLayout w:type="fixed"/>
        <w:tblInd w:w="10" w:type="dxa"/>
        <w:tblCellMar>
          <w:top w:w="0" w:type="dxa"/>
          <w:left w:w="0" w:type="dxa"/>
          <w:bottom w:w="0" w:type="dxa"/>
          <w:right w:w="0" w:type="dxa"/>
        </w:tblCellMar>
      </w:tblPr>
      <w:tr>
        <w:trPr>
          <w:trHeight w:val="229"/>
        </w:trPr>
        <w:tc>
          <w:tcPr>
            <w:tcW w:w="1760" w:type="dxa"/>
            <w:vAlign w:val="bottom"/>
            <w:tcBorders>
              <w:top w:val="single" w:sz="8" w:color="auto"/>
              <w:left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Catalog #</w:t>
            </w:r>
          </w:p>
        </w:tc>
        <w:tc>
          <w:tcPr>
            <w:tcW w:w="4540" w:type="dxa"/>
            <w:vAlign w:val="bottom"/>
            <w:tcBorders>
              <w:top w:val="single" w:sz="8" w:color="auto"/>
            </w:tcBorders>
            <w:shd w:val="clear" w:color="auto" w:fill="FF9900"/>
          </w:tcPr>
          <w:p>
            <w:pPr>
              <w:ind w:left="1780"/>
              <w:spacing w:after="0" w:line="229" w:lineRule="exact"/>
              <w:rPr>
                <w:sz w:val="20"/>
                <w:szCs w:val="20"/>
                <w:color w:val="auto"/>
              </w:rPr>
            </w:pPr>
            <w:r>
              <w:rPr>
                <w:rFonts w:ascii="Arial" w:cs="Arial" w:eastAsia="Arial" w:hAnsi="Arial"/>
                <w:sz w:val="22"/>
                <w:szCs w:val="22"/>
                <w:b w:val="1"/>
                <w:bCs w:val="1"/>
                <w:color w:val="auto"/>
              </w:rPr>
              <w:t>Product Description</w:t>
            </w:r>
          </w:p>
        </w:tc>
        <w:tc>
          <w:tcPr>
            <w:tcW w:w="900" w:type="dxa"/>
            <w:vAlign w:val="bottom"/>
            <w:tcBorders>
              <w:top w:val="single" w:sz="8" w:color="auto"/>
              <w:right w:val="single" w:sz="8" w:color="auto"/>
            </w:tcBorders>
            <w:shd w:val="clear" w:color="auto" w:fill="FF9900"/>
          </w:tcPr>
          <w:p>
            <w:pPr>
              <w:spacing w:after="0"/>
              <w:rPr>
                <w:sz w:val="19"/>
                <w:szCs w:val="19"/>
                <w:color w:val="auto"/>
              </w:rPr>
            </w:pPr>
          </w:p>
        </w:tc>
        <w:tc>
          <w:tcPr>
            <w:tcW w:w="194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90"/>
              </w:rPr>
              <w:t>List Price</w:t>
            </w:r>
          </w:p>
        </w:tc>
        <w:tc>
          <w:tcPr>
            <w:tcW w:w="210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Customer Price</w:t>
            </w:r>
          </w:p>
        </w:tc>
        <w:tc>
          <w:tcPr>
            <w:tcW w:w="20" w:type="dxa"/>
            <w:vAlign w:val="bottom"/>
          </w:tcPr>
          <w:p>
            <w:pPr>
              <w:spacing w:after="0"/>
              <w:rPr>
                <w:sz w:val="19"/>
                <w:szCs w:val="19"/>
                <w:color w:val="auto"/>
              </w:rPr>
            </w:pPr>
          </w:p>
        </w:tc>
      </w:tr>
      <w:tr>
        <w:trPr>
          <w:trHeight w:val="280"/>
        </w:trPr>
        <w:tc>
          <w:tcPr>
            <w:tcW w:w="1760" w:type="dxa"/>
            <w:vAlign w:val="bottom"/>
            <w:tcBorders>
              <w:left w:val="single" w:sz="8" w:color="auto"/>
              <w:right w:val="single" w:sz="8" w:color="auto"/>
            </w:tcBorders>
            <w:shd w:val="clear" w:color="auto" w:fill="FF9900"/>
          </w:tcPr>
          <w:p>
            <w:pPr>
              <w:spacing w:after="0"/>
              <w:rPr>
                <w:sz w:val="24"/>
                <w:szCs w:val="24"/>
                <w:color w:val="auto"/>
              </w:rPr>
            </w:pPr>
          </w:p>
        </w:tc>
        <w:tc>
          <w:tcPr>
            <w:tcW w:w="4540" w:type="dxa"/>
            <w:vAlign w:val="bottom"/>
            <w:shd w:val="clear" w:color="auto" w:fill="FF9900"/>
          </w:tcPr>
          <w:p>
            <w:pPr>
              <w:spacing w:after="0"/>
              <w:rPr>
                <w:sz w:val="24"/>
                <w:szCs w:val="24"/>
                <w:color w:val="auto"/>
              </w:rPr>
            </w:pPr>
          </w:p>
        </w:tc>
        <w:tc>
          <w:tcPr>
            <w:tcW w:w="900" w:type="dxa"/>
            <w:vAlign w:val="bottom"/>
            <w:tcBorders>
              <w:right w:val="single" w:sz="8" w:color="auto"/>
            </w:tcBorders>
            <w:shd w:val="clear" w:color="auto" w:fill="FF9900"/>
          </w:tcPr>
          <w:p>
            <w:pPr>
              <w:spacing w:after="0"/>
              <w:rPr>
                <w:sz w:val="24"/>
                <w:szCs w:val="24"/>
                <w:color w:val="auto"/>
              </w:rPr>
            </w:pPr>
          </w:p>
        </w:tc>
        <w:tc>
          <w:tcPr>
            <w:tcW w:w="1940" w:type="dxa"/>
            <w:vAlign w:val="bottom"/>
            <w:tcBorders>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4"/>
              </w:rPr>
              <w:t>(USD)</w:t>
            </w:r>
          </w:p>
        </w:tc>
        <w:tc>
          <w:tcPr>
            <w:tcW w:w="2100" w:type="dxa"/>
            <w:vAlign w:val="bottom"/>
            <w:tcBorders>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1"/>
              </w:rPr>
              <w:t>(USD)</w:t>
            </w:r>
          </w:p>
        </w:tc>
        <w:tc>
          <w:tcPr>
            <w:tcW w:w="20" w:type="dxa"/>
            <w:vAlign w:val="bottom"/>
          </w:tcPr>
          <w:p>
            <w:pPr>
              <w:spacing w:after="0"/>
              <w:rPr>
                <w:sz w:val="24"/>
                <w:szCs w:val="24"/>
                <w:color w:val="auto"/>
              </w:rPr>
            </w:pPr>
          </w:p>
        </w:tc>
      </w:tr>
      <w:tr>
        <w:trPr>
          <w:trHeight w:val="71"/>
        </w:trPr>
        <w:tc>
          <w:tcPr>
            <w:tcW w:w="1760" w:type="dxa"/>
            <w:vAlign w:val="bottom"/>
            <w:tcBorders>
              <w:left w:val="single" w:sz="8" w:color="auto"/>
              <w:bottom w:val="single" w:sz="8" w:color="auto"/>
              <w:right w:val="single" w:sz="8" w:color="auto"/>
            </w:tcBorders>
            <w:shd w:val="clear" w:color="auto" w:fill="FF9900"/>
          </w:tcPr>
          <w:p>
            <w:pPr>
              <w:spacing w:after="0"/>
              <w:rPr>
                <w:sz w:val="6"/>
                <w:szCs w:val="6"/>
                <w:color w:val="auto"/>
              </w:rPr>
            </w:pPr>
          </w:p>
        </w:tc>
        <w:tc>
          <w:tcPr>
            <w:tcW w:w="4540" w:type="dxa"/>
            <w:vAlign w:val="bottom"/>
            <w:tcBorders>
              <w:bottom w:val="single" w:sz="8" w:color="auto"/>
            </w:tcBorders>
            <w:shd w:val="clear" w:color="auto" w:fill="FF9900"/>
          </w:tcPr>
          <w:p>
            <w:pPr>
              <w:spacing w:after="0"/>
              <w:rPr>
                <w:sz w:val="6"/>
                <w:szCs w:val="6"/>
                <w:color w:val="auto"/>
              </w:rPr>
            </w:pPr>
          </w:p>
        </w:tc>
        <w:tc>
          <w:tcPr>
            <w:tcW w:w="900" w:type="dxa"/>
            <w:vAlign w:val="bottom"/>
            <w:tcBorders>
              <w:bottom w:val="single" w:sz="8" w:color="auto"/>
              <w:right w:val="single" w:sz="8" w:color="auto"/>
            </w:tcBorders>
            <w:shd w:val="clear" w:color="auto" w:fill="FF9900"/>
          </w:tcPr>
          <w:p>
            <w:pPr>
              <w:spacing w:after="0"/>
              <w:rPr>
                <w:sz w:val="6"/>
                <w:szCs w:val="6"/>
                <w:color w:val="auto"/>
              </w:rPr>
            </w:pPr>
          </w:p>
        </w:tc>
        <w:tc>
          <w:tcPr>
            <w:tcW w:w="1940" w:type="dxa"/>
            <w:vAlign w:val="bottom"/>
            <w:tcBorders>
              <w:bottom w:val="single" w:sz="8" w:color="auto"/>
              <w:right w:val="single" w:sz="8" w:color="auto"/>
            </w:tcBorders>
            <w:shd w:val="clear" w:color="auto" w:fill="FF9900"/>
          </w:tcPr>
          <w:p>
            <w:pPr>
              <w:spacing w:after="0"/>
              <w:rPr>
                <w:sz w:val="6"/>
                <w:szCs w:val="6"/>
                <w:color w:val="auto"/>
              </w:rPr>
            </w:pPr>
          </w:p>
        </w:tc>
        <w:tc>
          <w:tcPr>
            <w:tcW w:w="2100" w:type="dxa"/>
            <w:vAlign w:val="bottom"/>
            <w:tcBorders>
              <w:bottom w:val="single" w:sz="8" w:color="auto"/>
              <w:right w:val="single" w:sz="8" w:color="auto"/>
            </w:tcBorders>
            <w:shd w:val="clear" w:color="auto" w:fill="FF9900"/>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20015962</w:t>
            </w:r>
          </w:p>
        </w:tc>
        <w:tc>
          <w:tcPr>
            <w:tcW w:w="4540" w:type="dxa"/>
            <w:vAlign w:val="bottom"/>
          </w:tcPr>
          <w:p>
            <w:pPr>
              <w:ind w:left="1260"/>
              <w:spacing w:after="0"/>
              <w:rPr>
                <w:sz w:val="20"/>
                <w:szCs w:val="20"/>
                <w:color w:val="auto"/>
              </w:rPr>
            </w:pPr>
            <w:r>
              <w:rPr>
                <w:rFonts w:ascii="Arial" w:cs="Arial" w:eastAsia="Arial" w:hAnsi="Arial"/>
                <w:sz w:val="18"/>
                <w:szCs w:val="18"/>
                <w:color w:val="auto"/>
              </w:rPr>
              <w:t>TruSeq DNA PCR-Free LT LPK (24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20015963</w:t>
            </w:r>
          </w:p>
        </w:tc>
        <w:tc>
          <w:tcPr>
            <w:tcW w:w="4540" w:type="dxa"/>
            <w:vAlign w:val="bottom"/>
          </w:tcPr>
          <w:p>
            <w:pPr>
              <w:ind w:left="1240"/>
              <w:spacing w:after="0"/>
              <w:rPr>
                <w:sz w:val="20"/>
                <w:szCs w:val="20"/>
                <w:color w:val="auto"/>
              </w:rPr>
            </w:pPr>
            <w:r>
              <w:rPr>
                <w:rFonts w:ascii="Arial" w:cs="Arial" w:eastAsia="Arial" w:hAnsi="Arial"/>
                <w:sz w:val="18"/>
                <w:szCs w:val="18"/>
                <w:color w:val="auto"/>
              </w:rPr>
              <w:t>TruSeq DNA PCR-Free HT LPK (96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20015964</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3"/>
              </w:rPr>
              <w:t>TruSeq Nano DNA LT LPK (24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20024144</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5"/>
              </w:rPr>
              <w:t>ILMN Free Adptr Blkng Rgnt (12 rxns)</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20006259</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2"/>
              </w:rPr>
              <w:t>TruSeq Custom Amplicon Dx – FFPE QC</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20006989</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3"/>
              </w:rPr>
              <w:t>High Thrghpt TruSeq R Enrch DNA LPK</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20006994</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3"/>
              </w:rPr>
              <w:t>TruSight HLA v1 Box 4 (Post-PCR)</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20010179</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6"/>
              </w:rPr>
              <w:t>TruSight HLA-B Primers v2 Kit</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20010184</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2"/>
              </w:rPr>
              <w:t>TruSight Oncology Library Prep</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20010185</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4"/>
              </w:rPr>
              <w:t>TruSight Oncology DNA Library Prep</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20010186</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4"/>
              </w:rPr>
              <w:t>TruSight Oncology RNA Library Prep</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20010187</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3"/>
              </w:rPr>
              <w:t>TruSight Oncology Enrichment</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20010188</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0"/>
              </w:rPr>
              <w:t>TruSight Tumor 170 Content Set</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20010190</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5"/>
              </w:rPr>
              <w:t>TruSight HLA-DRB Primers v2 Kit</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20027216</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3"/>
              </w:rPr>
              <w:t>Nextera Compatible Unique Dual Idx - D</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20027215</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2"/>
              </w:rPr>
              <w:t>Nextera Compatible Unique Dual Idx - C</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20027214</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3"/>
              </w:rPr>
              <w:t>Nextera Compatible Unique Dual Idx - B</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20027213</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3"/>
              </w:rPr>
              <w:t>Nextera Compatible Unique Dual Idx - A</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20025895</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2"/>
              </w:rPr>
              <w:t>VeriSeq NIPT SMP Prep Kit (24 SMP)</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20025524</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4"/>
              </w:rPr>
              <w:t>Nextera DNA Flex LPK Enrich (96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20025523</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4"/>
              </w:rPr>
              <w:t>Nextera DNA Flex LPK Enrich (16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20025520</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4"/>
              </w:rPr>
              <w:t>Nextera DNA Flex LPK - Small (96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20025519</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4"/>
              </w:rPr>
              <w:t>Nextera DNA Flex LPK - Small (16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20024586</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2"/>
              </w:rPr>
              <w:t>TruSight Oncology UMI Reagents</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20024145</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5"/>
              </w:rPr>
              <w:t>ILMN Free Adptr Blkng Rgnt (48 rxns)</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20011891</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0"/>
              </w:rPr>
              <w:t>Canadian Consortia Inherited Cancer</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20015965</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3"/>
              </w:rPr>
              <w:t>TruSeq Nano DNA HT LPK (96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20020590</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5"/>
              </w:rPr>
              <w:t>IDT-TruSeq DNA UD Idx (24 Idx, 96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20020591</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4"/>
              </w:rPr>
              <w:t>IDT-TruSeq RNA UD Idx (24 Idx, 96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20020594</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1"/>
              </w:rPr>
              <w:t>TruSeq Stranded mRNA LP (48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20020595</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1"/>
              </w:rPr>
              <w:t>TruSeq Stranded mRNA LP (96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20020596</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3"/>
              </w:rPr>
              <w:t>TruSeq Strnd Total RNA LP HMR (48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20020597</w:t>
            </w:r>
          </w:p>
        </w:tc>
        <w:tc>
          <w:tcPr>
            <w:tcW w:w="4540" w:type="dxa"/>
            <w:vAlign w:val="bottom"/>
          </w:tcPr>
          <w:p>
            <w:pPr>
              <w:jc w:val="center"/>
              <w:ind w:left="949"/>
              <w:spacing w:after="0"/>
              <w:rPr>
                <w:sz w:val="20"/>
                <w:szCs w:val="20"/>
                <w:color w:val="auto"/>
              </w:rPr>
            </w:pPr>
            <w:r>
              <w:rPr>
                <w:rFonts w:ascii="Arial" w:cs="Arial" w:eastAsia="Arial" w:hAnsi="Arial"/>
                <w:sz w:val="18"/>
                <w:szCs w:val="18"/>
                <w:color w:val="auto"/>
                <w:w w:val="93"/>
              </w:rPr>
              <w:t>TruSeq Strnd Total RNA LP HMR (96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20020598</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2"/>
              </w:rPr>
              <w:t>TruSeq Strnd Total RNA LP Gold (48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20020599</w:t>
            </w:r>
          </w:p>
        </w:tc>
        <w:tc>
          <w:tcPr>
            <w:tcW w:w="4540" w:type="dxa"/>
            <w:vAlign w:val="bottom"/>
          </w:tcPr>
          <w:p>
            <w:pPr>
              <w:jc w:val="center"/>
              <w:ind w:left="969"/>
              <w:spacing w:after="0"/>
              <w:rPr>
                <w:sz w:val="20"/>
                <w:szCs w:val="20"/>
                <w:color w:val="auto"/>
              </w:rPr>
            </w:pPr>
            <w:r>
              <w:rPr>
                <w:rFonts w:ascii="Arial" w:cs="Arial" w:eastAsia="Arial" w:hAnsi="Arial"/>
                <w:sz w:val="18"/>
                <w:szCs w:val="18"/>
                <w:color w:val="auto"/>
                <w:w w:val="92"/>
              </w:rPr>
              <w:t>TruSeq Strnd Total RNA LP Gold (96 Spl)</w:t>
            </w:r>
          </w:p>
        </w:tc>
        <w:tc>
          <w:tcPr>
            <w:tcW w:w="9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443"/>
        </w:trPr>
        <w:tc>
          <w:tcPr>
            <w:tcW w:w="1760" w:type="dxa"/>
            <w:vAlign w:val="bottom"/>
          </w:tcPr>
          <w:p>
            <w:pPr>
              <w:spacing w:after="0"/>
              <w:rPr>
                <w:sz w:val="24"/>
                <w:szCs w:val="24"/>
                <w:color w:val="auto"/>
              </w:rPr>
            </w:pPr>
          </w:p>
        </w:tc>
        <w:tc>
          <w:tcPr>
            <w:tcW w:w="4540" w:type="dxa"/>
            <w:vAlign w:val="bottom"/>
          </w:tcPr>
          <w:p>
            <w:pPr>
              <w:ind w:left="1240"/>
              <w:spacing w:after="0"/>
              <w:rPr>
                <w:sz w:val="20"/>
                <w:szCs w:val="20"/>
                <w:color w:val="auto"/>
              </w:rPr>
            </w:pPr>
            <w:r>
              <w:rPr>
                <w:rFonts w:ascii="Arial" w:cs="Arial" w:eastAsia="Arial" w:hAnsi="Arial"/>
                <w:sz w:val="20"/>
                <w:szCs w:val="20"/>
                <w:color w:val="auto"/>
              </w:rPr>
              <w:t>Proposal#</w:t>
            </w:r>
          </w:p>
        </w:tc>
        <w:tc>
          <w:tcPr>
            <w:tcW w:w="90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94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20"/>
                <w:szCs w:val="20"/>
                <w:color w:val="auto"/>
              </w:rPr>
              <w:t>Page 5 of 12</w:t>
            </w:r>
          </w:p>
        </w:tc>
        <w:tc>
          <w:tcPr>
            <w:tcW w:w="20" w:type="dxa"/>
            <w:vAlign w:val="bottom"/>
          </w:tcPr>
          <w:p>
            <w:pPr>
              <w:spacing w:after="0"/>
              <w:rPr>
                <w:sz w:val="24"/>
                <w:szCs w:val="24"/>
                <w:color w:val="auto"/>
              </w:rPr>
            </w:pPr>
          </w:p>
        </w:tc>
      </w:tr>
      <w:tr>
        <w:trPr>
          <w:trHeight w:val="530"/>
        </w:trPr>
        <w:tc>
          <w:tcPr>
            <w:tcW w:w="17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-359410</wp:posOffset>
            </wp:positionV>
            <wp:extent cx="1225550" cy="274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12" w:name="page113"/>
    <w:bookmarkEnd w:id="112"/>
    <w:tbl>
      <w:tblPr>
        <w:tblLayout w:type="fixed"/>
        <w:tblInd w:w="10" w:type="dxa"/>
        <w:tblCellMar>
          <w:top w:w="0" w:type="dxa"/>
          <w:left w:w="0" w:type="dxa"/>
          <w:bottom w:w="0" w:type="dxa"/>
          <w:right w:w="0" w:type="dxa"/>
        </w:tblCellMar>
      </w:tblPr>
      <w:tr>
        <w:trPr>
          <w:trHeight w:val="229"/>
        </w:trPr>
        <w:tc>
          <w:tcPr>
            <w:tcW w:w="1760" w:type="dxa"/>
            <w:vAlign w:val="bottom"/>
            <w:tcBorders>
              <w:top w:val="single" w:sz="8" w:color="auto"/>
              <w:left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Catalog #</w:t>
            </w:r>
          </w:p>
        </w:tc>
        <w:tc>
          <w:tcPr>
            <w:tcW w:w="4580" w:type="dxa"/>
            <w:vAlign w:val="bottom"/>
            <w:tcBorders>
              <w:top w:val="single" w:sz="8" w:color="auto"/>
            </w:tcBorders>
            <w:shd w:val="clear" w:color="auto" w:fill="FF9900"/>
          </w:tcPr>
          <w:p>
            <w:pPr>
              <w:ind w:left="1780"/>
              <w:spacing w:after="0" w:line="229" w:lineRule="exact"/>
              <w:rPr>
                <w:sz w:val="20"/>
                <w:szCs w:val="20"/>
                <w:color w:val="auto"/>
              </w:rPr>
            </w:pPr>
            <w:r>
              <w:rPr>
                <w:rFonts w:ascii="Arial" w:cs="Arial" w:eastAsia="Arial" w:hAnsi="Arial"/>
                <w:sz w:val="22"/>
                <w:szCs w:val="22"/>
                <w:b w:val="1"/>
                <w:bCs w:val="1"/>
                <w:color w:val="auto"/>
              </w:rPr>
              <w:t>Product Description</w:t>
            </w:r>
          </w:p>
        </w:tc>
        <w:tc>
          <w:tcPr>
            <w:tcW w:w="860" w:type="dxa"/>
            <w:vAlign w:val="bottom"/>
            <w:tcBorders>
              <w:top w:val="single" w:sz="8" w:color="auto"/>
              <w:right w:val="single" w:sz="8" w:color="auto"/>
            </w:tcBorders>
            <w:shd w:val="clear" w:color="auto" w:fill="FF9900"/>
          </w:tcPr>
          <w:p>
            <w:pPr>
              <w:spacing w:after="0"/>
              <w:rPr>
                <w:sz w:val="19"/>
                <w:szCs w:val="19"/>
                <w:color w:val="auto"/>
              </w:rPr>
            </w:pPr>
          </w:p>
        </w:tc>
        <w:tc>
          <w:tcPr>
            <w:tcW w:w="194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90"/>
              </w:rPr>
              <w:t>List Price</w:t>
            </w:r>
          </w:p>
        </w:tc>
        <w:tc>
          <w:tcPr>
            <w:tcW w:w="210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Customer Price</w:t>
            </w:r>
          </w:p>
        </w:tc>
        <w:tc>
          <w:tcPr>
            <w:tcW w:w="20" w:type="dxa"/>
            <w:vAlign w:val="bottom"/>
          </w:tcPr>
          <w:p>
            <w:pPr>
              <w:spacing w:after="0"/>
              <w:rPr>
                <w:sz w:val="19"/>
                <w:szCs w:val="19"/>
                <w:color w:val="auto"/>
              </w:rPr>
            </w:pPr>
          </w:p>
        </w:tc>
      </w:tr>
      <w:tr>
        <w:trPr>
          <w:trHeight w:val="280"/>
        </w:trPr>
        <w:tc>
          <w:tcPr>
            <w:tcW w:w="1760" w:type="dxa"/>
            <w:vAlign w:val="bottom"/>
            <w:tcBorders>
              <w:left w:val="single" w:sz="8" w:color="auto"/>
              <w:right w:val="single" w:sz="8" w:color="auto"/>
            </w:tcBorders>
            <w:shd w:val="clear" w:color="auto" w:fill="FF9900"/>
          </w:tcPr>
          <w:p>
            <w:pPr>
              <w:spacing w:after="0"/>
              <w:rPr>
                <w:sz w:val="24"/>
                <w:szCs w:val="24"/>
                <w:color w:val="auto"/>
              </w:rPr>
            </w:pPr>
          </w:p>
        </w:tc>
        <w:tc>
          <w:tcPr>
            <w:tcW w:w="4580" w:type="dxa"/>
            <w:vAlign w:val="bottom"/>
            <w:shd w:val="clear" w:color="auto" w:fill="FF9900"/>
          </w:tcPr>
          <w:p>
            <w:pPr>
              <w:spacing w:after="0"/>
              <w:rPr>
                <w:sz w:val="24"/>
                <w:szCs w:val="24"/>
                <w:color w:val="auto"/>
              </w:rPr>
            </w:pPr>
          </w:p>
        </w:tc>
        <w:tc>
          <w:tcPr>
            <w:tcW w:w="860" w:type="dxa"/>
            <w:vAlign w:val="bottom"/>
            <w:tcBorders>
              <w:right w:val="single" w:sz="8" w:color="auto"/>
            </w:tcBorders>
            <w:shd w:val="clear" w:color="auto" w:fill="FF9900"/>
          </w:tcPr>
          <w:p>
            <w:pPr>
              <w:spacing w:after="0"/>
              <w:rPr>
                <w:sz w:val="24"/>
                <w:szCs w:val="24"/>
                <w:color w:val="auto"/>
              </w:rPr>
            </w:pPr>
          </w:p>
        </w:tc>
        <w:tc>
          <w:tcPr>
            <w:tcW w:w="1940" w:type="dxa"/>
            <w:vAlign w:val="bottom"/>
            <w:tcBorders>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4"/>
              </w:rPr>
              <w:t>(USD)</w:t>
            </w:r>
          </w:p>
        </w:tc>
        <w:tc>
          <w:tcPr>
            <w:tcW w:w="2100" w:type="dxa"/>
            <w:vAlign w:val="bottom"/>
            <w:tcBorders>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1"/>
              </w:rPr>
              <w:t>(USD)</w:t>
            </w:r>
          </w:p>
        </w:tc>
        <w:tc>
          <w:tcPr>
            <w:tcW w:w="20" w:type="dxa"/>
            <w:vAlign w:val="bottom"/>
          </w:tcPr>
          <w:p>
            <w:pPr>
              <w:spacing w:after="0"/>
              <w:rPr>
                <w:sz w:val="24"/>
                <w:szCs w:val="24"/>
                <w:color w:val="auto"/>
              </w:rPr>
            </w:pPr>
          </w:p>
        </w:tc>
      </w:tr>
      <w:tr>
        <w:trPr>
          <w:trHeight w:val="71"/>
        </w:trPr>
        <w:tc>
          <w:tcPr>
            <w:tcW w:w="1760" w:type="dxa"/>
            <w:vAlign w:val="bottom"/>
            <w:tcBorders>
              <w:left w:val="single" w:sz="8" w:color="auto"/>
              <w:bottom w:val="single" w:sz="8" w:color="auto"/>
              <w:right w:val="single" w:sz="8" w:color="auto"/>
            </w:tcBorders>
            <w:shd w:val="clear" w:color="auto" w:fill="FF9900"/>
          </w:tcPr>
          <w:p>
            <w:pPr>
              <w:spacing w:after="0"/>
              <w:rPr>
                <w:sz w:val="6"/>
                <w:szCs w:val="6"/>
                <w:color w:val="auto"/>
              </w:rPr>
            </w:pPr>
          </w:p>
        </w:tc>
        <w:tc>
          <w:tcPr>
            <w:tcW w:w="4580" w:type="dxa"/>
            <w:vAlign w:val="bottom"/>
            <w:tcBorders>
              <w:bottom w:val="single" w:sz="8" w:color="auto"/>
            </w:tcBorders>
            <w:shd w:val="clear" w:color="auto" w:fill="FF9900"/>
          </w:tcPr>
          <w:p>
            <w:pPr>
              <w:spacing w:after="0"/>
              <w:rPr>
                <w:sz w:val="6"/>
                <w:szCs w:val="6"/>
                <w:color w:val="auto"/>
              </w:rPr>
            </w:pPr>
          </w:p>
        </w:tc>
        <w:tc>
          <w:tcPr>
            <w:tcW w:w="860" w:type="dxa"/>
            <w:vAlign w:val="bottom"/>
            <w:tcBorders>
              <w:bottom w:val="single" w:sz="8" w:color="auto"/>
              <w:right w:val="single" w:sz="8" w:color="auto"/>
            </w:tcBorders>
            <w:shd w:val="clear" w:color="auto" w:fill="FF9900"/>
          </w:tcPr>
          <w:p>
            <w:pPr>
              <w:spacing w:after="0"/>
              <w:rPr>
                <w:sz w:val="6"/>
                <w:szCs w:val="6"/>
                <w:color w:val="auto"/>
              </w:rPr>
            </w:pPr>
          </w:p>
        </w:tc>
        <w:tc>
          <w:tcPr>
            <w:tcW w:w="1940" w:type="dxa"/>
            <w:vAlign w:val="bottom"/>
            <w:tcBorders>
              <w:bottom w:val="single" w:sz="8" w:color="auto"/>
              <w:right w:val="single" w:sz="8" w:color="auto"/>
            </w:tcBorders>
            <w:shd w:val="clear" w:color="auto" w:fill="FF9900"/>
          </w:tcPr>
          <w:p>
            <w:pPr>
              <w:spacing w:after="0"/>
              <w:rPr>
                <w:sz w:val="6"/>
                <w:szCs w:val="6"/>
                <w:color w:val="auto"/>
              </w:rPr>
            </w:pPr>
          </w:p>
        </w:tc>
        <w:tc>
          <w:tcPr>
            <w:tcW w:w="2100" w:type="dxa"/>
            <w:vAlign w:val="bottom"/>
            <w:tcBorders>
              <w:bottom w:val="single" w:sz="8" w:color="auto"/>
              <w:right w:val="single" w:sz="8" w:color="auto"/>
            </w:tcBorders>
            <w:shd w:val="clear" w:color="auto" w:fill="FF9900"/>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20020610</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2"/>
              </w:rPr>
              <w:t>TruSeq Strnd Total RNA LP Plant (48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20020611</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2"/>
              </w:rPr>
              <w:t>TruSeq Strnd Total RNA LP Plant (96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20020612</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2"/>
              </w:rPr>
              <w:t>TruSeq Strnd Total RNA LP Globin(48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20020613</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2"/>
              </w:rPr>
              <w:t>TruSeq Strnd Total RNA LP Globin(96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20020614</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2"/>
              </w:rPr>
              <w:t>TruSeq Exome Kit (24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20020615</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2"/>
              </w:rPr>
              <w:t>TruSeq Exome Kit (96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20020616</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3"/>
              </w:rPr>
              <w:t>Nextera Exome Kit (24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20020617</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3"/>
              </w:rPr>
              <w:t>Nextera Exome Kit (96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20021354</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89"/>
              </w:rPr>
              <w:t>TruSeq Neuro Panel 24/48/4</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20021356</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89"/>
              </w:rPr>
              <w:t>TruSeq Neuro Panel 96/288/24</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20022370</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5"/>
              </w:rPr>
              <w:t>IDT for Illumina TruSeq DNA UD Indices</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20022371</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5"/>
              </w:rPr>
              <w:t>IDT for Illumina TruSeq RNA UD Indices</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20023394</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5"/>
              </w:rPr>
              <w:t>TruSight cfDNA UMI HiSeq 2500 Kt(48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20023395</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5"/>
              </w:rPr>
              <w:t>TruSight cfDNA UMI HiSeq 4000 Kt(48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20015966</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2"/>
              </w:rPr>
              <w:t>TruSight® Lymphoma 40 (8 SMP)</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20015967</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2"/>
              </w:rPr>
              <w:t>TruSight® Lymphoma 40 (48 SMP)</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20015968</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5"/>
              </w:rPr>
              <w:t>TruSight® ALL 52 (16 SMP)</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20015969</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5"/>
              </w:rPr>
              <w:t>TruSight® ALL 52 (96 SMP)</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20015970</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3"/>
              </w:rPr>
              <w:t>TruSight® Myeloma 43 (16 SMP)</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20015971</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3"/>
              </w:rPr>
              <w:t>TruSight® Myeloma 43 (96 SMP)</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20018622</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1"/>
              </w:rPr>
              <w:t>TruSight Tumor 170 LPK - Watson</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20018704</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4"/>
              </w:rPr>
              <w:t>Nextera DNA Flex LPK (24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20018705</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4"/>
              </w:rPr>
              <w:t>Nextera DNA Flex LPK (96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20018706</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2"/>
              </w:rPr>
              <w:t>Flex Lysis reagent Kit</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20018707</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4"/>
              </w:rPr>
              <w:t>Nextera DNA CD Idx (24 Idx, 24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20018708</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4"/>
              </w:rPr>
              <w:t>Nextera DNA CD Idx (96 Idx, 96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20019792</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4"/>
              </w:rPr>
              <w:t>TruSeq RNA CD Idx (96 Idx, 96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20020181</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3"/>
              </w:rPr>
              <w:t>TruSeq DNA LP for Enrch (24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20020182</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3"/>
              </w:rPr>
              <w:t>TruSeq DNA LP for Enrch (96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20020183</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2"/>
              </w:rPr>
              <w:t>Exome Panel (45Mb)</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20020187</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3"/>
              </w:rPr>
              <w:t>Nextera DNA LP for Enrch (24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20020188</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3"/>
              </w:rPr>
              <w:t>Nextera DNA LP for Enrch (96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20020189</w:t>
            </w:r>
          </w:p>
        </w:tc>
        <w:tc>
          <w:tcPr>
            <w:tcW w:w="4580" w:type="dxa"/>
            <w:vAlign w:val="bottom"/>
          </w:tcPr>
          <w:p>
            <w:pPr>
              <w:jc w:val="center"/>
              <w:ind w:left="929"/>
              <w:spacing w:after="0"/>
              <w:rPr>
                <w:sz w:val="20"/>
                <w:szCs w:val="20"/>
                <w:color w:val="auto"/>
              </w:rPr>
            </w:pPr>
            <w:r>
              <w:rPr>
                <w:rFonts w:ascii="Arial" w:cs="Arial" w:eastAsia="Arial" w:hAnsi="Arial"/>
                <w:sz w:val="18"/>
                <w:szCs w:val="18"/>
                <w:color w:val="auto"/>
                <w:w w:val="93"/>
              </w:rPr>
              <w:t>TruSeq RNA LP for Enrch (48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20020490</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2"/>
              </w:rPr>
              <w:t>TruSeq RNA Enrch (12 enrch)</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20020492</w:t>
            </w:r>
          </w:p>
        </w:tc>
        <w:tc>
          <w:tcPr>
            <w:tcW w:w="4580" w:type="dxa"/>
            <w:vAlign w:val="bottom"/>
          </w:tcPr>
          <w:p>
            <w:pPr>
              <w:jc w:val="center"/>
              <w:ind w:left="909"/>
              <w:spacing w:after="0"/>
              <w:rPr>
                <w:sz w:val="20"/>
                <w:szCs w:val="20"/>
                <w:color w:val="auto"/>
              </w:rPr>
            </w:pPr>
            <w:r>
              <w:rPr>
                <w:rFonts w:ascii="Arial" w:cs="Arial" w:eastAsia="Arial" w:hAnsi="Arial"/>
                <w:sz w:val="18"/>
                <w:szCs w:val="18"/>
                <w:color w:val="auto"/>
                <w:w w:val="93"/>
              </w:rPr>
              <w:t>TruSeq RNA Sgl Idx SetA (12 Idx,48 Spl)</w:t>
            </w:r>
          </w:p>
        </w:tc>
        <w:tc>
          <w:tcPr>
            <w:tcW w:w="8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443"/>
        </w:trPr>
        <w:tc>
          <w:tcPr>
            <w:tcW w:w="1760" w:type="dxa"/>
            <w:vAlign w:val="bottom"/>
          </w:tcPr>
          <w:p>
            <w:pPr>
              <w:spacing w:after="0"/>
              <w:rPr>
                <w:sz w:val="24"/>
                <w:szCs w:val="24"/>
                <w:color w:val="auto"/>
              </w:rPr>
            </w:pPr>
          </w:p>
        </w:tc>
        <w:tc>
          <w:tcPr>
            <w:tcW w:w="4580" w:type="dxa"/>
            <w:vAlign w:val="bottom"/>
          </w:tcPr>
          <w:p>
            <w:pPr>
              <w:ind w:left="1240"/>
              <w:spacing w:after="0"/>
              <w:rPr>
                <w:sz w:val="20"/>
                <w:szCs w:val="20"/>
                <w:color w:val="auto"/>
              </w:rPr>
            </w:pPr>
            <w:r>
              <w:rPr>
                <w:rFonts w:ascii="Arial" w:cs="Arial" w:eastAsia="Arial" w:hAnsi="Arial"/>
                <w:sz w:val="20"/>
                <w:szCs w:val="20"/>
                <w:color w:val="auto"/>
              </w:rPr>
              <w:t>Proposal#</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94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20"/>
                <w:szCs w:val="20"/>
                <w:color w:val="auto"/>
              </w:rPr>
              <w:t>Page 6 of 12</w:t>
            </w:r>
          </w:p>
        </w:tc>
        <w:tc>
          <w:tcPr>
            <w:tcW w:w="20" w:type="dxa"/>
            <w:vAlign w:val="bottom"/>
          </w:tcPr>
          <w:p>
            <w:pPr>
              <w:spacing w:after="0"/>
              <w:rPr>
                <w:sz w:val="24"/>
                <w:szCs w:val="24"/>
                <w:color w:val="auto"/>
              </w:rPr>
            </w:pPr>
          </w:p>
        </w:tc>
      </w:tr>
      <w:tr>
        <w:trPr>
          <w:trHeight w:val="530"/>
        </w:trPr>
        <w:tc>
          <w:tcPr>
            <w:tcW w:w="17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-359410</wp:posOffset>
            </wp:positionV>
            <wp:extent cx="1225550"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229"/>
        </w:trPr>
        <w:tc>
          <w:tcPr>
            <w:tcW w:w="1760" w:type="dxa"/>
            <w:vAlign w:val="bottom"/>
            <w:tcBorders>
              <w:top w:val="single" w:sz="8" w:color="auto"/>
              <w:left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Catalog #</w:t>
            </w:r>
          </w:p>
        </w:tc>
        <w:tc>
          <w:tcPr>
            <w:tcW w:w="4640" w:type="dxa"/>
            <w:vAlign w:val="bottom"/>
            <w:tcBorders>
              <w:top w:val="single" w:sz="8" w:color="auto"/>
            </w:tcBorders>
            <w:shd w:val="clear" w:color="auto" w:fill="FF9900"/>
          </w:tcPr>
          <w:p>
            <w:pPr>
              <w:jc w:val="center"/>
              <w:ind w:left="689"/>
              <w:spacing w:after="0" w:line="229" w:lineRule="exact"/>
              <w:rPr>
                <w:sz w:val="20"/>
                <w:szCs w:val="20"/>
                <w:color w:val="auto"/>
              </w:rPr>
            </w:pPr>
            <w:r>
              <w:rPr>
                <w:rFonts w:ascii="Arial" w:cs="Arial" w:eastAsia="Arial" w:hAnsi="Arial"/>
                <w:sz w:val="22"/>
                <w:szCs w:val="22"/>
                <w:b w:val="1"/>
                <w:bCs w:val="1"/>
                <w:color w:val="auto"/>
                <w:w w:val="88"/>
              </w:rPr>
              <w:t>Product Description</w:t>
            </w:r>
          </w:p>
        </w:tc>
        <w:tc>
          <w:tcPr>
            <w:tcW w:w="800" w:type="dxa"/>
            <w:vAlign w:val="bottom"/>
            <w:tcBorders>
              <w:top w:val="single" w:sz="8" w:color="auto"/>
              <w:right w:val="single" w:sz="8" w:color="auto"/>
            </w:tcBorders>
            <w:shd w:val="clear" w:color="auto" w:fill="FF9900"/>
          </w:tcPr>
          <w:p>
            <w:pPr>
              <w:spacing w:after="0"/>
              <w:rPr>
                <w:sz w:val="19"/>
                <w:szCs w:val="19"/>
                <w:color w:val="auto"/>
              </w:rPr>
            </w:pPr>
          </w:p>
        </w:tc>
        <w:tc>
          <w:tcPr>
            <w:tcW w:w="194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90"/>
              </w:rPr>
              <w:t>List Price</w:t>
            </w:r>
          </w:p>
        </w:tc>
        <w:tc>
          <w:tcPr>
            <w:tcW w:w="210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Customer Price</w:t>
            </w:r>
          </w:p>
        </w:tc>
        <w:tc>
          <w:tcPr>
            <w:tcW w:w="20" w:type="dxa"/>
            <w:vAlign w:val="bottom"/>
          </w:tcPr>
          <w:p>
            <w:pPr>
              <w:spacing w:after="0"/>
              <w:rPr>
                <w:sz w:val="19"/>
                <w:szCs w:val="19"/>
                <w:color w:val="auto"/>
              </w:rPr>
            </w:pPr>
          </w:p>
        </w:tc>
      </w:tr>
      <w:tr>
        <w:trPr>
          <w:trHeight w:val="280"/>
        </w:trPr>
        <w:tc>
          <w:tcPr>
            <w:tcW w:w="1760" w:type="dxa"/>
            <w:vAlign w:val="bottom"/>
            <w:tcBorders>
              <w:left w:val="single" w:sz="8" w:color="auto"/>
              <w:right w:val="single" w:sz="8" w:color="auto"/>
            </w:tcBorders>
            <w:shd w:val="clear" w:color="auto" w:fill="FF9900"/>
          </w:tcPr>
          <w:p>
            <w:pPr>
              <w:spacing w:after="0"/>
              <w:rPr>
                <w:sz w:val="24"/>
                <w:szCs w:val="24"/>
                <w:color w:val="auto"/>
              </w:rPr>
            </w:pPr>
          </w:p>
        </w:tc>
        <w:tc>
          <w:tcPr>
            <w:tcW w:w="4640" w:type="dxa"/>
            <w:vAlign w:val="bottom"/>
            <w:shd w:val="clear" w:color="auto" w:fill="FF9900"/>
          </w:tcPr>
          <w:p>
            <w:pPr>
              <w:spacing w:after="0"/>
              <w:rPr>
                <w:sz w:val="24"/>
                <w:szCs w:val="24"/>
                <w:color w:val="auto"/>
              </w:rPr>
            </w:pPr>
          </w:p>
        </w:tc>
        <w:tc>
          <w:tcPr>
            <w:tcW w:w="800" w:type="dxa"/>
            <w:vAlign w:val="bottom"/>
            <w:tcBorders>
              <w:right w:val="single" w:sz="8" w:color="auto"/>
            </w:tcBorders>
            <w:shd w:val="clear" w:color="auto" w:fill="FF9900"/>
          </w:tcPr>
          <w:p>
            <w:pPr>
              <w:spacing w:after="0"/>
              <w:rPr>
                <w:sz w:val="24"/>
                <w:szCs w:val="24"/>
                <w:color w:val="auto"/>
              </w:rPr>
            </w:pPr>
          </w:p>
        </w:tc>
        <w:tc>
          <w:tcPr>
            <w:tcW w:w="1940" w:type="dxa"/>
            <w:vAlign w:val="bottom"/>
            <w:tcBorders>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4"/>
              </w:rPr>
              <w:t>(USD)</w:t>
            </w:r>
          </w:p>
        </w:tc>
        <w:tc>
          <w:tcPr>
            <w:tcW w:w="2100" w:type="dxa"/>
            <w:vAlign w:val="bottom"/>
            <w:tcBorders>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1"/>
              </w:rPr>
              <w:t>(USD)</w:t>
            </w:r>
          </w:p>
        </w:tc>
        <w:tc>
          <w:tcPr>
            <w:tcW w:w="20" w:type="dxa"/>
            <w:vAlign w:val="bottom"/>
          </w:tcPr>
          <w:p>
            <w:pPr>
              <w:spacing w:after="0"/>
              <w:rPr>
                <w:sz w:val="24"/>
                <w:szCs w:val="24"/>
                <w:color w:val="auto"/>
              </w:rPr>
            </w:pPr>
          </w:p>
        </w:tc>
      </w:tr>
      <w:tr>
        <w:trPr>
          <w:trHeight w:val="71"/>
        </w:trPr>
        <w:tc>
          <w:tcPr>
            <w:tcW w:w="1760" w:type="dxa"/>
            <w:vAlign w:val="bottom"/>
            <w:tcBorders>
              <w:left w:val="single" w:sz="8" w:color="auto"/>
              <w:bottom w:val="single" w:sz="8" w:color="auto"/>
              <w:right w:val="single" w:sz="8" w:color="auto"/>
            </w:tcBorders>
            <w:shd w:val="clear" w:color="auto" w:fill="FF9900"/>
          </w:tcPr>
          <w:p>
            <w:pPr>
              <w:spacing w:after="0"/>
              <w:rPr>
                <w:sz w:val="6"/>
                <w:szCs w:val="6"/>
                <w:color w:val="auto"/>
              </w:rPr>
            </w:pPr>
          </w:p>
        </w:tc>
        <w:tc>
          <w:tcPr>
            <w:tcW w:w="4640" w:type="dxa"/>
            <w:vAlign w:val="bottom"/>
            <w:tcBorders>
              <w:bottom w:val="single" w:sz="8" w:color="auto"/>
            </w:tcBorders>
            <w:shd w:val="clear" w:color="auto" w:fill="FF9900"/>
          </w:tcPr>
          <w:p>
            <w:pPr>
              <w:spacing w:after="0"/>
              <w:rPr>
                <w:sz w:val="6"/>
                <w:szCs w:val="6"/>
                <w:color w:val="auto"/>
              </w:rPr>
            </w:pPr>
          </w:p>
        </w:tc>
        <w:tc>
          <w:tcPr>
            <w:tcW w:w="800" w:type="dxa"/>
            <w:vAlign w:val="bottom"/>
            <w:tcBorders>
              <w:bottom w:val="single" w:sz="8" w:color="auto"/>
              <w:right w:val="single" w:sz="8" w:color="auto"/>
            </w:tcBorders>
            <w:shd w:val="clear" w:color="auto" w:fill="FF9900"/>
          </w:tcPr>
          <w:p>
            <w:pPr>
              <w:spacing w:after="0"/>
              <w:rPr>
                <w:sz w:val="6"/>
                <w:szCs w:val="6"/>
                <w:color w:val="auto"/>
              </w:rPr>
            </w:pPr>
          </w:p>
        </w:tc>
        <w:tc>
          <w:tcPr>
            <w:tcW w:w="1940" w:type="dxa"/>
            <w:vAlign w:val="bottom"/>
            <w:tcBorders>
              <w:bottom w:val="single" w:sz="8" w:color="auto"/>
              <w:right w:val="single" w:sz="8" w:color="auto"/>
            </w:tcBorders>
            <w:shd w:val="clear" w:color="auto" w:fill="FF9900"/>
          </w:tcPr>
          <w:p>
            <w:pPr>
              <w:spacing w:after="0"/>
              <w:rPr>
                <w:sz w:val="6"/>
                <w:szCs w:val="6"/>
                <w:color w:val="auto"/>
              </w:rPr>
            </w:pPr>
          </w:p>
        </w:tc>
        <w:tc>
          <w:tcPr>
            <w:tcW w:w="2100" w:type="dxa"/>
            <w:vAlign w:val="bottom"/>
            <w:tcBorders>
              <w:bottom w:val="single" w:sz="8" w:color="auto"/>
              <w:right w:val="single" w:sz="8" w:color="auto"/>
            </w:tcBorders>
            <w:shd w:val="clear" w:color="auto" w:fill="FF9900"/>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20020493</w:t>
            </w:r>
          </w:p>
        </w:tc>
        <w:tc>
          <w:tcPr>
            <w:tcW w:w="4640" w:type="dxa"/>
            <w:vAlign w:val="bottom"/>
          </w:tcPr>
          <w:p>
            <w:pPr>
              <w:ind w:left="1260"/>
              <w:spacing w:after="0"/>
              <w:rPr>
                <w:sz w:val="20"/>
                <w:szCs w:val="20"/>
                <w:color w:val="auto"/>
              </w:rPr>
            </w:pPr>
            <w:r>
              <w:rPr>
                <w:rFonts w:ascii="Arial" w:cs="Arial" w:eastAsia="Arial" w:hAnsi="Arial"/>
                <w:sz w:val="18"/>
                <w:szCs w:val="18"/>
                <w:color w:val="auto"/>
              </w:rPr>
              <w:t>TruSeq RNA Sgl Idx SetB (12 Idx,48 Spl)</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FC-131-1001</w:t>
            </w:r>
          </w:p>
        </w:tc>
        <w:tc>
          <w:tcPr>
            <w:tcW w:w="4640" w:type="dxa"/>
            <w:vAlign w:val="bottom"/>
          </w:tcPr>
          <w:p>
            <w:pPr>
              <w:jc w:val="center"/>
              <w:ind w:left="869"/>
              <w:spacing w:after="0"/>
              <w:rPr>
                <w:sz w:val="20"/>
                <w:szCs w:val="20"/>
                <w:color w:val="auto"/>
              </w:rPr>
            </w:pPr>
            <w:r>
              <w:rPr>
                <w:rFonts w:ascii="Arial" w:cs="Arial" w:eastAsia="Arial" w:hAnsi="Arial"/>
                <w:sz w:val="18"/>
                <w:szCs w:val="18"/>
                <w:color w:val="auto"/>
                <w:w w:val="98"/>
              </w:rPr>
              <w:t>NXTR® XT IDX Kit (24 IDXS, 96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RT-402-1001</w:t>
            </w:r>
          </w:p>
        </w:tc>
        <w:tc>
          <w:tcPr>
            <w:tcW w:w="4640" w:type="dxa"/>
            <w:vAlign w:val="bottom"/>
          </w:tcPr>
          <w:p>
            <w:pPr>
              <w:jc w:val="center"/>
              <w:ind w:left="869"/>
              <w:spacing w:after="0"/>
              <w:rPr>
                <w:sz w:val="20"/>
                <w:szCs w:val="20"/>
                <w:color w:val="auto"/>
              </w:rPr>
            </w:pPr>
            <w:r>
              <w:rPr>
                <w:rFonts w:ascii="Arial" w:cs="Arial" w:eastAsia="Arial" w:hAnsi="Arial"/>
                <w:sz w:val="18"/>
                <w:szCs w:val="18"/>
                <w:color w:val="auto"/>
                <w:w w:val="96"/>
              </w:rPr>
              <w:t>TruSq® Trgtd RNA IDX KtA, 96 IDX 384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FC-132-1001</w:t>
            </w:r>
          </w:p>
        </w:tc>
        <w:tc>
          <w:tcPr>
            <w:tcW w:w="4640" w:type="dxa"/>
            <w:vAlign w:val="bottom"/>
          </w:tcPr>
          <w:p>
            <w:pPr>
              <w:jc w:val="center"/>
              <w:ind w:left="869"/>
              <w:spacing w:after="0"/>
              <w:rPr>
                <w:sz w:val="20"/>
                <w:szCs w:val="20"/>
                <w:color w:val="auto"/>
              </w:rPr>
            </w:pPr>
            <w:r>
              <w:rPr>
                <w:rFonts w:ascii="Arial" w:cs="Arial" w:eastAsia="Arial" w:hAnsi="Arial"/>
                <w:sz w:val="18"/>
                <w:szCs w:val="18"/>
                <w:color w:val="auto"/>
                <w:w w:val="91"/>
              </w:rPr>
              <w:t>Nextera® Mate Pair Sample PrepKit</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RT-401-1001</w:t>
            </w:r>
          </w:p>
        </w:tc>
        <w:tc>
          <w:tcPr>
            <w:tcW w:w="4640" w:type="dxa"/>
            <w:vAlign w:val="bottom"/>
          </w:tcPr>
          <w:p>
            <w:pPr>
              <w:jc w:val="center"/>
              <w:ind w:left="849"/>
              <w:spacing w:after="0"/>
              <w:rPr>
                <w:sz w:val="20"/>
                <w:szCs w:val="20"/>
                <w:color w:val="auto"/>
              </w:rPr>
            </w:pPr>
            <w:r>
              <w:rPr>
                <w:rFonts w:ascii="Arial" w:cs="Arial" w:eastAsia="Arial" w:hAnsi="Arial"/>
                <w:sz w:val="18"/>
                <w:szCs w:val="18"/>
                <w:color w:val="auto"/>
                <w:w w:val="95"/>
              </w:rPr>
              <w:t>TruSeq® Trgtd RNA IDX Kt, 48 IDX 192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IP-202-1024</w:t>
            </w:r>
          </w:p>
        </w:tc>
        <w:tc>
          <w:tcPr>
            <w:tcW w:w="4640" w:type="dxa"/>
            <w:vAlign w:val="bottom"/>
          </w:tcPr>
          <w:p>
            <w:pPr>
              <w:jc w:val="center"/>
              <w:ind w:left="609"/>
              <w:spacing w:after="0"/>
              <w:rPr>
                <w:sz w:val="20"/>
                <w:szCs w:val="20"/>
                <w:color w:val="auto"/>
              </w:rPr>
            </w:pPr>
            <w:r>
              <w:rPr>
                <w:rFonts w:ascii="Arial" w:cs="Arial" w:eastAsia="Arial" w:hAnsi="Arial"/>
                <w:sz w:val="18"/>
                <w:szCs w:val="18"/>
                <w:color w:val="auto"/>
                <w:w w:val="92"/>
              </w:rPr>
              <w:t>TruSeq® ChIP SMP Prep Kit 48 SMP-Set B</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IP-202-1012</w:t>
            </w:r>
          </w:p>
        </w:tc>
        <w:tc>
          <w:tcPr>
            <w:tcW w:w="4640" w:type="dxa"/>
            <w:vAlign w:val="bottom"/>
          </w:tcPr>
          <w:p>
            <w:pPr>
              <w:jc w:val="center"/>
              <w:ind w:left="609"/>
              <w:spacing w:after="0"/>
              <w:rPr>
                <w:sz w:val="20"/>
                <w:szCs w:val="20"/>
                <w:color w:val="auto"/>
              </w:rPr>
            </w:pPr>
            <w:r>
              <w:rPr>
                <w:rFonts w:ascii="Arial" w:cs="Arial" w:eastAsia="Arial" w:hAnsi="Arial"/>
                <w:sz w:val="18"/>
                <w:szCs w:val="18"/>
                <w:color w:val="auto"/>
                <w:w w:val="92"/>
              </w:rPr>
              <w:t>TruSeq® ChIP SMP Prep Kit 48 SMP-Set 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AB0007</w:t>
            </w:r>
          </w:p>
        </w:tc>
        <w:tc>
          <w:tcPr>
            <w:tcW w:w="4640" w:type="dxa"/>
            <w:vAlign w:val="bottom"/>
          </w:tcPr>
          <w:p>
            <w:pPr>
              <w:jc w:val="center"/>
              <w:ind w:left="609"/>
              <w:spacing w:after="0"/>
              <w:rPr>
                <w:sz w:val="20"/>
                <w:szCs w:val="20"/>
                <w:color w:val="auto"/>
              </w:rPr>
            </w:pPr>
            <w:r>
              <w:rPr>
                <w:rFonts w:ascii="Arial" w:cs="Arial" w:eastAsia="Arial" w:hAnsi="Arial"/>
                <w:sz w:val="18"/>
                <w:szCs w:val="18"/>
                <w:color w:val="auto"/>
                <w:w w:val="95"/>
              </w:rPr>
              <w:t>FusionPlex® CTL, for Illumina®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FC-121-0202</w:t>
            </w:r>
          </w:p>
        </w:tc>
        <w:tc>
          <w:tcPr>
            <w:tcW w:w="4640" w:type="dxa"/>
            <w:vAlign w:val="bottom"/>
          </w:tcPr>
          <w:p>
            <w:pPr>
              <w:jc w:val="center"/>
              <w:ind w:left="849"/>
              <w:spacing w:after="0"/>
              <w:rPr>
                <w:sz w:val="20"/>
                <w:szCs w:val="20"/>
                <w:color w:val="auto"/>
              </w:rPr>
            </w:pPr>
            <w:r>
              <w:rPr>
                <w:rFonts w:ascii="Arial" w:cs="Arial" w:eastAsia="Arial" w:hAnsi="Arial"/>
                <w:sz w:val="18"/>
                <w:szCs w:val="18"/>
                <w:color w:val="auto"/>
                <w:w w:val="89"/>
              </w:rPr>
              <w:t>TruSight™ Cancer Sequencing Panel</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FC-121-0205</w:t>
            </w:r>
          </w:p>
        </w:tc>
        <w:tc>
          <w:tcPr>
            <w:tcW w:w="4640" w:type="dxa"/>
            <w:vAlign w:val="bottom"/>
          </w:tcPr>
          <w:p>
            <w:pPr>
              <w:jc w:val="center"/>
              <w:ind w:left="869"/>
              <w:spacing w:after="0"/>
              <w:rPr>
                <w:sz w:val="20"/>
                <w:szCs w:val="20"/>
                <w:color w:val="auto"/>
              </w:rPr>
            </w:pPr>
            <w:r>
              <w:rPr>
                <w:rFonts w:ascii="Arial" w:cs="Arial" w:eastAsia="Arial" w:hAnsi="Arial"/>
                <w:sz w:val="18"/>
                <w:szCs w:val="18"/>
                <w:color w:val="auto"/>
                <w:w w:val="90"/>
              </w:rPr>
              <w:t>TruSight Inherited Disease SEQ Panel"</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FC-130-1010</w:t>
            </w:r>
          </w:p>
        </w:tc>
        <w:tc>
          <w:tcPr>
            <w:tcW w:w="4640" w:type="dxa"/>
            <w:vAlign w:val="bottom"/>
          </w:tcPr>
          <w:p>
            <w:pPr>
              <w:jc w:val="center"/>
              <w:ind w:left="869"/>
              <w:spacing w:after="0"/>
              <w:rPr>
                <w:sz w:val="20"/>
                <w:szCs w:val="20"/>
                <w:color w:val="auto"/>
              </w:rPr>
            </w:pPr>
            <w:r>
              <w:rPr>
                <w:rFonts w:ascii="Arial" w:cs="Arial" w:eastAsia="Arial" w:hAnsi="Arial"/>
                <w:sz w:val="18"/>
                <w:szCs w:val="18"/>
                <w:color w:val="auto"/>
                <w:w w:val="92"/>
              </w:rPr>
              <w:t>TruSight™ Myeloid Sequencing Panel</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RT-402-1002</w:t>
            </w:r>
          </w:p>
        </w:tc>
        <w:tc>
          <w:tcPr>
            <w:tcW w:w="4640" w:type="dxa"/>
            <w:vAlign w:val="bottom"/>
          </w:tcPr>
          <w:p>
            <w:pPr>
              <w:jc w:val="center"/>
              <w:ind w:left="849"/>
              <w:spacing w:after="0"/>
              <w:rPr>
                <w:sz w:val="20"/>
                <w:szCs w:val="20"/>
                <w:color w:val="auto"/>
              </w:rPr>
            </w:pPr>
            <w:r>
              <w:rPr>
                <w:rFonts w:ascii="Arial" w:cs="Arial" w:eastAsia="Arial" w:hAnsi="Arial"/>
                <w:sz w:val="18"/>
                <w:szCs w:val="18"/>
                <w:color w:val="auto"/>
                <w:w w:val="95"/>
              </w:rPr>
              <w:t>TruSq® Trgtd RNA IDX KtB, 96 IDX 384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RT-402-1003</w:t>
            </w:r>
          </w:p>
        </w:tc>
        <w:tc>
          <w:tcPr>
            <w:tcW w:w="4640" w:type="dxa"/>
            <w:vAlign w:val="bottom"/>
          </w:tcPr>
          <w:p>
            <w:pPr>
              <w:jc w:val="center"/>
              <w:ind w:left="849"/>
              <w:spacing w:after="0"/>
              <w:rPr>
                <w:sz w:val="20"/>
                <w:szCs w:val="20"/>
                <w:color w:val="auto"/>
              </w:rPr>
            </w:pPr>
            <w:r>
              <w:rPr>
                <w:rFonts w:ascii="Arial" w:cs="Arial" w:eastAsia="Arial" w:hAnsi="Arial"/>
                <w:sz w:val="18"/>
                <w:szCs w:val="18"/>
                <w:color w:val="auto"/>
                <w:w w:val="95"/>
              </w:rPr>
              <w:t>TruSq® Trgtd RNA IDX KtC, 96 IDX 384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RT-402-1004</w:t>
            </w:r>
          </w:p>
        </w:tc>
        <w:tc>
          <w:tcPr>
            <w:tcW w:w="4640" w:type="dxa"/>
            <w:vAlign w:val="bottom"/>
          </w:tcPr>
          <w:p>
            <w:pPr>
              <w:jc w:val="center"/>
              <w:ind w:left="869"/>
              <w:spacing w:after="0"/>
              <w:rPr>
                <w:sz w:val="20"/>
                <w:szCs w:val="20"/>
                <w:color w:val="auto"/>
              </w:rPr>
            </w:pPr>
            <w:r>
              <w:rPr>
                <w:rFonts w:ascii="Arial" w:cs="Arial" w:eastAsia="Arial" w:hAnsi="Arial"/>
                <w:sz w:val="18"/>
                <w:szCs w:val="18"/>
                <w:color w:val="auto"/>
                <w:w w:val="96"/>
              </w:rPr>
              <w:t>TruSq® Trgtd RNA IDX KtD, 96 IDX 384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FC-140-1101</w:t>
            </w:r>
          </w:p>
        </w:tc>
        <w:tc>
          <w:tcPr>
            <w:tcW w:w="4640" w:type="dxa"/>
            <w:vAlign w:val="bottom"/>
          </w:tcPr>
          <w:p>
            <w:pPr>
              <w:jc w:val="center"/>
              <w:ind w:left="849"/>
              <w:spacing w:after="0"/>
              <w:rPr>
                <w:sz w:val="20"/>
                <w:szCs w:val="20"/>
                <w:color w:val="auto"/>
              </w:rPr>
            </w:pPr>
            <w:r>
              <w:rPr>
                <w:rFonts w:ascii="Arial" w:cs="Arial" w:eastAsia="Arial" w:hAnsi="Arial"/>
                <w:sz w:val="18"/>
                <w:szCs w:val="18"/>
                <w:color w:val="auto"/>
                <w:w w:val="94"/>
              </w:rPr>
              <w:t>TruSite RPD CPTR KT (1INX 8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FC-140-1102</w:t>
            </w:r>
          </w:p>
        </w:tc>
        <w:tc>
          <w:tcPr>
            <w:tcW w:w="4640" w:type="dxa"/>
            <w:vAlign w:val="bottom"/>
          </w:tcPr>
          <w:p>
            <w:pPr>
              <w:jc w:val="center"/>
              <w:ind w:left="849"/>
              <w:spacing w:after="0"/>
              <w:rPr>
                <w:sz w:val="20"/>
                <w:szCs w:val="20"/>
                <w:color w:val="auto"/>
              </w:rPr>
            </w:pPr>
            <w:r>
              <w:rPr>
                <w:rFonts w:ascii="Arial" w:cs="Arial" w:eastAsia="Arial" w:hAnsi="Arial"/>
                <w:sz w:val="18"/>
                <w:szCs w:val="18"/>
                <w:color w:val="auto"/>
                <w:w w:val="94"/>
              </w:rPr>
              <w:t>TruSite RPD CPTR KT (2INX 8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FC-140-1103</w:t>
            </w:r>
          </w:p>
        </w:tc>
        <w:tc>
          <w:tcPr>
            <w:tcW w:w="4640" w:type="dxa"/>
            <w:vAlign w:val="bottom"/>
          </w:tcPr>
          <w:p>
            <w:pPr>
              <w:jc w:val="center"/>
              <w:ind w:left="869"/>
              <w:spacing w:after="0"/>
              <w:rPr>
                <w:sz w:val="20"/>
                <w:szCs w:val="20"/>
                <w:color w:val="auto"/>
              </w:rPr>
            </w:pPr>
            <w:r>
              <w:rPr>
                <w:rFonts w:ascii="Arial" w:cs="Arial" w:eastAsia="Arial" w:hAnsi="Arial"/>
                <w:sz w:val="18"/>
                <w:szCs w:val="18"/>
                <w:color w:val="auto"/>
                <w:w w:val="94"/>
              </w:rPr>
              <w:t>TruSite RPD CPTR KT (4INX 16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FC-140-1104</w:t>
            </w:r>
          </w:p>
        </w:tc>
        <w:tc>
          <w:tcPr>
            <w:tcW w:w="4640" w:type="dxa"/>
            <w:vAlign w:val="bottom"/>
          </w:tcPr>
          <w:p>
            <w:pPr>
              <w:jc w:val="center"/>
              <w:ind w:left="869"/>
              <w:spacing w:after="0"/>
              <w:rPr>
                <w:sz w:val="20"/>
                <w:szCs w:val="20"/>
                <w:color w:val="auto"/>
              </w:rPr>
            </w:pPr>
            <w:r>
              <w:rPr>
                <w:rFonts w:ascii="Arial" w:cs="Arial" w:eastAsia="Arial" w:hAnsi="Arial"/>
                <w:sz w:val="18"/>
                <w:szCs w:val="18"/>
                <w:color w:val="auto"/>
                <w:w w:val="93"/>
              </w:rPr>
              <w:t>TruSite RPD CPTR KT (24 INX 48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FC-140-1105</w:t>
            </w:r>
          </w:p>
        </w:tc>
        <w:tc>
          <w:tcPr>
            <w:tcW w:w="4640" w:type="dxa"/>
            <w:vAlign w:val="bottom"/>
          </w:tcPr>
          <w:p>
            <w:pPr>
              <w:jc w:val="center"/>
              <w:ind w:left="869"/>
              <w:spacing w:after="0"/>
              <w:rPr>
                <w:sz w:val="20"/>
                <w:szCs w:val="20"/>
                <w:color w:val="auto"/>
              </w:rPr>
            </w:pPr>
            <w:r>
              <w:rPr>
                <w:rFonts w:ascii="Arial" w:cs="Arial" w:eastAsia="Arial" w:hAnsi="Arial"/>
                <w:sz w:val="18"/>
                <w:szCs w:val="18"/>
                <w:color w:val="auto"/>
                <w:w w:val="93"/>
              </w:rPr>
              <w:t>TruSite RPD CPTR KT (24 INX 96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FC-140-1106</w:t>
            </w:r>
          </w:p>
        </w:tc>
        <w:tc>
          <w:tcPr>
            <w:tcW w:w="4640" w:type="dxa"/>
            <w:vAlign w:val="bottom"/>
          </w:tcPr>
          <w:p>
            <w:pPr>
              <w:jc w:val="center"/>
              <w:ind w:left="849"/>
              <w:spacing w:after="0"/>
              <w:rPr>
                <w:sz w:val="20"/>
                <w:szCs w:val="20"/>
                <w:color w:val="auto"/>
              </w:rPr>
            </w:pPr>
            <w:r>
              <w:rPr>
                <w:rFonts w:ascii="Arial" w:cs="Arial" w:eastAsia="Arial" w:hAnsi="Arial"/>
                <w:sz w:val="18"/>
                <w:szCs w:val="18"/>
                <w:color w:val="auto"/>
                <w:w w:val="93"/>
              </w:rPr>
              <w:t>TruSite RPD CPTR KT (96 INX 288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AB0005</w:t>
            </w:r>
          </w:p>
        </w:tc>
        <w:tc>
          <w:tcPr>
            <w:tcW w:w="4640" w:type="dxa"/>
            <w:vAlign w:val="bottom"/>
          </w:tcPr>
          <w:p>
            <w:pPr>
              <w:jc w:val="center"/>
              <w:ind w:left="609"/>
              <w:spacing w:after="0"/>
              <w:rPr>
                <w:sz w:val="20"/>
                <w:szCs w:val="20"/>
                <w:color w:val="auto"/>
              </w:rPr>
            </w:pPr>
            <w:r>
              <w:rPr>
                <w:rFonts w:ascii="Arial" w:cs="Arial" w:eastAsia="Arial" w:hAnsi="Arial"/>
                <w:sz w:val="18"/>
                <w:szCs w:val="18"/>
                <w:color w:val="auto"/>
                <w:w w:val="94"/>
              </w:rPr>
              <w:t>FusionPlex® Solid Tumor, for Illumina®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FC-131-1096</w:t>
            </w:r>
          </w:p>
        </w:tc>
        <w:tc>
          <w:tcPr>
            <w:tcW w:w="4640" w:type="dxa"/>
            <w:vAlign w:val="bottom"/>
          </w:tcPr>
          <w:p>
            <w:pPr>
              <w:jc w:val="center"/>
              <w:ind w:left="869"/>
              <w:spacing w:after="0"/>
              <w:rPr>
                <w:sz w:val="20"/>
                <w:szCs w:val="20"/>
                <w:color w:val="auto"/>
              </w:rPr>
            </w:pPr>
            <w:r>
              <w:rPr>
                <w:rFonts w:ascii="Arial" w:cs="Arial" w:eastAsia="Arial" w:hAnsi="Arial"/>
                <w:sz w:val="18"/>
                <w:szCs w:val="18"/>
                <w:color w:val="auto"/>
                <w:w w:val="96"/>
              </w:rPr>
              <w:t>NXTR® XT DNA SMP Prep Kit (96 SMP)</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SA0045</w:t>
            </w:r>
          </w:p>
        </w:tc>
        <w:tc>
          <w:tcPr>
            <w:tcW w:w="4640" w:type="dxa"/>
            <w:vAlign w:val="bottom"/>
          </w:tcPr>
          <w:p>
            <w:pPr>
              <w:jc w:val="center"/>
              <w:ind w:left="609"/>
              <w:spacing w:after="0"/>
              <w:rPr>
                <w:sz w:val="20"/>
                <w:szCs w:val="20"/>
                <w:color w:val="auto"/>
              </w:rPr>
            </w:pPr>
            <w:r>
              <w:rPr>
                <w:rFonts w:ascii="Arial" w:cs="Arial" w:eastAsia="Arial" w:hAnsi="Arial"/>
                <w:sz w:val="18"/>
                <w:szCs w:val="18"/>
                <w:color w:val="auto"/>
                <w:w w:val="95"/>
              </w:rPr>
              <w:t>MBC Adapters A41-A48 for Illumina®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SA0044</w:t>
            </w:r>
          </w:p>
        </w:tc>
        <w:tc>
          <w:tcPr>
            <w:tcW w:w="4640" w:type="dxa"/>
            <w:vAlign w:val="bottom"/>
          </w:tcPr>
          <w:p>
            <w:pPr>
              <w:jc w:val="center"/>
              <w:ind w:left="609"/>
              <w:spacing w:after="0"/>
              <w:rPr>
                <w:sz w:val="20"/>
                <w:szCs w:val="20"/>
                <w:color w:val="auto"/>
              </w:rPr>
            </w:pPr>
            <w:r>
              <w:rPr>
                <w:rFonts w:ascii="Arial" w:cs="Arial" w:eastAsia="Arial" w:hAnsi="Arial"/>
                <w:sz w:val="18"/>
                <w:szCs w:val="18"/>
                <w:color w:val="auto"/>
                <w:w w:val="95"/>
              </w:rPr>
              <w:t>MBC Adapters A33-A40 for Illumina®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SA0043</w:t>
            </w:r>
          </w:p>
        </w:tc>
        <w:tc>
          <w:tcPr>
            <w:tcW w:w="4640" w:type="dxa"/>
            <w:vAlign w:val="bottom"/>
          </w:tcPr>
          <w:p>
            <w:pPr>
              <w:jc w:val="center"/>
              <w:ind w:left="609"/>
              <w:spacing w:after="0"/>
              <w:rPr>
                <w:sz w:val="20"/>
                <w:szCs w:val="20"/>
                <w:color w:val="auto"/>
              </w:rPr>
            </w:pPr>
            <w:r>
              <w:rPr>
                <w:rFonts w:ascii="Arial" w:cs="Arial" w:eastAsia="Arial" w:hAnsi="Arial"/>
                <w:sz w:val="18"/>
                <w:szCs w:val="18"/>
                <w:color w:val="auto"/>
                <w:w w:val="95"/>
              </w:rPr>
              <w:t>MBC Adapters A25-A32 for Illumina®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SA0042</w:t>
            </w:r>
          </w:p>
        </w:tc>
        <w:tc>
          <w:tcPr>
            <w:tcW w:w="4640" w:type="dxa"/>
            <w:vAlign w:val="bottom"/>
          </w:tcPr>
          <w:p>
            <w:pPr>
              <w:jc w:val="center"/>
              <w:ind w:left="609"/>
              <w:spacing w:after="0"/>
              <w:rPr>
                <w:sz w:val="20"/>
                <w:szCs w:val="20"/>
                <w:color w:val="auto"/>
              </w:rPr>
            </w:pPr>
            <w:r>
              <w:rPr>
                <w:rFonts w:ascii="Arial" w:cs="Arial" w:eastAsia="Arial" w:hAnsi="Arial"/>
                <w:sz w:val="18"/>
                <w:szCs w:val="18"/>
                <w:color w:val="auto"/>
                <w:w w:val="95"/>
              </w:rPr>
              <w:t>MBC Adapters A17-A24 for Illumina®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SA0041</w:t>
            </w:r>
          </w:p>
        </w:tc>
        <w:tc>
          <w:tcPr>
            <w:tcW w:w="4640" w:type="dxa"/>
            <w:vAlign w:val="bottom"/>
          </w:tcPr>
          <w:p>
            <w:pPr>
              <w:jc w:val="center"/>
              <w:ind w:left="609"/>
              <w:spacing w:after="0"/>
              <w:rPr>
                <w:sz w:val="20"/>
                <w:szCs w:val="20"/>
                <w:color w:val="auto"/>
              </w:rPr>
            </w:pPr>
            <w:r>
              <w:rPr>
                <w:rFonts w:ascii="Arial" w:cs="Arial" w:eastAsia="Arial" w:hAnsi="Arial"/>
                <w:sz w:val="18"/>
                <w:szCs w:val="18"/>
                <w:color w:val="auto"/>
                <w:w w:val="96"/>
              </w:rPr>
              <w:t>MBC Adapters A9-A16 for Illumina®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SA0040</w:t>
            </w:r>
          </w:p>
        </w:tc>
        <w:tc>
          <w:tcPr>
            <w:tcW w:w="4640" w:type="dxa"/>
            <w:vAlign w:val="bottom"/>
          </w:tcPr>
          <w:p>
            <w:pPr>
              <w:jc w:val="center"/>
              <w:ind w:left="629"/>
              <w:spacing w:after="0"/>
              <w:rPr>
                <w:sz w:val="20"/>
                <w:szCs w:val="20"/>
                <w:color w:val="auto"/>
              </w:rPr>
            </w:pPr>
            <w:r>
              <w:rPr>
                <w:rFonts w:ascii="Arial" w:cs="Arial" w:eastAsia="Arial" w:hAnsi="Arial"/>
                <w:sz w:val="18"/>
                <w:szCs w:val="18"/>
                <w:color w:val="auto"/>
                <w:w w:val="96"/>
              </w:rPr>
              <w:t>Archer® MBC Adapters A1-A8 for Illumina®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RS-200-0012</w:t>
            </w:r>
          </w:p>
        </w:tc>
        <w:tc>
          <w:tcPr>
            <w:tcW w:w="4640" w:type="dxa"/>
            <w:vAlign w:val="bottom"/>
          </w:tcPr>
          <w:p>
            <w:pPr>
              <w:jc w:val="center"/>
              <w:ind w:left="629"/>
              <w:spacing w:after="0"/>
              <w:rPr>
                <w:sz w:val="20"/>
                <w:szCs w:val="20"/>
                <w:color w:val="auto"/>
              </w:rPr>
            </w:pPr>
            <w:r>
              <w:rPr>
                <w:rFonts w:ascii="Arial" w:cs="Arial" w:eastAsia="Arial" w:hAnsi="Arial"/>
                <w:sz w:val="18"/>
                <w:szCs w:val="18"/>
                <w:color w:val="auto"/>
                <w:w w:val="93"/>
              </w:rPr>
              <w:t>TruSeq® Small RNA SMP PrepKit v2set 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RS-200-0024</w:t>
            </w:r>
          </w:p>
        </w:tc>
        <w:tc>
          <w:tcPr>
            <w:tcW w:w="4640" w:type="dxa"/>
            <w:vAlign w:val="bottom"/>
          </w:tcPr>
          <w:p>
            <w:pPr>
              <w:jc w:val="center"/>
              <w:ind w:left="629"/>
              <w:spacing w:after="0"/>
              <w:rPr>
                <w:sz w:val="20"/>
                <w:szCs w:val="20"/>
                <w:color w:val="auto"/>
              </w:rPr>
            </w:pPr>
            <w:r>
              <w:rPr>
                <w:rFonts w:ascii="Arial" w:cs="Arial" w:eastAsia="Arial" w:hAnsi="Arial"/>
                <w:sz w:val="18"/>
                <w:szCs w:val="18"/>
                <w:color w:val="auto"/>
                <w:w w:val="93"/>
              </w:rPr>
              <w:t>TruSeq® Small RNA SMP PrepKit v2 set B</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RS-200-0036</w:t>
            </w:r>
          </w:p>
        </w:tc>
        <w:tc>
          <w:tcPr>
            <w:tcW w:w="4640" w:type="dxa"/>
            <w:vAlign w:val="bottom"/>
          </w:tcPr>
          <w:p>
            <w:pPr>
              <w:jc w:val="center"/>
              <w:ind w:left="629"/>
              <w:spacing w:after="0"/>
              <w:rPr>
                <w:sz w:val="20"/>
                <w:szCs w:val="20"/>
                <w:color w:val="auto"/>
              </w:rPr>
            </w:pPr>
            <w:r>
              <w:rPr>
                <w:rFonts w:ascii="Arial" w:cs="Arial" w:eastAsia="Arial" w:hAnsi="Arial"/>
                <w:sz w:val="18"/>
                <w:szCs w:val="18"/>
                <w:color w:val="auto"/>
                <w:w w:val="92"/>
              </w:rPr>
              <w:t>TruSeq® Small RNA SMP PrepKit v2 set C</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RS-200-0048</w:t>
            </w:r>
          </w:p>
        </w:tc>
        <w:tc>
          <w:tcPr>
            <w:tcW w:w="4640" w:type="dxa"/>
            <w:vAlign w:val="bottom"/>
          </w:tcPr>
          <w:p>
            <w:pPr>
              <w:jc w:val="center"/>
              <w:ind w:left="629"/>
              <w:spacing w:after="0"/>
              <w:rPr>
                <w:sz w:val="20"/>
                <w:szCs w:val="20"/>
                <w:color w:val="auto"/>
              </w:rPr>
            </w:pPr>
            <w:r>
              <w:rPr>
                <w:rFonts w:ascii="Arial" w:cs="Arial" w:eastAsia="Arial" w:hAnsi="Arial"/>
                <w:sz w:val="18"/>
                <w:szCs w:val="18"/>
                <w:color w:val="auto"/>
                <w:w w:val="92"/>
              </w:rPr>
              <w:t>TruSeq® Small RNA SMP PrepKit v2 set D</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AB0019</w:t>
            </w:r>
          </w:p>
        </w:tc>
        <w:tc>
          <w:tcPr>
            <w:tcW w:w="4640" w:type="dxa"/>
            <w:vAlign w:val="bottom"/>
          </w:tcPr>
          <w:p>
            <w:pPr>
              <w:jc w:val="center"/>
              <w:ind w:left="609"/>
              <w:spacing w:after="0"/>
              <w:rPr>
                <w:sz w:val="20"/>
                <w:szCs w:val="20"/>
                <w:color w:val="auto"/>
              </w:rPr>
            </w:pPr>
            <w:r>
              <w:rPr>
                <w:rFonts w:ascii="Arial" w:cs="Arial" w:eastAsia="Arial" w:hAnsi="Arial"/>
                <w:sz w:val="18"/>
                <w:szCs w:val="18"/>
                <w:color w:val="auto"/>
                <w:w w:val="94"/>
              </w:rPr>
              <w:t>FusionPlex® Lymphoma, for Illumina®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AB0017</w:t>
            </w:r>
          </w:p>
        </w:tc>
        <w:tc>
          <w:tcPr>
            <w:tcW w:w="4640" w:type="dxa"/>
            <w:vAlign w:val="bottom"/>
          </w:tcPr>
          <w:p>
            <w:pPr>
              <w:ind w:left="1280"/>
              <w:spacing w:after="0"/>
              <w:rPr>
                <w:sz w:val="20"/>
                <w:szCs w:val="20"/>
                <w:color w:val="auto"/>
              </w:rPr>
            </w:pPr>
            <w:r>
              <w:rPr>
                <w:rFonts w:ascii="Arial" w:cs="Arial" w:eastAsia="Arial" w:hAnsi="Arial"/>
                <w:sz w:val="18"/>
                <w:szCs w:val="18"/>
                <w:color w:val="auto"/>
              </w:rPr>
              <w:t>FusionPlex® Pan-Heme, for Illumina®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AB0015</w:t>
            </w:r>
          </w:p>
        </w:tc>
        <w:tc>
          <w:tcPr>
            <w:tcW w:w="4640" w:type="dxa"/>
            <w:vAlign w:val="bottom"/>
          </w:tcPr>
          <w:p>
            <w:pPr>
              <w:jc w:val="center"/>
              <w:ind w:left="689"/>
              <w:spacing w:after="0"/>
              <w:rPr>
                <w:sz w:val="20"/>
                <w:szCs w:val="20"/>
                <w:color w:val="auto"/>
              </w:rPr>
            </w:pPr>
            <w:r>
              <w:rPr>
                <w:rFonts w:ascii="Arial" w:cs="Arial" w:eastAsia="Arial" w:hAnsi="Arial"/>
                <w:sz w:val="18"/>
                <w:szCs w:val="18"/>
                <w:color w:val="auto"/>
                <w:w w:val="96"/>
              </w:rPr>
              <w:t>FusionPlex® Myeloid, for Illumina®</w:t>
            </w:r>
          </w:p>
        </w:tc>
        <w:tc>
          <w:tcPr>
            <w:tcW w:w="8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443"/>
        </w:trPr>
        <w:tc>
          <w:tcPr>
            <w:tcW w:w="1760" w:type="dxa"/>
            <w:vAlign w:val="bottom"/>
          </w:tcPr>
          <w:p>
            <w:pPr>
              <w:spacing w:after="0"/>
              <w:rPr>
                <w:sz w:val="24"/>
                <w:szCs w:val="24"/>
                <w:color w:val="auto"/>
              </w:rPr>
            </w:pPr>
          </w:p>
        </w:tc>
        <w:tc>
          <w:tcPr>
            <w:tcW w:w="4640" w:type="dxa"/>
            <w:vAlign w:val="bottom"/>
          </w:tcPr>
          <w:p>
            <w:pPr>
              <w:ind w:left="1240"/>
              <w:spacing w:after="0"/>
              <w:rPr>
                <w:sz w:val="20"/>
                <w:szCs w:val="20"/>
                <w:color w:val="auto"/>
              </w:rPr>
            </w:pPr>
            <w:r>
              <w:rPr>
                <w:rFonts w:ascii="Arial" w:cs="Arial" w:eastAsia="Arial" w:hAnsi="Arial"/>
                <w:sz w:val="20"/>
                <w:szCs w:val="20"/>
                <w:color w:val="auto"/>
              </w:rPr>
              <w:t>Proposal#</w:t>
            </w:r>
          </w:p>
        </w:tc>
        <w:tc>
          <w:tcPr>
            <w:tcW w:w="80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94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20"/>
                <w:szCs w:val="20"/>
                <w:color w:val="auto"/>
              </w:rPr>
              <w:t>Page 7 of 12</w:t>
            </w:r>
          </w:p>
        </w:tc>
        <w:tc>
          <w:tcPr>
            <w:tcW w:w="20" w:type="dxa"/>
            <w:vAlign w:val="bottom"/>
          </w:tcPr>
          <w:p>
            <w:pPr>
              <w:spacing w:after="0"/>
              <w:rPr>
                <w:sz w:val="24"/>
                <w:szCs w:val="24"/>
                <w:color w:val="auto"/>
              </w:rPr>
            </w:pPr>
          </w:p>
        </w:tc>
      </w:tr>
      <w:tr>
        <w:trPr>
          <w:trHeight w:val="529"/>
        </w:trPr>
        <w:tc>
          <w:tcPr>
            <w:tcW w:w="17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-359410</wp:posOffset>
            </wp:positionV>
            <wp:extent cx="1225550" cy="274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229"/>
        </w:trPr>
        <w:tc>
          <w:tcPr>
            <w:tcW w:w="1760" w:type="dxa"/>
            <w:vAlign w:val="bottom"/>
            <w:tcBorders>
              <w:top w:val="single" w:sz="8" w:color="auto"/>
              <w:left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Catalog #</w:t>
            </w:r>
          </w:p>
        </w:tc>
        <w:tc>
          <w:tcPr>
            <w:tcW w:w="4680" w:type="dxa"/>
            <w:vAlign w:val="bottom"/>
            <w:tcBorders>
              <w:top w:val="single" w:sz="8" w:color="auto"/>
            </w:tcBorders>
            <w:shd w:val="clear" w:color="auto" w:fill="FF9900"/>
          </w:tcPr>
          <w:p>
            <w:pPr>
              <w:jc w:val="center"/>
              <w:ind w:left="649"/>
              <w:spacing w:after="0" w:line="229" w:lineRule="exact"/>
              <w:rPr>
                <w:sz w:val="20"/>
                <w:szCs w:val="20"/>
                <w:color w:val="auto"/>
              </w:rPr>
            </w:pPr>
            <w:r>
              <w:rPr>
                <w:rFonts w:ascii="Arial" w:cs="Arial" w:eastAsia="Arial" w:hAnsi="Arial"/>
                <w:sz w:val="22"/>
                <w:szCs w:val="22"/>
                <w:b w:val="1"/>
                <w:bCs w:val="1"/>
                <w:color w:val="auto"/>
                <w:w w:val="88"/>
              </w:rPr>
              <w:t>Product Description</w:t>
            </w:r>
          </w:p>
        </w:tc>
        <w:tc>
          <w:tcPr>
            <w:tcW w:w="760" w:type="dxa"/>
            <w:vAlign w:val="bottom"/>
            <w:tcBorders>
              <w:top w:val="single" w:sz="8" w:color="auto"/>
              <w:right w:val="single" w:sz="8" w:color="auto"/>
            </w:tcBorders>
            <w:shd w:val="clear" w:color="auto" w:fill="FF9900"/>
          </w:tcPr>
          <w:p>
            <w:pPr>
              <w:spacing w:after="0"/>
              <w:rPr>
                <w:sz w:val="19"/>
                <w:szCs w:val="19"/>
                <w:color w:val="auto"/>
              </w:rPr>
            </w:pPr>
          </w:p>
        </w:tc>
        <w:tc>
          <w:tcPr>
            <w:tcW w:w="194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90"/>
              </w:rPr>
              <w:t>List Price</w:t>
            </w:r>
          </w:p>
        </w:tc>
        <w:tc>
          <w:tcPr>
            <w:tcW w:w="210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Customer Price</w:t>
            </w:r>
          </w:p>
        </w:tc>
        <w:tc>
          <w:tcPr>
            <w:tcW w:w="20" w:type="dxa"/>
            <w:vAlign w:val="bottom"/>
          </w:tcPr>
          <w:p>
            <w:pPr>
              <w:spacing w:after="0"/>
              <w:rPr>
                <w:sz w:val="19"/>
                <w:szCs w:val="19"/>
                <w:color w:val="auto"/>
              </w:rPr>
            </w:pPr>
          </w:p>
        </w:tc>
      </w:tr>
      <w:tr>
        <w:trPr>
          <w:trHeight w:val="280"/>
        </w:trPr>
        <w:tc>
          <w:tcPr>
            <w:tcW w:w="1760" w:type="dxa"/>
            <w:vAlign w:val="bottom"/>
            <w:tcBorders>
              <w:left w:val="single" w:sz="8" w:color="auto"/>
              <w:right w:val="single" w:sz="8" w:color="auto"/>
            </w:tcBorders>
            <w:shd w:val="clear" w:color="auto" w:fill="FF9900"/>
          </w:tcPr>
          <w:p>
            <w:pPr>
              <w:spacing w:after="0"/>
              <w:rPr>
                <w:sz w:val="24"/>
                <w:szCs w:val="24"/>
                <w:color w:val="auto"/>
              </w:rPr>
            </w:pPr>
          </w:p>
        </w:tc>
        <w:tc>
          <w:tcPr>
            <w:tcW w:w="4680" w:type="dxa"/>
            <w:vAlign w:val="bottom"/>
            <w:shd w:val="clear" w:color="auto" w:fill="FF9900"/>
          </w:tcPr>
          <w:p>
            <w:pPr>
              <w:spacing w:after="0"/>
              <w:rPr>
                <w:sz w:val="24"/>
                <w:szCs w:val="24"/>
                <w:color w:val="auto"/>
              </w:rPr>
            </w:pPr>
          </w:p>
        </w:tc>
        <w:tc>
          <w:tcPr>
            <w:tcW w:w="760" w:type="dxa"/>
            <w:vAlign w:val="bottom"/>
            <w:tcBorders>
              <w:right w:val="single" w:sz="8" w:color="auto"/>
            </w:tcBorders>
            <w:shd w:val="clear" w:color="auto" w:fill="FF9900"/>
          </w:tcPr>
          <w:p>
            <w:pPr>
              <w:spacing w:after="0"/>
              <w:rPr>
                <w:sz w:val="24"/>
                <w:szCs w:val="24"/>
                <w:color w:val="auto"/>
              </w:rPr>
            </w:pPr>
          </w:p>
        </w:tc>
        <w:tc>
          <w:tcPr>
            <w:tcW w:w="1940" w:type="dxa"/>
            <w:vAlign w:val="bottom"/>
            <w:tcBorders>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4"/>
              </w:rPr>
              <w:t>(USD)</w:t>
            </w:r>
          </w:p>
        </w:tc>
        <w:tc>
          <w:tcPr>
            <w:tcW w:w="2100" w:type="dxa"/>
            <w:vAlign w:val="bottom"/>
            <w:tcBorders>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1"/>
              </w:rPr>
              <w:t>(USD)</w:t>
            </w:r>
          </w:p>
        </w:tc>
        <w:tc>
          <w:tcPr>
            <w:tcW w:w="20" w:type="dxa"/>
            <w:vAlign w:val="bottom"/>
          </w:tcPr>
          <w:p>
            <w:pPr>
              <w:spacing w:after="0"/>
              <w:rPr>
                <w:sz w:val="24"/>
                <w:szCs w:val="24"/>
                <w:color w:val="auto"/>
              </w:rPr>
            </w:pPr>
          </w:p>
        </w:tc>
      </w:tr>
      <w:tr>
        <w:trPr>
          <w:trHeight w:val="71"/>
        </w:trPr>
        <w:tc>
          <w:tcPr>
            <w:tcW w:w="1760" w:type="dxa"/>
            <w:vAlign w:val="bottom"/>
            <w:tcBorders>
              <w:left w:val="single" w:sz="8" w:color="auto"/>
              <w:bottom w:val="single" w:sz="8" w:color="auto"/>
              <w:right w:val="single" w:sz="8" w:color="auto"/>
            </w:tcBorders>
            <w:shd w:val="clear" w:color="auto" w:fill="FF9900"/>
          </w:tcPr>
          <w:p>
            <w:pPr>
              <w:spacing w:after="0"/>
              <w:rPr>
                <w:sz w:val="6"/>
                <w:szCs w:val="6"/>
                <w:color w:val="auto"/>
              </w:rPr>
            </w:pPr>
          </w:p>
        </w:tc>
        <w:tc>
          <w:tcPr>
            <w:tcW w:w="4680" w:type="dxa"/>
            <w:vAlign w:val="bottom"/>
            <w:tcBorders>
              <w:bottom w:val="single" w:sz="8" w:color="auto"/>
            </w:tcBorders>
            <w:shd w:val="clear" w:color="auto" w:fill="FF9900"/>
          </w:tcPr>
          <w:p>
            <w:pPr>
              <w:spacing w:after="0"/>
              <w:rPr>
                <w:sz w:val="6"/>
                <w:szCs w:val="6"/>
                <w:color w:val="auto"/>
              </w:rPr>
            </w:pPr>
          </w:p>
        </w:tc>
        <w:tc>
          <w:tcPr>
            <w:tcW w:w="760" w:type="dxa"/>
            <w:vAlign w:val="bottom"/>
            <w:tcBorders>
              <w:bottom w:val="single" w:sz="8" w:color="auto"/>
              <w:right w:val="single" w:sz="8" w:color="auto"/>
            </w:tcBorders>
            <w:shd w:val="clear" w:color="auto" w:fill="FF9900"/>
          </w:tcPr>
          <w:p>
            <w:pPr>
              <w:spacing w:after="0"/>
              <w:rPr>
                <w:sz w:val="6"/>
                <w:szCs w:val="6"/>
                <w:color w:val="auto"/>
              </w:rPr>
            </w:pPr>
          </w:p>
        </w:tc>
        <w:tc>
          <w:tcPr>
            <w:tcW w:w="1940" w:type="dxa"/>
            <w:vAlign w:val="bottom"/>
            <w:tcBorders>
              <w:bottom w:val="single" w:sz="8" w:color="auto"/>
              <w:right w:val="single" w:sz="8" w:color="auto"/>
            </w:tcBorders>
            <w:shd w:val="clear" w:color="auto" w:fill="FF9900"/>
          </w:tcPr>
          <w:p>
            <w:pPr>
              <w:spacing w:after="0"/>
              <w:rPr>
                <w:sz w:val="6"/>
                <w:szCs w:val="6"/>
                <w:color w:val="auto"/>
              </w:rPr>
            </w:pPr>
          </w:p>
        </w:tc>
        <w:tc>
          <w:tcPr>
            <w:tcW w:w="2100" w:type="dxa"/>
            <w:vAlign w:val="bottom"/>
            <w:tcBorders>
              <w:bottom w:val="single" w:sz="8" w:color="auto"/>
              <w:right w:val="single" w:sz="8" w:color="auto"/>
            </w:tcBorders>
            <w:shd w:val="clear" w:color="auto" w:fill="FF9900"/>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AB0013</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6"/>
              </w:rPr>
              <w:t>FusionPlex® ALL, for Illumina®</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gridSpan w:val="2"/>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15027865</w:t>
            </w:r>
          </w:p>
        </w:tc>
        <w:tc>
          <w:tcPr>
            <w:tcW w:w="54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NX#-TDE1,TGMNT DNA ENZ,24RXN,FINISH REAG</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15027866</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6"/>
              </w:rPr>
              <w:t>NX#-TD,TAGMENT DNA BUFFER,FINISH REAG</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RS-122-2001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Kit, TruSeq RNA SMP Prep Kit-v2, 48,SetA</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RS-122-2002</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4"/>
              </w:rPr>
              <w:t>Kit, TruSeq RNA SMPle Prep Kit-v2</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AB0011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4"/>
              </w:rPr>
              <w:t>FusionPlex® Heme v2, for Illumina®</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AB0009</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1"/>
              </w:rPr>
              <w:t>FusionPlex® Oncology Research</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FC-130-1003</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6"/>
              </w:rPr>
              <w:t>TruSeq® CTM AMPLCN IDXKit 96 IDX,384 SMP</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FC-130-1007</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5"/>
              </w:rPr>
              <w:t>TruSq® IDX PLT Fixture&amp;Collar Kt 2 Each</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FC-130-1005</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TruSeq® Index Plate Fixture Kit</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FC-130-1006</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TruSeq CSTM Amplicon FLTRPlate 1 Plate)"</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RS-200-1001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0"/>
              </w:rPr>
              <w:t>TruSeq™ RNA EPH Reagent Tube</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FC-131-1024</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5"/>
              </w:rPr>
              <w:t>NXTR® XT DNA SMP Prep Kit (24 SMP)</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FC-121-9999</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TruSeq® FFPE DNA Library PrepQC Kit</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OP-101-1001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TruSight® Tumor 15 Kit</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20029226</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1"/>
              </w:rPr>
              <w:t>TST One Expanded - Oligos (36 Spl)</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FC-133-1001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4"/>
              </w:rPr>
              <w:t>NXTR® XT LIB Prep KT PulseNet (96 SMP)</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OP-101-1002</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4"/>
              </w:rPr>
              <w:t>TruSight® Tumor 15</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OP-101-1004</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1"/>
              </w:rPr>
              <w:t>TruSight Tumor 170</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RH-200-1001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VeriSeq NIPT SMP Prep Kit(48 SMP)</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RH-200-1002</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VeriSeq NIPT SMP Prep Kit(96 SMP)</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FC-151-1002</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TruSeq Methyl Capture EPIC Kit (12 smp)</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FC-151-1003</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TruSeq Methyl Capture EPIC Kit (48 smp)</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20028825</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TG TruSeq Nano DNA HT SMPPrep Kt 96 SMP</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FC-141-2007</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89"/>
              </w:rPr>
              <w:t>TruSight One Expanded Seq Panel (36 smp)</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RS-303-1002</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0"/>
              </w:rPr>
              <w:t>TruSight RNA Pan-Cancer Panel 48smp-SetA</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RS-303-1003</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0"/>
              </w:rPr>
              <w:t>TruSight RNA Pan-Cancer Panel 48smp-SetB</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RS-304-1002</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TruSight® RNA Fusion Panel 48SMP - Set A</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RS-304-1003</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TruSight® RNA Fusion Panel 48SMP - Set B</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20028821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TruSight Tumor 170 Kit - NextSeq v2.5</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20000902</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1"/>
              </w:rPr>
              <w:t>SeqLab TruSeq DNA PCR-Free LibraryPrepHT</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20000903</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SeqLab TruSeq Nano DNA Library Prep HT</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20028216</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4"/>
              </w:rPr>
              <w:t>TruSight Onco 500 DNA/RNA Kt,NSQ(24 Spl)</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20028215</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4"/>
              </w:rPr>
              <w:t>TruSight Onco 500 DNA/RNA Kt (24 Spl)</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20028214</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4"/>
              </w:rPr>
              <w:t>TruSight Onco 500 DNA Kt, NSQ (48 Spl)</w:t>
            </w:r>
          </w:p>
        </w:tc>
        <w:tc>
          <w:tcPr>
            <w:tcW w:w="7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443"/>
        </w:trPr>
        <w:tc>
          <w:tcPr>
            <w:tcW w:w="1760" w:type="dxa"/>
            <w:vAlign w:val="bottom"/>
          </w:tcPr>
          <w:p>
            <w:pPr>
              <w:spacing w:after="0"/>
              <w:rPr>
                <w:sz w:val="24"/>
                <w:szCs w:val="24"/>
                <w:color w:val="auto"/>
              </w:rPr>
            </w:pPr>
          </w:p>
        </w:tc>
        <w:tc>
          <w:tcPr>
            <w:tcW w:w="4680" w:type="dxa"/>
            <w:vAlign w:val="bottom"/>
          </w:tcPr>
          <w:p>
            <w:pPr>
              <w:ind w:left="1240"/>
              <w:spacing w:after="0"/>
              <w:rPr>
                <w:sz w:val="20"/>
                <w:szCs w:val="20"/>
                <w:color w:val="auto"/>
              </w:rPr>
            </w:pPr>
            <w:r>
              <w:rPr>
                <w:rFonts w:ascii="Arial" w:cs="Arial" w:eastAsia="Arial" w:hAnsi="Arial"/>
                <w:sz w:val="20"/>
                <w:szCs w:val="20"/>
                <w:color w:val="auto"/>
              </w:rPr>
              <w:t>Proposal#</w:t>
            </w:r>
          </w:p>
        </w:tc>
        <w:tc>
          <w:tcPr>
            <w:tcW w:w="7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94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20"/>
                <w:szCs w:val="20"/>
                <w:color w:val="auto"/>
              </w:rPr>
              <w:t>Page 8 of 12</w:t>
            </w:r>
          </w:p>
        </w:tc>
        <w:tc>
          <w:tcPr>
            <w:tcW w:w="20" w:type="dxa"/>
            <w:vAlign w:val="bottom"/>
          </w:tcPr>
          <w:p>
            <w:pPr>
              <w:spacing w:after="0"/>
              <w:rPr>
                <w:sz w:val="24"/>
                <w:szCs w:val="24"/>
                <w:color w:val="auto"/>
              </w:rPr>
            </w:pPr>
          </w:p>
        </w:tc>
      </w:tr>
      <w:tr>
        <w:trPr>
          <w:trHeight w:val="529"/>
        </w:trPr>
        <w:tc>
          <w:tcPr>
            <w:tcW w:w="17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-359410</wp:posOffset>
            </wp:positionV>
            <wp:extent cx="1225550"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15" w:name="page116"/>
    <w:bookmarkEnd w:id="115"/>
    <w:tbl>
      <w:tblPr>
        <w:tblLayout w:type="fixed"/>
        <w:tblInd w:w="10" w:type="dxa"/>
        <w:tblCellMar>
          <w:top w:w="0" w:type="dxa"/>
          <w:left w:w="0" w:type="dxa"/>
          <w:bottom w:w="0" w:type="dxa"/>
          <w:right w:w="0" w:type="dxa"/>
        </w:tblCellMar>
      </w:tblPr>
      <w:tr>
        <w:trPr>
          <w:trHeight w:val="229"/>
        </w:trPr>
        <w:tc>
          <w:tcPr>
            <w:tcW w:w="1760" w:type="dxa"/>
            <w:vAlign w:val="bottom"/>
            <w:tcBorders>
              <w:top w:val="single" w:sz="8" w:color="auto"/>
              <w:left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Catalog #</w:t>
            </w:r>
          </w:p>
        </w:tc>
        <w:tc>
          <w:tcPr>
            <w:tcW w:w="4680" w:type="dxa"/>
            <w:vAlign w:val="bottom"/>
            <w:tcBorders>
              <w:top w:val="single" w:sz="8" w:color="auto"/>
            </w:tcBorders>
            <w:shd w:val="clear" w:color="auto" w:fill="FF9900"/>
          </w:tcPr>
          <w:p>
            <w:pPr>
              <w:jc w:val="center"/>
              <w:ind w:left="649"/>
              <w:spacing w:after="0" w:line="229" w:lineRule="exact"/>
              <w:rPr>
                <w:sz w:val="20"/>
                <w:szCs w:val="20"/>
                <w:color w:val="auto"/>
              </w:rPr>
            </w:pPr>
            <w:r>
              <w:rPr>
                <w:rFonts w:ascii="Arial" w:cs="Arial" w:eastAsia="Arial" w:hAnsi="Arial"/>
                <w:sz w:val="22"/>
                <w:szCs w:val="22"/>
                <w:b w:val="1"/>
                <w:bCs w:val="1"/>
                <w:color w:val="auto"/>
                <w:w w:val="88"/>
              </w:rPr>
              <w:t>Product Description</w:t>
            </w:r>
          </w:p>
        </w:tc>
        <w:tc>
          <w:tcPr>
            <w:tcW w:w="760" w:type="dxa"/>
            <w:vAlign w:val="bottom"/>
            <w:tcBorders>
              <w:top w:val="single" w:sz="8" w:color="auto"/>
              <w:right w:val="single" w:sz="8" w:color="auto"/>
            </w:tcBorders>
            <w:shd w:val="clear" w:color="auto" w:fill="FF9900"/>
          </w:tcPr>
          <w:p>
            <w:pPr>
              <w:spacing w:after="0"/>
              <w:rPr>
                <w:sz w:val="19"/>
                <w:szCs w:val="19"/>
                <w:color w:val="auto"/>
              </w:rPr>
            </w:pPr>
          </w:p>
        </w:tc>
        <w:tc>
          <w:tcPr>
            <w:tcW w:w="400" w:type="dxa"/>
            <w:vAlign w:val="bottom"/>
            <w:tcBorders>
              <w:top w:val="single" w:sz="8" w:color="auto"/>
            </w:tcBorders>
            <w:shd w:val="clear" w:color="auto" w:fill="FF9900"/>
          </w:tcPr>
          <w:p>
            <w:pPr>
              <w:spacing w:after="0"/>
              <w:rPr>
                <w:sz w:val="19"/>
                <w:szCs w:val="19"/>
                <w:color w:val="auto"/>
              </w:rPr>
            </w:pPr>
          </w:p>
        </w:tc>
        <w:tc>
          <w:tcPr>
            <w:tcW w:w="1540" w:type="dxa"/>
            <w:vAlign w:val="bottom"/>
            <w:tcBorders>
              <w:top w:val="single" w:sz="8" w:color="auto"/>
              <w:right w:val="single" w:sz="8" w:color="auto"/>
            </w:tcBorders>
            <w:shd w:val="clear" w:color="auto" w:fill="FF9900"/>
          </w:tcPr>
          <w:p>
            <w:pPr>
              <w:jc w:val="center"/>
              <w:ind w:right="349"/>
              <w:spacing w:after="0" w:line="229" w:lineRule="exact"/>
              <w:rPr>
                <w:sz w:val="20"/>
                <w:szCs w:val="20"/>
                <w:color w:val="auto"/>
              </w:rPr>
            </w:pPr>
            <w:r>
              <w:rPr>
                <w:rFonts w:ascii="Arial" w:cs="Arial" w:eastAsia="Arial" w:hAnsi="Arial"/>
                <w:sz w:val="22"/>
                <w:szCs w:val="22"/>
                <w:b w:val="1"/>
                <w:bCs w:val="1"/>
                <w:color w:val="auto"/>
                <w:w w:val="90"/>
              </w:rPr>
              <w:t>List Price</w:t>
            </w:r>
          </w:p>
        </w:tc>
        <w:tc>
          <w:tcPr>
            <w:tcW w:w="210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Customer Price</w:t>
            </w:r>
          </w:p>
        </w:tc>
        <w:tc>
          <w:tcPr>
            <w:tcW w:w="20" w:type="dxa"/>
            <w:vAlign w:val="bottom"/>
          </w:tcPr>
          <w:p>
            <w:pPr>
              <w:spacing w:after="0"/>
              <w:rPr>
                <w:sz w:val="19"/>
                <w:szCs w:val="19"/>
                <w:color w:val="auto"/>
              </w:rPr>
            </w:pPr>
          </w:p>
        </w:tc>
      </w:tr>
      <w:tr>
        <w:trPr>
          <w:trHeight w:val="280"/>
        </w:trPr>
        <w:tc>
          <w:tcPr>
            <w:tcW w:w="1760" w:type="dxa"/>
            <w:vAlign w:val="bottom"/>
            <w:tcBorders>
              <w:left w:val="single" w:sz="8" w:color="auto"/>
              <w:right w:val="single" w:sz="8" w:color="auto"/>
            </w:tcBorders>
            <w:shd w:val="clear" w:color="auto" w:fill="FF9900"/>
          </w:tcPr>
          <w:p>
            <w:pPr>
              <w:spacing w:after="0"/>
              <w:rPr>
                <w:sz w:val="24"/>
                <w:szCs w:val="24"/>
                <w:color w:val="auto"/>
              </w:rPr>
            </w:pPr>
          </w:p>
        </w:tc>
        <w:tc>
          <w:tcPr>
            <w:tcW w:w="4680" w:type="dxa"/>
            <w:vAlign w:val="bottom"/>
            <w:shd w:val="clear" w:color="auto" w:fill="FF9900"/>
          </w:tcPr>
          <w:p>
            <w:pPr>
              <w:spacing w:after="0"/>
              <w:rPr>
                <w:sz w:val="24"/>
                <w:szCs w:val="24"/>
                <w:color w:val="auto"/>
              </w:rPr>
            </w:pPr>
          </w:p>
        </w:tc>
        <w:tc>
          <w:tcPr>
            <w:tcW w:w="760" w:type="dxa"/>
            <w:vAlign w:val="bottom"/>
            <w:tcBorders>
              <w:right w:val="single" w:sz="8" w:color="auto"/>
            </w:tcBorders>
            <w:shd w:val="clear" w:color="auto" w:fill="FF9900"/>
          </w:tcPr>
          <w:p>
            <w:pPr>
              <w:spacing w:after="0"/>
              <w:rPr>
                <w:sz w:val="24"/>
                <w:szCs w:val="24"/>
                <w:color w:val="auto"/>
              </w:rPr>
            </w:pPr>
          </w:p>
        </w:tc>
        <w:tc>
          <w:tcPr>
            <w:tcW w:w="400" w:type="dxa"/>
            <w:vAlign w:val="bottom"/>
            <w:shd w:val="clear" w:color="auto" w:fill="FF9900"/>
          </w:tcPr>
          <w:p>
            <w:pPr>
              <w:spacing w:after="0"/>
              <w:rPr>
                <w:sz w:val="24"/>
                <w:szCs w:val="24"/>
                <w:color w:val="auto"/>
              </w:rPr>
            </w:pPr>
          </w:p>
        </w:tc>
        <w:tc>
          <w:tcPr>
            <w:tcW w:w="1540" w:type="dxa"/>
            <w:vAlign w:val="bottom"/>
            <w:tcBorders>
              <w:right w:val="single" w:sz="8" w:color="auto"/>
            </w:tcBorders>
            <w:shd w:val="clear" w:color="auto" w:fill="FF9900"/>
          </w:tcPr>
          <w:p>
            <w:pPr>
              <w:jc w:val="center"/>
              <w:ind w:right="349"/>
              <w:spacing w:after="0"/>
              <w:rPr>
                <w:sz w:val="20"/>
                <w:szCs w:val="20"/>
                <w:color w:val="auto"/>
              </w:rPr>
            </w:pPr>
            <w:r>
              <w:rPr>
                <w:rFonts w:ascii="Arial" w:cs="Arial" w:eastAsia="Arial" w:hAnsi="Arial"/>
                <w:sz w:val="22"/>
                <w:szCs w:val="22"/>
                <w:b w:val="1"/>
                <w:bCs w:val="1"/>
                <w:color w:val="auto"/>
                <w:w w:val="94"/>
              </w:rPr>
              <w:t>(USD)</w:t>
            </w:r>
          </w:p>
        </w:tc>
        <w:tc>
          <w:tcPr>
            <w:tcW w:w="2100" w:type="dxa"/>
            <w:vAlign w:val="bottom"/>
            <w:tcBorders>
              <w:right w:val="single" w:sz="8" w:color="auto"/>
            </w:tcBorders>
            <w:shd w:val="clear" w:color="auto" w:fill="FF9900"/>
          </w:tcPr>
          <w:p>
            <w:pPr>
              <w:jc w:val="center"/>
              <w:spacing w:after="0"/>
              <w:rPr>
                <w:sz w:val="20"/>
                <w:szCs w:val="20"/>
                <w:color w:val="auto"/>
              </w:rPr>
            </w:pPr>
            <w:r>
              <w:rPr>
                <w:rFonts w:ascii="Arial" w:cs="Arial" w:eastAsia="Arial" w:hAnsi="Arial"/>
                <w:sz w:val="22"/>
                <w:szCs w:val="22"/>
                <w:b w:val="1"/>
                <w:bCs w:val="1"/>
                <w:color w:val="auto"/>
                <w:w w:val="91"/>
              </w:rPr>
              <w:t>(USD)</w:t>
            </w:r>
          </w:p>
        </w:tc>
        <w:tc>
          <w:tcPr>
            <w:tcW w:w="20" w:type="dxa"/>
            <w:vAlign w:val="bottom"/>
          </w:tcPr>
          <w:p>
            <w:pPr>
              <w:spacing w:after="0"/>
              <w:rPr>
                <w:sz w:val="24"/>
                <w:szCs w:val="24"/>
                <w:color w:val="auto"/>
              </w:rPr>
            </w:pPr>
          </w:p>
        </w:tc>
      </w:tr>
      <w:tr>
        <w:trPr>
          <w:trHeight w:val="71"/>
        </w:trPr>
        <w:tc>
          <w:tcPr>
            <w:tcW w:w="1760" w:type="dxa"/>
            <w:vAlign w:val="bottom"/>
            <w:tcBorders>
              <w:left w:val="single" w:sz="8" w:color="auto"/>
              <w:bottom w:val="single" w:sz="8" w:color="auto"/>
              <w:right w:val="single" w:sz="8" w:color="auto"/>
            </w:tcBorders>
            <w:shd w:val="clear" w:color="auto" w:fill="FF9900"/>
          </w:tcPr>
          <w:p>
            <w:pPr>
              <w:spacing w:after="0"/>
              <w:rPr>
                <w:sz w:val="6"/>
                <w:szCs w:val="6"/>
                <w:color w:val="auto"/>
              </w:rPr>
            </w:pPr>
          </w:p>
        </w:tc>
        <w:tc>
          <w:tcPr>
            <w:tcW w:w="4680" w:type="dxa"/>
            <w:vAlign w:val="bottom"/>
            <w:tcBorders>
              <w:bottom w:val="single" w:sz="8" w:color="auto"/>
            </w:tcBorders>
            <w:shd w:val="clear" w:color="auto" w:fill="FF9900"/>
          </w:tcPr>
          <w:p>
            <w:pPr>
              <w:spacing w:after="0"/>
              <w:rPr>
                <w:sz w:val="6"/>
                <w:szCs w:val="6"/>
                <w:color w:val="auto"/>
              </w:rPr>
            </w:pPr>
          </w:p>
        </w:tc>
        <w:tc>
          <w:tcPr>
            <w:tcW w:w="760" w:type="dxa"/>
            <w:vAlign w:val="bottom"/>
            <w:tcBorders>
              <w:bottom w:val="single" w:sz="8" w:color="auto"/>
              <w:right w:val="single" w:sz="8" w:color="auto"/>
            </w:tcBorders>
            <w:shd w:val="clear" w:color="auto" w:fill="FF9900"/>
          </w:tcPr>
          <w:p>
            <w:pPr>
              <w:spacing w:after="0"/>
              <w:rPr>
                <w:sz w:val="6"/>
                <w:szCs w:val="6"/>
                <w:color w:val="auto"/>
              </w:rPr>
            </w:pPr>
          </w:p>
        </w:tc>
        <w:tc>
          <w:tcPr>
            <w:tcW w:w="400" w:type="dxa"/>
            <w:vAlign w:val="bottom"/>
            <w:tcBorders>
              <w:bottom w:val="single" w:sz="8" w:color="auto"/>
            </w:tcBorders>
            <w:shd w:val="clear" w:color="auto" w:fill="FF9900"/>
          </w:tcPr>
          <w:p>
            <w:pPr>
              <w:spacing w:after="0"/>
              <w:rPr>
                <w:sz w:val="6"/>
                <w:szCs w:val="6"/>
                <w:color w:val="auto"/>
              </w:rPr>
            </w:pPr>
          </w:p>
        </w:tc>
        <w:tc>
          <w:tcPr>
            <w:tcW w:w="1540" w:type="dxa"/>
            <w:vAlign w:val="bottom"/>
            <w:tcBorders>
              <w:bottom w:val="single" w:sz="8" w:color="auto"/>
              <w:right w:val="single" w:sz="8" w:color="auto"/>
            </w:tcBorders>
            <w:shd w:val="clear" w:color="auto" w:fill="FF9900"/>
          </w:tcPr>
          <w:p>
            <w:pPr>
              <w:spacing w:after="0"/>
              <w:rPr>
                <w:sz w:val="6"/>
                <w:szCs w:val="6"/>
                <w:color w:val="auto"/>
              </w:rPr>
            </w:pPr>
          </w:p>
        </w:tc>
        <w:tc>
          <w:tcPr>
            <w:tcW w:w="2100" w:type="dxa"/>
            <w:vAlign w:val="bottom"/>
            <w:tcBorders>
              <w:bottom w:val="single" w:sz="8" w:color="auto"/>
              <w:right w:val="single" w:sz="8" w:color="auto"/>
            </w:tcBorders>
            <w:shd w:val="clear" w:color="auto" w:fill="FF9900"/>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20028213</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TruSight Onco 500 DNA Kt (48 Spl)</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20005170</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TruSight HLA v2 (24 samples Automated)</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20005718</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TruSeq Custom Amplicon Kit Dx</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FC-452-1001</w:t>
            </w:r>
          </w:p>
        </w:tc>
        <w:tc>
          <w:tcPr>
            <w:tcW w:w="4680" w:type="dxa"/>
            <w:vAlign w:val="bottom"/>
          </w:tcPr>
          <w:p>
            <w:pPr>
              <w:jc w:val="center"/>
              <w:ind w:left="629"/>
              <w:spacing w:after="0"/>
              <w:rPr>
                <w:sz w:val="20"/>
                <w:szCs w:val="20"/>
                <w:color w:val="auto"/>
              </w:rPr>
            </w:pPr>
            <w:r>
              <w:rPr>
                <w:rFonts w:ascii="Arial" w:cs="Arial" w:eastAsia="Arial" w:hAnsi="Arial"/>
                <w:sz w:val="18"/>
                <w:szCs w:val="18"/>
                <w:color w:val="auto"/>
                <w:w w:val="90"/>
              </w:rPr>
              <w:t>ForenSeq™ Human Sequencing Control</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FC-141-1006</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0"/>
              </w:rPr>
              <w:t>TruSight One SEQ Panel(9 SMPles)</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AB0003</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FusionPlex® Sarcoma, for Illumina®</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AB0001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FusionPlex® Alk Ret Ros1 v2</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20032629</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TST170 Kit-NextSeq v2.5(24spl)+PierianDx</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20032628</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TST170 Kit (24 Samples)+PierianDx</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20032627</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5"/>
              </w:rPr>
              <w:t>TSO500 DNA/RNA Kit NextSeq (24)PierianDx</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20032626</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6"/>
              </w:rPr>
              <w:t>TSO500 DNA/RNA Kit (24Spl)+PierianDx</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20032625</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TSO500 DNA Kit NextSeq (48Spl)+PerianDx</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20032624</w:t>
            </w:r>
          </w:p>
        </w:tc>
        <w:tc>
          <w:tcPr>
            <w:tcW w:w="4680" w:type="dxa"/>
            <w:vAlign w:val="bottom"/>
          </w:tcPr>
          <w:p>
            <w:pPr>
              <w:jc w:val="center"/>
              <w:ind w:left="629"/>
              <w:spacing w:after="0"/>
              <w:rPr>
                <w:sz w:val="20"/>
                <w:szCs w:val="20"/>
                <w:color w:val="auto"/>
              </w:rPr>
            </w:pPr>
            <w:r>
              <w:rPr>
                <w:rFonts w:ascii="Arial" w:cs="Arial" w:eastAsia="Arial" w:hAnsi="Arial"/>
                <w:sz w:val="18"/>
                <w:szCs w:val="18"/>
                <w:color w:val="auto"/>
                <w:w w:val="93"/>
              </w:rPr>
              <w:t>TSO500 DNA Kit (48 samples)+PierianDx</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FC-141-1007</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0"/>
              </w:rPr>
              <w:t>TruSight One SEQ Panel(36 SMPles)"</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FC-141-1010</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TrSt-Crd-Sq-Kt(MSQ®,12 spls,v2 Ch)</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FC-141-1011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TrSt-Crd-Sq-Kt(NSQ®,48 spls,Mid OTP)</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20029551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1"/>
              </w:rPr>
              <w:t>TST Hereditary Cancer – oligos (48 spl)</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20029550</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TruSeq Neuro - oligos (48 spl)</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FC-131-2001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6"/>
              </w:rPr>
              <w:t>NXTR® XT IDX Kt v2 Set A 96 IDXS,384 SMP</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FC-131-2002</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6"/>
              </w:rPr>
              <w:t>NXTR® XT IDX Kt v2 Set B 96 IDXS,384 SMP</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FC-131-2003</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6"/>
              </w:rPr>
              <w:t>NXTR® XT IDX Kt v2 Set C 96 IDXS,384 SMP</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FC-131-2004</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6"/>
              </w:rPr>
              <w:t>NXTR® XT IDX Kt v2 Set D 96 IDXS,384 SMP</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20029274</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TG Library Prep Partner Kit</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FC-142-1001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1"/>
              </w:rPr>
              <w:t>TruSight HLA Seq Panel (24 smp)</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FC-451-1001</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1"/>
              </w:rPr>
              <w:t>ForenSeq™ Index Adapter Fixture</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20029229</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2"/>
              </w:rPr>
              <w:t>TST Cardio - Oligos (48 Spl)</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20029227</w:t>
            </w:r>
          </w:p>
        </w:tc>
        <w:tc>
          <w:tcPr>
            <w:tcW w:w="4680" w:type="dxa"/>
            <w:vAlign w:val="bottom"/>
          </w:tcPr>
          <w:p>
            <w:pPr>
              <w:jc w:val="center"/>
              <w:ind w:left="649"/>
              <w:spacing w:after="0"/>
              <w:rPr>
                <w:sz w:val="20"/>
                <w:szCs w:val="20"/>
                <w:color w:val="auto"/>
              </w:rPr>
            </w:pPr>
            <w:r>
              <w:rPr>
                <w:rFonts w:ascii="Arial" w:cs="Arial" w:eastAsia="Arial" w:hAnsi="Arial"/>
                <w:sz w:val="18"/>
                <w:szCs w:val="18"/>
                <w:color w:val="auto"/>
                <w:w w:val="93"/>
              </w:rPr>
              <w:t>TST One - Oligos (36 Spl)</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gridSpan w:val="2"/>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95"/>
        </w:trPr>
        <w:tc>
          <w:tcPr>
            <w:tcW w:w="1760" w:type="dxa"/>
            <w:vAlign w:val="bottom"/>
            <w:tcBorders>
              <w:left w:val="single" w:sz="8" w:color="auto"/>
              <w:bottom w:val="single" w:sz="8" w:color="C0C0C0"/>
              <w:right w:val="single" w:sz="8" w:color="C0C0C0"/>
            </w:tcBorders>
            <w:shd w:val="clear" w:color="auto" w:fill="C0C0C0"/>
          </w:tcPr>
          <w:p>
            <w:pPr>
              <w:spacing w:after="0"/>
              <w:rPr>
                <w:sz w:val="24"/>
                <w:szCs w:val="24"/>
                <w:color w:val="auto"/>
              </w:rPr>
            </w:pPr>
          </w:p>
        </w:tc>
        <w:tc>
          <w:tcPr>
            <w:tcW w:w="5840" w:type="dxa"/>
            <w:vAlign w:val="bottom"/>
            <w:tcBorders>
              <w:bottom w:val="single" w:sz="8" w:color="C0C0C0"/>
            </w:tcBorders>
            <w:gridSpan w:val="3"/>
            <w:shd w:val="clear" w:color="auto" w:fill="C0C0C0"/>
          </w:tcPr>
          <w:p>
            <w:pPr>
              <w:ind w:left="1980"/>
              <w:spacing w:after="0"/>
              <w:rPr>
                <w:sz w:val="20"/>
                <w:szCs w:val="20"/>
                <w:color w:val="auto"/>
              </w:rPr>
            </w:pPr>
            <w:r>
              <w:rPr>
                <w:rFonts w:ascii="Arial" w:cs="Arial" w:eastAsia="Arial" w:hAnsi="Arial"/>
                <w:sz w:val="18"/>
                <w:szCs w:val="18"/>
                <w:b w:val="1"/>
                <w:bCs w:val="1"/>
                <w:color w:val="FFFFFF"/>
              </w:rPr>
              <w:t>SBS and Cluster Generation Sequencing Co</w:t>
            </w:r>
          </w:p>
        </w:tc>
        <w:tc>
          <w:tcPr>
            <w:tcW w:w="1540" w:type="dxa"/>
            <w:vAlign w:val="bottom"/>
            <w:tcBorders>
              <w:bottom w:val="single" w:sz="8" w:color="C0C0C0"/>
              <w:right w:val="single" w:sz="8" w:color="C0C0C0"/>
            </w:tcBorders>
            <w:shd w:val="clear" w:color="auto" w:fill="C0C0C0"/>
          </w:tcPr>
          <w:p>
            <w:pPr>
              <w:spacing w:after="0"/>
              <w:rPr>
                <w:sz w:val="24"/>
                <w:szCs w:val="24"/>
                <w:color w:val="auto"/>
              </w:rPr>
            </w:pPr>
          </w:p>
        </w:tc>
        <w:tc>
          <w:tcPr>
            <w:tcW w:w="2100" w:type="dxa"/>
            <w:vAlign w:val="bottom"/>
            <w:tcBorders>
              <w:bottom w:val="single" w:sz="8" w:color="C0C0C0"/>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FC-401-4003</w:t>
            </w:r>
          </w:p>
        </w:tc>
        <w:tc>
          <w:tcPr>
            <w:tcW w:w="4680" w:type="dxa"/>
            <w:vAlign w:val="bottom"/>
            <w:tcBorders>
              <w:top w:val="single" w:sz="8" w:color="auto"/>
            </w:tcBorders>
          </w:tcPr>
          <w:p>
            <w:pPr>
              <w:jc w:val="center"/>
              <w:ind w:left="1449"/>
              <w:spacing w:after="0"/>
              <w:rPr>
                <w:sz w:val="20"/>
                <w:szCs w:val="20"/>
                <w:color w:val="auto"/>
              </w:rPr>
            </w:pPr>
            <w:r>
              <w:rPr>
                <w:rFonts w:ascii="Arial" w:cs="Arial" w:eastAsia="Arial" w:hAnsi="Arial"/>
                <w:sz w:val="18"/>
                <w:szCs w:val="18"/>
                <w:color w:val="auto"/>
                <w:w w:val="93"/>
              </w:rPr>
              <w:t>HiSeq® SBS Kit v4 (250 Cycle)</w:t>
            </w:r>
          </w:p>
        </w:tc>
        <w:tc>
          <w:tcPr>
            <w:tcW w:w="760" w:type="dxa"/>
            <w:vAlign w:val="bottom"/>
            <w:tcBorders>
              <w:top w:val="single" w:sz="8" w:color="auto"/>
              <w:right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540" w:type="dxa"/>
            <w:vAlign w:val="bottom"/>
            <w:tcBorders>
              <w:top w:val="single" w:sz="8" w:color="auto"/>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FC-402-4023</w:t>
            </w:r>
          </w:p>
        </w:tc>
        <w:tc>
          <w:tcPr>
            <w:tcW w:w="4680" w:type="dxa"/>
            <w:vAlign w:val="bottom"/>
          </w:tcPr>
          <w:p>
            <w:pPr>
              <w:jc w:val="center"/>
              <w:ind w:left="1449"/>
              <w:spacing w:after="0"/>
              <w:rPr>
                <w:sz w:val="20"/>
                <w:szCs w:val="20"/>
                <w:color w:val="auto"/>
              </w:rPr>
            </w:pPr>
            <w:r>
              <w:rPr>
                <w:rFonts w:ascii="Arial" w:cs="Arial" w:eastAsia="Arial" w:hAnsi="Arial"/>
                <w:sz w:val="18"/>
                <w:szCs w:val="18"/>
                <w:color w:val="auto"/>
                <w:w w:val="93"/>
              </w:rPr>
              <w:t>HiSeq® Rapid SBS Kit v2 (500 cycles)</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FC-402-4021</w:t>
            </w:r>
          </w:p>
        </w:tc>
        <w:tc>
          <w:tcPr>
            <w:tcW w:w="4680" w:type="dxa"/>
            <w:vAlign w:val="bottom"/>
          </w:tcPr>
          <w:p>
            <w:pPr>
              <w:jc w:val="center"/>
              <w:ind w:left="1449"/>
              <w:spacing w:after="0"/>
              <w:rPr>
                <w:sz w:val="20"/>
                <w:szCs w:val="20"/>
                <w:color w:val="auto"/>
              </w:rPr>
            </w:pPr>
            <w:r>
              <w:rPr>
                <w:rFonts w:ascii="Arial" w:cs="Arial" w:eastAsia="Arial" w:hAnsi="Arial"/>
                <w:sz w:val="18"/>
                <w:szCs w:val="18"/>
                <w:color w:val="auto"/>
                <w:w w:val="93"/>
              </w:rPr>
              <w:t>HiSeq® Rapid SBS Kit v2 (200 cycles)</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FC-402-4022</w:t>
            </w:r>
          </w:p>
        </w:tc>
        <w:tc>
          <w:tcPr>
            <w:tcW w:w="4680" w:type="dxa"/>
            <w:vAlign w:val="bottom"/>
          </w:tcPr>
          <w:p>
            <w:pPr>
              <w:jc w:val="center"/>
              <w:ind w:left="1449"/>
              <w:spacing w:after="0"/>
              <w:rPr>
                <w:sz w:val="20"/>
                <w:szCs w:val="20"/>
                <w:color w:val="auto"/>
              </w:rPr>
            </w:pPr>
            <w:r>
              <w:rPr>
                <w:rFonts w:ascii="Arial" w:cs="Arial" w:eastAsia="Arial" w:hAnsi="Arial"/>
                <w:sz w:val="18"/>
                <w:szCs w:val="18"/>
                <w:color w:val="auto"/>
                <w:w w:val="93"/>
              </w:rPr>
              <w:t>HiSeq® Rapid SBS Kit v2 (50 cycles)</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GD-401-3001</w:t>
            </w:r>
          </w:p>
        </w:tc>
        <w:tc>
          <w:tcPr>
            <w:tcW w:w="4680" w:type="dxa"/>
            <w:vAlign w:val="bottom"/>
          </w:tcPr>
          <w:p>
            <w:pPr>
              <w:jc w:val="center"/>
              <w:ind w:left="1449"/>
              <w:spacing w:after="0"/>
              <w:rPr>
                <w:sz w:val="20"/>
                <w:szCs w:val="20"/>
                <w:color w:val="auto"/>
              </w:rPr>
            </w:pPr>
            <w:r>
              <w:rPr>
                <w:rFonts w:ascii="Arial" w:cs="Arial" w:eastAsia="Arial" w:hAnsi="Arial"/>
                <w:sz w:val="18"/>
                <w:szCs w:val="18"/>
                <w:color w:val="auto"/>
                <w:w w:val="92"/>
              </w:rPr>
              <w:t>TruSeq® SR Cluster Kit v3 – cBot™ - HS</w:t>
            </w: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gridSpan w:val="2"/>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PE-401-3001</w:t>
            </w:r>
          </w:p>
        </w:tc>
        <w:tc>
          <w:tcPr>
            <w:tcW w:w="5440" w:type="dxa"/>
            <w:vAlign w:val="bottom"/>
            <w:tcBorders>
              <w:right w:val="single" w:sz="8" w:color="auto"/>
            </w:tcBorders>
            <w:gridSpan w:val="2"/>
          </w:tcPr>
          <w:p>
            <w:pPr>
              <w:jc w:val="right"/>
              <w:ind w:right="501"/>
              <w:spacing w:after="0"/>
              <w:rPr>
                <w:sz w:val="20"/>
                <w:szCs w:val="20"/>
                <w:color w:val="auto"/>
              </w:rPr>
            </w:pPr>
            <w:r>
              <w:rPr>
                <w:rFonts w:ascii="Arial" w:cs="Arial" w:eastAsia="Arial" w:hAnsi="Arial"/>
                <w:sz w:val="18"/>
                <w:szCs w:val="18"/>
                <w:color w:val="auto"/>
              </w:rPr>
              <w:t>TruSeq® PE Cluster Kit v3 – cBot™ - HS</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gridSpan w:val="2"/>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4"/>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FC-401-3001</w:t>
            </w:r>
          </w:p>
        </w:tc>
        <w:tc>
          <w:tcPr>
            <w:tcW w:w="5440" w:type="dxa"/>
            <w:vAlign w:val="bottom"/>
            <w:tcBorders>
              <w:right w:val="single" w:sz="8" w:color="auto"/>
            </w:tcBorders>
            <w:gridSpan w:val="2"/>
          </w:tcPr>
          <w:p>
            <w:pPr>
              <w:jc w:val="right"/>
              <w:ind w:right="481"/>
              <w:spacing w:after="0"/>
              <w:rPr>
                <w:sz w:val="20"/>
                <w:szCs w:val="20"/>
                <w:color w:val="auto"/>
              </w:rPr>
            </w:pPr>
            <w:r>
              <w:rPr>
                <w:rFonts w:ascii="Arial" w:cs="Arial" w:eastAsia="Arial" w:hAnsi="Arial"/>
                <w:sz w:val="18"/>
                <w:szCs w:val="18"/>
                <w:color w:val="auto"/>
              </w:rPr>
              <w:t>TruSeq SBS KIT v3 - HS (200 CYCLES)</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left w:val="single" w:sz="8" w:color="auto"/>
              <w:bottom w:val="single" w:sz="8" w:color="auto"/>
              <w:right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443"/>
        </w:trPr>
        <w:tc>
          <w:tcPr>
            <w:tcW w:w="1760" w:type="dxa"/>
            <w:vAlign w:val="bottom"/>
          </w:tcPr>
          <w:p>
            <w:pPr>
              <w:spacing w:after="0"/>
              <w:rPr>
                <w:sz w:val="24"/>
                <w:szCs w:val="24"/>
                <w:color w:val="auto"/>
              </w:rPr>
            </w:pPr>
          </w:p>
        </w:tc>
        <w:tc>
          <w:tcPr>
            <w:tcW w:w="4680" w:type="dxa"/>
            <w:vAlign w:val="bottom"/>
          </w:tcPr>
          <w:p>
            <w:pPr>
              <w:ind w:left="1240"/>
              <w:spacing w:after="0"/>
              <w:rPr>
                <w:sz w:val="20"/>
                <w:szCs w:val="20"/>
                <w:color w:val="auto"/>
              </w:rPr>
            </w:pPr>
            <w:r>
              <w:rPr>
                <w:rFonts w:ascii="Arial" w:cs="Arial" w:eastAsia="Arial" w:hAnsi="Arial"/>
                <w:sz w:val="20"/>
                <w:szCs w:val="20"/>
                <w:color w:val="auto"/>
              </w:rPr>
              <w:t>Proposal#</w:t>
            </w:r>
          </w:p>
        </w:tc>
        <w:tc>
          <w:tcPr>
            <w:tcW w:w="7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00" w:type="dxa"/>
            <w:vAlign w:val="bottom"/>
          </w:tcPr>
          <w:p>
            <w:pPr>
              <w:ind w:left="280"/>
              <w:spacing w:after="0"/>
              <w:rPr>
                <w:sz w:val="20"/>
                <w:szCs w:val="20"/>
                <w:color w:val="auto"/>
              </w:rPr>
            </w:pPr>
            <w:r>
              <w:rPr>
                <w:rFonts w:ascii="Arial" w:cs="Arial" w:eastAsia="Arial" w:hAnsi="Arial"/>
                <w:sz w:val="20"/>
                <w:szCs w:val="20"/>
                <w:color w:val="auto"/>
              </w:rPr>
              <w:t>Page 9 of 12</w:t>
            </w:r>
          </w:p>
        </w:tc>
        <w:tc>
          <w:tcPr>
            <w:tcW w:w="20" w:type="dxa"/>
            <w:vAlign w:val="bottom"/>
          </w:tcPr>
          <w:p>
            <w:pPr>
              <w:spacing w:after="0"/>
              <w:rPr>
                <w:sz w:val="24"/>
                <w:szCs w:val="24"/>
                <w:color w:val="auto"/>
              </w:rPr>
            </w:pPr>
          </w:p>
        </w:tc>
      </w:tr>
      <w:tr>
        <w:trPr>
          <w:trHeight w:val="530"/>
        </w:trPr>
        <w:tc>
          <w:tcPr>
            <w:tcW w:w="17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-359410</wp:posOffset>
            </wp:positionV>
            <wp:extent cx="1225550" cy="274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9"/>
        </w:trPr>
        <w:tc>
          <w:tcPr>
            <w:tcW w:w="176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Catalog #</w:t>
            </w:r>
          </w:p>
        </w:tc>
        <w:tc>
          <w:tcPr>
            <w:tcW w:w="5440" w:type="dxa"/>
            <w:vAlign w:val="bottom"/>
            <w:tcBorders>
              <w:top w:val="single" w:sz="8" w:color="auto"/>
              <w:right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Product Description</w:t>
            </w:r>
          </w:p>
        </w:tc>
        <w:tc>
          <w:tcPr>
            <w:tcW w:w="400" w:type="dxa"/>
            <w:vAlign w:val="bottom"/>
            <w:tcBorders>
              <w:top w:val="single" w:sz="8" w:color="auto"/>
            </w:tcBorders>
            <w:shd w:val="clear" w:color="auto" w:fill="FF9900"/>
          </w:tcPr>
          <w:p>
            <w:pPr>
              <w:spacing w:after="0"/>
              <w:rPr>
                <w:sz w:val="19"/>
                <w:szCs w:val="19"/>
                <w:color w:val="auto"/>
              </w:rPr>
            </w:pPr>
          </w:p>
        </w:tc>
        <w:tc>
          <w:tcPr>
            <w:tcW w:w="1540" w:type="dxa"/>
            <w:vAlign w:val="bottom"/>
            <w:tcBorders>
              <w:top w:val="single" w:sz="8" w:color="auto"/>
              <w:right w:val="single" w:sz="8" w:color="auto"/>
            </w:tcBorders>
            <w:shd w:val="clear" w:color="auto" w:fill="FF9900"/>
          </w:tcPr>
          <w:p>
            <w:pPr>
              <w:jc w:val="center"/>
              <w:ind w:right="349"/>
              <w:spacing w:after="0" w:line="229" w:lineRule="exact"/>
              <w:rPr>
                <w:sz w:val="20"/>
                <w:szCs w:val="20"/>
                <w:color w:val="auto"/>
              </w:rPr>
            </w:pPr>
            <w:r>
              <w:rPr>
                <w:rFonts w:ascii="Arial" w:cs="Arial" w:eastAsia="Arial" w:hAnsi="Arial"/>
                <w:sz w:val="22"/>
                <w:szCs w:val="22"/>
                <w:b w:val="1"/>
                <w:bCs w:val="1"/>
                <w:color w:val="auto"/>
                <w:w w:val="90"/>
              </w:rPr>
              <w:t>List Price</w:t>
            </w:r>
          </w:p>
        </w:tc>
        <w:tc>
          <w:tcPr>
            <w:tcW w:w="2080" w:type="dxa"/>
            <w:vAlign w:val="bottom"/>
            <w:tcBorders>
              <w:top w:val="single" w:sz="8" w:color="auto"/>
            </w:tcBorders>
            <w:shd w:val="clear" w:color="auto" w:fill="FF9900"/>
          </w:tcPr>
          <w:p>
            <w:pPr>
              <w:jc w:val="center"/>
              <w:spacing w:after="0" w:line="229" w:lineRule="exact"/>
              <w:rPr>
                <w:sz w:val="20"/>
                <w:szCs w:val="20"/>
                <w:color w:val="auto"/>
              </w:rPr>
            </w:pPr>
            <w:r>
              <w:rPr>
                <w:rFonts w:ascii="Arial" w:cs="Arial" w:eastAsia="Arial" w:hAnsi="Arial"/>
                <w:sz w:val="22"/>
                <w:szCs w:val="22"/>
                <w:b w:val="1"/>
                <w:bCs w:val="1"/>
                <w:color w:val="auto"/>
                <w:w w:val="88"/>
              </w:rPr>
              <w:t>Customer Price</w:t>
            </w:r>
          </w:p>
        </w:tc>
        <w:tc>
          <w:tcPr>
            <w:tcW w:w="20" w:type="dxa"/>
            <w:vAlign w:val="bottom"/>
            <w:tcBorders>
              <w:top w:val="single" w:sz="8" w:color="auto"/>
            </w:tcBorders>
          </w:tcPr>
          <w:p>
            <w:pPr>
              <w:spacing w:after="0"/>
              <w:rPr>
                <w:sz w:val="19"/>
                <w:szCs w:val="19"/>
                <w:color w:val="auto"/>
              </w:rPr>
            </w:pPr>
          </w:p>
        </w:tc>
      </w:tr>
      <w:tr>
        <w:trPr>
          <w:trHeight w:val="280"/>
        </w:trPr>
        <w:tc>
          <w:tcPr>
            <w:tcW w:w="1760" w:type="dxa"/>
            <w:vAlign w:val="bottom"/>
            <w:tcBorders>
              <w:right w:val="single" w:sz="8" w:color="auto"/>
            </w:tcBorders>
            <w:shd w:val="clear" w:color="auto" w:fill="FF9900"/>
          </w:tcPr>
          <w:p>
            <w:pPr>
              <w:spacing w:after="0"/>
              <w:rPr>
                <w:sz w:val="24"/>
                <w:szCs w:val="24"/>
                <w:color w:val="auto"/>
              </w:rPr>
            </w:pPr>
          </w:p>
        </w:tc>
        <w:tc>
          <w:tcPr>
            <w:tcW w:w="5440" w:type="dxa"/>
            <w:vAlign w:val="bottom"/>
            <w:tcBorders>
              <w:right w:val="single" w:sz="8" w:color="auto"/>
            </w:tcBorders>
            <w:shd w:val="clear" w:color="auto" w:fill="FF9900"/>
          </w:tcPr>
          <w:p>
            <w:pPr>
              <w:spacing w:after="0"/>
              <w:rPr>
                <w:sz w:val="24"/>
                <w:szCs w:val="24"/>
                <w:color w:val="auto"/>
              </w:rPr>
            </w:pPr>
          </w:p>
        </w:tc>
        <w:tc>
          <w:tcPr>
            <w:tcW w:w="400" w:type="dxa"/>
            <w:vAlign w:val="bottom"/>
            <w:shd w:val="clear" w:color="auto" w:fill="FF9900"/>
          </w:tcPr>
          <w:p>
            <w:pPr>
              <w:spacing w:after="0"/>
              <w:rPr>
                <w:sz w:val="24"/>
                <w:szCs w:val="24"/>
                <w:color w:val="auto"/>
              </w:rPr>
            </w:pPr>
          </w:p>
        </w:tc>
        <w:tc>
          <w:tcPr>
            <w:tcW w:w="1540" w:type="dxa"/>
            <w:vAlign w:val="bottom"/>
            <w:tcBorders>
              <w:right w:val="single" w:sz="8" w:color="auto"/>
            </w:tcBorders>
            <w:shd w:val="clear" w:color="auto" w:fill="FF9900"/>
          </w:tcPr>
          <w:p>
            <w:pPr>
              <w:jc w:val="center"/>
              <w:ind w:right="349"/>
              <w:spacing w:after="0"/>
              <w:rPr>
                <w:sz w:val="20"/>
                <w:szCs w:val="20"/>
                <w:color w:val="auto"/>
              </w:rPr>
            </w:pPr>
            <w:r>
              <w:rPr>
                <w:rFonts w:ascii="Arial" w:cs="Arial" w:eastAsia="Arial" w:hAnsi="Arial"/>
                <w:sz w:val="22"/>
                <w:szCs w:val="22"/>
                <w:b w:val="1"/>
                <w:bCs w:val="1"/>
                <w:color w:val="auto"/>
                <w:w w:val="94"/>
              </w:rPr>
              <w:t>(USD)</w:t>
            </w:r>
          </w:p>
        </w:tc>
        <w:tc>
          <w:tcPr>
            <w:tcW w:w="2080" w:type="dxa"/>
            <w:vAlign w:val="bottom"/>
            <w:shd w:val="clear" w:color="auto" w:fill="FF9900"/>
          </w:tcPr>
          <w:p>
            <w:pPr>
              <w:jc w:val="center"/>
              <w:spacing w:after="0"/>
              <w:rPr>
                <w:sz w:val="20"/>
                <w:szCs w:val="20"/>
                <w:color w:val="auto"/>
              </w:rPr>
            </w:pPr>
            <w:r>
              <w:rPr>
                <w:rFonts w:ascii="Arial" w:cs="Arial" w:eastAsia="Arial" w:hAnsi="Arial"/>
                <w:sz w:val="22"/>
                <w:szCs w:val="22"/>
                <w:b w:val="1"/>
                <w:bCs w:val="1"/>
                <w:color w:val="auto"/>
                <w:w w:val="91"/>
              </w:rPr>
              <w:t>(USD)</w:t>
            </w:r>
          </w:p>
        </w:tc>
        <w:tc>
          <w:tcPr>
            <w:tcW w:w="20" w:type="dxa"/>
            <w:vAlign w:val="bottom"/>
          </w:tcPr>
          <w:p>
            <w:pPr>
              <w:spacing w:after="0"/>
              <w:rPr>
                <w:sz w:val="24"/>
                <w:szCs w:val="24"/>
                <w:color w:val="auto"/>
              </w:rPr>
            </w:pPr>
          </w:p>
        </w:tc>
      </w:tr>
      <w:tr>
        <w:trPr>
          <w:trHeight w:val="71"/>
        </w:trPr>
        <w:tc>
          <w:tcPr>
            <w:tcW w:w="1760" w:type="dxa"/>
            <w:vAlign w:val="bottom"/>
            <w:tcBorders>
              <w:bottom w:val="single" w:sz="8" w:color="auto"/>
              <w:right w:val="single" w:sz="8" w:color="auto"/>
            </w:tcBorders>
            <w:shd w:val="clear" w:color="auto" w:fill="FF9900"/>
          </w:tcPr>
          <w:p>
            <w:pPr>
              <w:spacing w:after="0"/>
              <w:rPr>
                <w:sz w:val="6"/>
                <w:szCs w:val="6"/>
                <w:color w:val="auto"/>
              </w:rPr>
            </w:pPr>
          </w:p>
        </w:tc>
        <w:tc>
          <w:tcPr>
            <w:tcW w:w="5440" w:type="dxa"/>
            <w:vAlign w:val="bottom"/>
            <w:tcBorders>
              <w:bottom w:val="single" w:sz="8" w:color="auto"/>
              <w:right w:val="single" w:sz="8" w:color="auto"/>
            </w:tcBorders>
            <w:shd w:val="clear" w:color="auto" w:fill="FF9900"/>
          </w:tcPr>
          <w:p>
            <w:pPr>
              <w:spacing w:after="0"/>
              <w:rPr>
                <w:sz w:val="6"/>
                <w:szCs w:val="6"/>
                <w:color w:val="auto"/>
              </w:rPr>
            </w:pPr>
          </w:p>
        </w:tc>
        <w:tc>
          <w:tcPr>
            <w:tcW w:w="400" w:type="dxa"/>
            <w:vAlign w:val="bottom"/>
            <w:tcBorders>
              <w:bottom w:val="single" w:sz="8" w:color="auto"/>
            </w:tcBorders>
            <w:shd w:val="clear" w:color="auto" w:fill="FF9900"/>
          </w:tcPr>
          <w:p>
            <w:pPr>
              <w:spacing w:after="0"/>
              <w:rPr>
                <w:sz w:val="6"/>
                <w:szCs w:val="6"/>
                <w:color w:val="auto"/>
              </w:rPr>
            </w:pPr>
          </w:p>
        </w:tc>
        <w:tc>
          <w:tcPr>
            <w:tcW w:w="1540" w:type="dxa"/>
            <w:vAlign w:val="bottom"/>
            <w:tcBorders>
              <w:bottom w:val="single" w:sz="8" w:color="auto"/>
              <w:right w:val="single" w:sz="8" w:color="auto"/>
            </w:tcBorders>
            <w:shd w:val="clear" w:color="auto" w:fill="FF9900"/>
          </w:tcPr>
          <w:p>
            <w:pPr>
              <w:spacing w:after="0"/>
              <w:rPr>
                <w:sz w:val="6"/>
                <w:szCs w:val="6"/>
                <w:color w:val="auto"/>
              </w:rPr>
            </w:pPr>
          </w:p>
        </w:tc>
        <w:tc>
          <w:tcPr>
            <w:tcW w:w="2080" w:type="dxa"/>
            <w:vAlign w:val="bottom"/>
            <w:tcBorders>
              <w:bottom w:val="single" w:sz="8" w:color="auto"/>
            </w:tcBorders>
            <w:shd w:val="clear" w:color="auto" w:fill="FF9900"/>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FC-401-3002</w:t>
            </w:r>
          </w:p>
        </w:tc>
        <w:tc>
          <w:tcPr>
            <w:tcW w:w="5440" w:type="dxa"/>
            <w:vAlign w:val="bottom"/>
            <w:tcBorders>
              <w:right w:val="single" w:sz="8" w:color="auto"/>
            </w:tcBorders>
          </w:tcPr>
          <w:p>
            <w:pPr>
              <w:ind w:left="1920"/>
              <w:spacing w:after="0"/>
              <w:rPr>
                <w:sz w:val="20"/>
                <w:szCs w:val="20"/>
                <w:color w:val="auto"/>
              </w:rPr>
            </w:pPr>
            <w:r>
              <w:rPr>
                <w:rFonts w:ascii="Arial" w:cs="Arial" w:eastAsia="Arial" w:hAnsi="Arial"/>
                <w:sz w:val="18"/>
                <w:szCs w:val="18"/>
                <w:color w:val="auto"/>
              </w:rPr>
              <w:t>TruSeq SBS KIT v3 - HS (50 CYCLES)</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FC-401-4002</w:t>
            </w:r>
          </w:p>
        </w:tc>
        <w:tc>
          <w:tcPr>
            <w:tcW w:w="5440" w:type="dxa"/>
            <w:vAlign w:val="bottom"/>
            <w:tcBorders>
              <w:right w:val="single" w:sz="8" w:color="auto"/>
            </w:tcBorders>
          </w:tcPr>
          <w:p>
            <w:pPr>
              <w:jc w:val="center"/>
              <w:ind w:left="1489"/>
              <w:spacing w:after="0"/>
              <w:rPr>
                <w:sz w:val="20"/>
                <w:szCs w:val="20"/>
                <w:color w:val="auto"/>
              </w:rPr>
            </w:pPr>
            <w:r>
              <w:rPr>
                <w:rFonts w:ascii="Arial" w:cs="Arial" w:eastAsia="Arial" w:hAnsi="Arial"/>
                <w:sz w:val="18"/>
                <w:szCs w:val="18"/>
                <w:color w:val="auto"/>
                <w:w w:val="94"/>
              </w:rPr>
              <w:t>HiSeq® SBS Kit v4 (50 Cycle)</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PE-402-4002</w:t>
            </w:r>
          </w:p>
        </w:tc>
        <w:tc>
          <w:tcPr>
            <w:tcW w:w="544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HiSeq® Rapid PE Cluster Kit v2</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GD-402-4002</w:t>
            </w:r>
          </w:p>
        </w:tc>
        <w:tc>
          <w:tcPr>
            <w:tcW w:w="544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HiSeq® Rapid SR Cluster Kit v2</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GD-401-4001</w:t>
            </w:r>
          </w:p>
        </w:tc>
        <w:tc>
          <w:tcPr>
            <w:tcW w:w="5440" w:type="dxa"/>
            <w:vAlign w:val="bottom"/>
            <w:tcBorders>
              <w:right w:val="single" w:sz="8" w:color="auto"/>
            </w:tcBorders>
          </w:tcPr>
          <w:p>
            <w:pPr>
              <w:jc w:val="center"/>
              <w:ind w:left="1309"/>
              <w:spacing w:after="0"/>
              <w:rPr>
                <w:sz w:val="20"/>
                <w:szCs w:val="20"/>
                <w:color w:val="auto"/>
              </w:rPr>
            </w:pPr>
            <w:r>
              <w:rPr>
                <w:rFonts w:ascii="Arial" w:cs="Arial" w:eastAsia="Arial" w:hAnsi="Arial"/>
                <w:sz w:val="18"/>
                <w:szCs w:val="18"/>
                <w:color w:val="auto"/>
                <w:w w:val="93"/>
              </w:rPr>
              <w:t>HiSeq® SR Cluster Kit v4 – cBot™</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20006992</w:t>
            </w:r>
          </w:p>
        </w:tc>
        <w:tc>
          <w:tcPr>
            <w:tcW w:w="5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High Throughput HiSeq SBS Kit (150 cyc)</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20006991</w:t>
            </w:r>
          </w:p>
        </w:tc>
        <w:tc>
          <w:tcPr>
            <w:tcW w:w="5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High Throughput HiSeq PE Cluster Kit</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PE-401-4001</w:t>
            </w:r>
          </w:p>
        </w:tc>
        <w:tc>
          <w:tcPr>
            <w:tcW w:w="5440" w:type="dxa"/>
            <w:vAlign w:val="bottom"/>
            <w:tcBorders>
              <w:right w:val="single" w:sz="8" w:color="auto"/>
            </w:tcBorders>
          </w:tcPr>
          <w:p>
            <w:pPr>
              <w:jc w:val="center"/>
              <w:ind w:left="1309"/>
              <w:spacing w:after="0"/>
              <w:rPr>
                <w:sz w:val="20"/>
                <w:szCs w:val="20"/>
                <w:color w:val="auto"/>
              </w:rPr>
            </w:pPr>
            <w:r>
              <w:rPr>
                <w:rFonts w:ascii="Arial" w:cs="Arial" w:eastAsia="Arial" w:hAnsi="Arial"/>
                <w:sz w:val="18"/>
                <w:szCs w:val="18"/>
                <w:color w:val="auto"/>
                <w:w w:val="93"/>
              </w:rPr>
              <w:t>HiSeq® PE Cluster Kit v4 – cBot™</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15056112</w:t>
            </w:r>
          </w:p>
        </w:tc>
        <w:tc>
          <w:tcPr>
            <w:tcW w:w="5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HiSeq® Rapid SBS Kit - FunnelBottle Caps</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15037576</w:t>
            </w:r>
          </w:p>
        </w:tc>
        <w:tc>
          <w:tcPr>
            <w:tcW w:w="5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HiSeq® Flowcell Gaskets 4 Pack</w:t>
            </w:r>
          </w:p>
        </w:tc>
        <w:tc>
          <w:tcPr>
            <w:tcW w:w="400" w:type="dxa"/>
            <w:vAlign w:val="bottom"/>
          </w:tcPr>
          <w:p>
            <w:pPr>
              <w:spacing w:after="0"/>
              <w:rPr>
                <w:sz w:val="19"/>
                <w:szCs w:val="19"/>
                <w:color w:val="auto"/>
              </w:rPr>
            </w:pPr>
          </w:p>
        </w:tc>
        <w:tc>
          <w:tcPr>
            <w:tcW w:w="1540" w:type="dxa"/>
            <w:vAlign w:val="bottom"/>
            <w:tcBorders>
              <w:right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91"/>
        </w:trPr>
        <w:tc>
          <w:tcPr>
            <w:tcW w:w="1760" w:type="dxa"/>
            <w:vAlign w:val="bottom"/>
            <w:tcBorders>
              <w:bottom w:val="single" w:sz="8" w:color="C0C0C0"/>
              <w:right w:val="single" w:sz="8" w:color="C0C0C0"/>
            </w:tcBorders>
            <w:shd w:val="clear" w:color="auto" w:fill="C0C0C0"/>
          </w:tcPr>
          <w:p>
            <w:pPr>
              <w:spacing w:after="0"/>
              <w:rPr>
                <w:sz w:val="24"/>
                <w:szCs w:val="24"/>
                <w:color w:val="auto"/>
              </w:rPr>
            </w:pPr>
          </w:p>
        </w:tc>
        <w:tc>
          <w:tcPr>
            <w:tcW w:w="5840" w:type="dxa"/>
            <w:vAlign w:val="bottom"/>
            <w:tcBorders>
              <w:bottom w:val="single" w:sz="8" w:color="C0C0C0"/>
            </w:tcBorders>
            <w:gridSpan w:val="2"/>
            <w:shd w:val="clear" w:color="auto" w:fill="C0C0C0"/>
          </w:tcPr>
          <w:p>
            <w:pPr>
              <w:ind w:left="1980"/>
              <w:spacing w:after="0"/>
              <w:rPr>
                <w:sz w:val="20"/>
                <w:szCs w:val="20"/>
                <w:color w:val="auto"/>
              </w:rPr>
            </w:pPr>
            <w:r>
              <w:rPr>
                <w:rFonts w:ascii="Arial" w:cs="Arial" w:eastAsia="Arial" w:hAnsi="Arial"/>
                <w:sz w:val="18"/>
                <w:szCs w:val="18"/>
                <w:b w:val="1"/>
                <w:bCs w:val="1"/>
                <w:color w:val="FFFFFF"/>
              </w:rPr>
              <w:t>SBS and Cluster Generation Sequencing Co</w:t>
            </w:r>
          </w:p>
        </w:tc>
        <w:tc>
          <w:tcPr>
            <w:tcW w:w="1540" w:type="dxa"/>
            <w:vAlign w:val="bottom"/>
            <w:tcBorders>
              <w:bottom w:val="single" w:sz="8" w:color="C0C0C0"/>
              <w:right w:val="single" w:sz="8" w:color="C0C0C0"/>
            </w:tcBorders>
            <w:shd w:val="clear" w:color="auto" w:fill="C0C0C0"/>
          </w:tcPr>
          <w:p>
            <w:pPr>
              <w:spacing w:after="0"/>
              <w:rPr>
                <w:sz w:val="24"/>
                <w:szCs w:val="24"/>
                <w:color w:val="auto"/>
              </w:rPr>
            </w:pPr>
          </w:p>
        </w:tc>
        <w:tc>
          <w:tcPr>
            <w:tcW w:w="2080" w:type="dxa"/>
            <w:vAlign w:val="bottom"/>
            <w:tcBorders>
              <w:bottom w:val="single" w:sz="8" w:color="C0C0C0"/>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DX-502-1003</w:t>
            </w:r>
          </w:p>
        </w:tc>
        <w:tc>
          <w:tcPr>
            <w:tcW w:w="5840" w:type="dxa"/>
            <w:vAlign w:val="bottom"/>
            <w:tcBorders>
              <w:top w:val="single" w:sz="8" w:color="auto"/>
            </w:tcBorders>
            <w:gridSpan w:val="2"/>
          </w:tcPr>
          <w:p>
            <w:pPr>
              <w:jc w:val="center"/>
              <w:ind w:left="869"/>
              <w:spacing w:after="0"/>
              <w:rPr>
                <w:sz w:val="20"/>
                <w:szCs w:val="20"/>
                <w:color w:val="auto"/>
              </w:rPr>
            </w:pPr>
            <w:r>
              <w:rPr>
                <w:rFonts w:ascii="Arial" w:cs="Arial" w:eastAsia="Arial" w:hAnsi="Arial"/>
                <w:sz w:val="18"/>
                <w:szCs w:val="18"/>
                <w:color w:val="auto"/>
                <w:w w:val="90"/>
              </w:rPr>
              <w:t>Index Adapter Replacement Caps</w:t>
            </w:r>
          </w:p>
        </w:tc>
        <w:tc>
          <w:tcPr>
            <w:tcW w:w="1540" w:type="dxa"/>
            <w:vAlign w:val="bottom"/>
            <w:tcBorders>
              <w:top w:val="single" w:sz="8" w:color="auto"/>
            </w:tcBorders>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2"/>
              </w:rPr>
              <w:t>FC-901-1003</w:t>
            </w:r>
          </w:p>
        </w:tc>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KIT,BRIDGE MANIFOLD,CLUSTER STATION</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2"/>
              </w:rPr>
              <w:t>FC-800-1001</w:t>
            </w:r>
          </w:p>
        </w:tc>
        <w:tc>
          <w:tcPr>
            <w:tcW w:w="5840" w:type="dxa"/>
            <w:vAlign w:val="bottom"/>
            <w:gridSpan w:val="2"/>
          </w:tcPr>
          <w:p>
            <w:pPr>
              <w:jc w:val="center"/>
              <w:ind w:left="869"/>
              <w:spacing w:after="0"/>
              <w:rPr>
                <w:sz w:val="20"/>
                <w:szCs w:val="20"/>
                <w:color w:val="auto"/>
              </w:rPr>
            </w:pPr>
            <w:r>
              <w:rPr>
                <w:rFonts w:ascii="Arial" w:cs="Arial" w:eastAsia="Arial" w:hAnsi="Arial"/>
                <w:sz w:val="18"/>
                <w:szCs w:val="18"/>
                <w:color w:val="auto"/>
                <w:w w:val="93"/>
              </w:rPr>
              <w:t>TruSeq® Nano DNA Accessory Kit</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0"/>
              </w:rPr>
              <w:t>PE-121-1003</w:t>
            </w:r>
          </w:p>
        </w:tc>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TruSEQ Dual IDX SEQ PRMR Kit, Paired End</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2"/>
              </w:rPr>
              <w:t>FC-121-1003</w:t>
            </w:r>
          </w:p>
        </w:tc>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TruSEQ Dual IDX SEQ PRMR Kt, Single Read</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0"/>
              </w:rPr>
              <w:t>FC-110-3001</w:t>
            </w:r>
          </w:p>
        </w:tc>
        <w:tc>
          <w:tcPr>
            <w:tcW w:w="5840" w:type="dxa"/>
            <w:vAlign w:val="bottom"/>
            <w:gridSpan w:val="2"/>
          </w:tcPr>
          <w:p>
            <w:pPr>
              <w:ind w:left="2180"/>
              <w:spacing w:after="0"/>
              <w:rPr>
                <w:sz w:val="20"/>
                <w:szCs w:val="20"/>
                <w:color w:val="auto"/>
              </w:rPr>
            </w:pPr>
            <w:r>
              <w:rPr>
                <w:rFonts w:ascii="Arial" w:cs="Arial" w:eastAsia="Arial" w:hAnsi="Arial"/>
                <w:sz w:val="18"/>
                <w:szCs w:val="18"/>
                <w:color w:val="auto"/>
              </w:rPr>
              <w:t>PhiX CONTROL V3 KIT</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3"/>
              </w:rPr>
              <w:t>GD-304-2001</w:t>
            </w:r>
          </w:p>
        </w:tc>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TruSq v2 cBot Multi-PRMR Re-Hybrdztn Kt</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0"/>
              </w:rPr>
              <w:t>SY-401-2015</w:t>
            </w:r>
          </w:p>
        </w:tc>
        <w:tc>
          <w:tcPr>
            <w:tcW w:w="5840" w:type="dxa"/>
            <w:vAlign w:val="bottom"/>
            <w:gridSpan w:val="2"/>
          </w:tcPr>
          <w:p>
            <w:pPr>
              <w:jc w:val="center"/>
              <w:ind w:left="1089"/>
              <w:spacing w:after="0"/>
              <w:rPr>
                <w:sz w:val="20"/>
                <w:szCs w:val="20"/>
                <w:color w:val="auto"/>
              </w:rPr>
            </w:pPr>
            <w:r>
              <w:rPr>
                <w:rFonts w:ascii="Arial" w:cs="Arial" w:eastAsia="Arial" w:hAnsi="Arial"/>
                <w:sz w:val="18"/>
                <w:szCs w:val="18"/>
                <w:color w:val="auto"/>
                <w:w w:val="98"/>
              </w:rPr>
              <w:t>KIT,CBOT MANIFOLD,HiSEQ</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3"/>
              </w:rPr>
              <w:t>GD-403-4001</w:t>
            </w:r>
          </w:p>
        </w:tc>
        <w:tc>
          <w:tcPr>
            <w:tcW w:w="5840" w:type="dxa"/>
            <w:vAlign w:val="bottom"/>
            <w:gridSpan w:val="2"/>
          </w:tcPr>
          <w:p>
            <w:pPr>
              <w:ind w:left="1660"/>
              <w:spacing w:after="0"/>
              <w:rPr>
                <w:sz w:val="20"/>
                <w:szCs w:val="20"/>
                <w:color w:val="auto"/>
              </w:rPr>
            </w:pPr>
            <w:r>
              <w:rPr>
                <w:rFonts w:ascii="Arial" w:cs="Arial" w:eastAsia="Arial" w:hAnsi="Arial"/>
                <w:sz w:val="18"/>
                <w:szCs w:val="18"/>
                <w:color w:val="auto"/>
              </w:rPr>
              <w:t>HSQ® Multi-PRMR Rehybridization Kit v4</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20015892</w:t>
            </w:r>
          </w:p>
        </w:tc>
        <w:tc>
          <w:tcPr>
            <w:tcW w:w="5840" w:type="dxa"/>
            <w:vAlign w:val="bottom"/>
            <w:gridSpan w:val="2"/>
          </w:tcPr>
          <w:p>
            <w:pPr>
              <w:ind w:left="2060"/>
              <w:spacing w:after="0"/>
              <w:rPr>
                <w:sz w:val="20"/>
                <w:szCs w:val="20"/>
                <w:color w:val="auto"/>
              </w:rPr>
            </w:pPr>
            <w:r>
              <w:rPr>
                <w:rFonts w:ascii="Arial" w:cs="Arial" w:eastAsia="Arial" w:hAnsi="Arial"/>
                <w:sz w:val="18"/>
                <w:szCs w:val="18"/>
                <w:color w:val="auto"/>
              </w:rPr>
              <w:t>HT1 Buffer</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20012552</w:t>
            </w:r>
          </w:p>
        </w:tc>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MiSeqDx Reagent Kit v3</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20005160</w:t>
            </w:r>
          </w:p>
        </w:tc>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cBot 2 Barcoded Strip Tubes (8 well)</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15073345</w:t>
            </w:r>
          </w:p>
        </w:tc>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Streck cell free DNA BCT (CE)</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3"/>
              </w:rPr>
              <w:t>GD-310-1001</w:t>
            </w:r>
          </w:p>
        </w:tc>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HSQ® 3k/4k cBot Multi-PRMR ReHYBRID Kit</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3"/>
              </w:rPr>
              <w:t>MS-102-9999</w:t>
            </w:r>
          </w:p>
        </w:tc>
        <w:tc>
          <w:tcPr>
            <w:tcW w:w="5840" w:type="dxa"/>
            <w:vAlign w:val="bottom"/>
            <w:gridSpan w:val="2"/>
          </w:tcPr>
          <w:p>
            <w:pPr>
              <w:jc w:val="center"/>
              <w:ind w:left="929"/>
              <w:spacing w:after="0"/>
              <w:rPr>
                <w:sz w:val="20"/>
                <w:szCs w:val="20"/>
                <w:color w:val="auto"/>
              </w:rPr>
            </w:pPr>
            <w:r>
              <w:rPr>
                <w:rFonts w:ascii="Arial" w:cs="Arial" w:eastAsia="Arial" w:hAnsi="Arial"/>
                <w:sz w:val="18"/>
                <w:szCs w:val="18"/>
                <w:color w:val="auto"/>
                <w:w w:val="90"/>
              </w:rPr>
              <w:t>MiSeq® Disposable Wash Tubes</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3"/>
              </w:rPr>
              <w:t>GD-404-1001</w:t>
            </w:r>
          </w:p>
        </w:tc>
        <w:tc>
          <w:tcPr>
            <w:tcW w:w="5840" w:type="dxa"/>
            <w:vAlign w:val="bottom"/>
            <w:gridSpan w:val="2"/>
          </w:tcPr>
          <w:p>
            <w:pPr>
              <w:jc w:val="center"/>
              <w:ind w:left="889"/>
              <w:spacing w:after="0"/>
              <w:rPr>
                <w:sz w:val="20"/>
                <w:szCs w:val="20"/>
                <w:color w:val="auto"/>
              </w:rPr>
            </w:pPr>
            <w:r>
              <w:rPr>
                <w:rFonts w:ascii="Arial" w:cs="Arial" w:eastAsia="Arial" w:hAnsi="Arial"/>
                <w:sz w:val="18"/>
                <w:szCs w:val="18"/>
                <w:color w:val="auto"/>
                <w:w w:val="94"/>
              </w:rPr>
              <w:t>HiSeq® Rapid Rehybridization Kit</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0"/>
              </w:rPr>
              <w:t>CT-403-2001</w:t>
            </w:r>
          </w:p>
        </w:tc>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HiSeq® Rapid Duo cBot™ SampleLoading Kit</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0"/>
              </w:rPr>
              <w:t>FC-110-3002</w:t>
            </w:r>
          </w:p>
        </w:tc>
        <w:tc>
          <w:tcPr>
            <w:tcW w:w="5840" w:type="dxa"/>
            <w:vAlign w:val="bottom"/>
            <w:gridSpan w:val="2"/>
          </w:tcPr>
          <w:p>
            <w:pPr>
              <w:jc w:val="center"/>
              <w:ind w:left="1109"/>
              <w:spacing w:after="0"/>
              <w:rPr>
                <w:sz w:val="20"/>
                <w:szCs w:val="20"/>
                <w:color w:val="auto"/>
              </w:rPr>
            </w:pPr>
            <w:r>
              <w:rPr>
                <w:rFonts w:ascii="Arial" w:cs="Arial" w:eastAsia="Arial" w:hAnsi="Arial"/>
                <w:sz w:val="18"/>
                <w:szCs w:val="18"/>
                <w:color w:val="auto"/>
                <w:w w:val="94"/>
              </w:rPr>
              <w:t>NextSeq™ PhiX Control Kit</w:t>
            </w:r>
          </w:p>
        </w:tc>
        <w:tc>
          <w:tcPr>
            <w:tcW w:w="1540" w:type="dxa"/>
            <w:vAlign w:val="bottom"/>
          </w:tcPr>
          <w:p>
            <w:pPr>
              <w:jc w:val="center"/>
              <w:ind w:right="329"/>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3347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Fixed Price is active for this material.</w:t>
      </w:r>
    </w:p>
    <w:p>
      <w:pPr>
        <w:spacing w:after="0"/>
        <w:rPr>
          <w:sz w:val="20"/>
          <w:szCs w:val="20"/>
          <w:color w:val="auto"/>
        </w:rPr>
      </w:pPr>
      <w:r>
        <w:rPr>
          <w:rFonts w:ascii="Arial" w:cs="Arial" w:eastAsia="Arial" w:hAnsi="Arial"/>
          <w:sz w:val="18"/>
          <w:szCs w:val="18"/>
          <w:b w:val="1"/>
          <w:bCs w:val="1"/>
          <w:color w:val="auto"/>
        </w:rPr>
        <w:t>Post Pricing Message</w:t>
      </w:r>
      <w:r>
        <w:rPr>
          <w:rFonts w:ascii="Arial" w:cs="Arial" w:eastAsia="Arial" w:hAnsi="Arial"/>
          <w:sz w:val="18"/>
          <w:szCs w:val="18"/>
          <w:color w:val="auto"/>
        </w:rPr>
        <w:t>: Payment Terms for the account is Net 60</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III. CONDITIONS OF SALE</w:t>
      </w:r>
    </w:p>
    <w:p>
      <w:pPr>
        <w:spacing w:after="0" w:line="70" w:lineRule="exact"/>
        <w:rPr>
          <w:sz w:val="20"/>
          <w:szCs w:val="20"/>
          <w:color w:val="auto"/>
        </w:rPr>
      </w:pPr>
    </w:p>
    <w:p>
      <w:pPr>
        <w:ind w:right="440"/>
        <w:spacing w:after="0" w:line="246" w:lineRule="auto"/>
        <w:rPr>
          <w:sz w:val="20"/>
          <w:szCs w:val="20"/>
          <w:color w:val="auto"/>
        </w:rPr>
      </w:pPr>
      <w:r>
        <w:rPr>
          <w:rFonts w:ascii="Arial" w:cs="Arial" w:eastAsia="Arial" w:hAnsi="Arial"/>
          <w:sz w:val="16"/>
          <w:szCs w:val="16"/>
          <w:color w:val="auto"/>
        </w:rPr>
        <w:t>By submitting an order, Customer accepts and agrees that the Terms and Conditions is the sole and exclusive agreement between Customer and Illumina with respect to the Illumina products and/or services as described above and accepts all other terms of this quotation.</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NOTWITHSTANDING THE FOREGOING, IF ILLUMINA AND CUSTOMER HAVE ENTERED INTO A VALID AND ENFORCEABLE AGREEMENT GOVERNING THE ILLUMINA PRODUCTS AND/OR SERVICES DESCRIBED ABOVE, THE ORDER OF PRECEDENCE BETWEEN THE AGREEMENT AND THE TERMS AND CONDITIONS SHALL BE AS FOLLOWS: IN THE EVENT OF A CONFLICT</w:t>
      </w:r>
    </w:p>
    <w:p>
      <w:pPr>
        <w:spacing w:after="0" w:line="196" w:lineRule="exact"/>
        <w:rPr>
          <w:sz w:val="20"/>
          <w:szCs w:val="20"/>
          <w:color w:val="auto"/>
        </w:rPr>
      </w:pPr>
    </w:p>
    <w:p>
      <w:pPr>
        <w:ind w:left="3000"/>
        <w:spacing w:after="0"/>
        <w:tabs>
          <w:tab w:leader="none" w:pos="6460" w:val="left"/>
          <w:tab w:leader="none" w:pos="9400" w:val="left"/>
        </w:tabs>
        <w:rPr>
          <w:sz w:val="20"/>
          <w:szCs w:val="20"/>
          <w:color w:val="auto"/>
        </w:rPr>
      </w:pPr>
      <w:r>
        <w:rPr>
          <w:rFonts w:ascii="Arial" w:cs="Arial" w:eastAsia="Arial" w:hAnsi="Arial"/>
          <w:sz w:val="20"/>
          <w:szCs w:val="20"/>
          <w:color w:val="auto"/>
        </w:rPr>
        <w:t>Proposal#</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Page 10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-5715</wp:posOffset>
            </wp:positionV>
            <wp:extent cx="1225550" cy="274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7" w:name="page118"/>
    <w:bookmarkEnd w:id="117"/>
    <w:p>
      <w:pPr>
        <w:ind w:right="440"/>
        <w:spacing w:after="0" w:line="246" w:lineRule="auto"/>
        <w:rPr>
          <w:sz w:val="20"/>
          <w:szCs w:val="20"/>
          <w:color w:val="auto"/>
        </w:rPr>
      </w:pPr>
      <w:r>
        <w:rPr>
          <w:rFonts w:ascii="Arial" w:cs="Arial" w:eastAsia="Arial" w:hAnsi="Arial"/>
          <w:sz w:val="16"/>
          <w:szCs w:val="16"/>
          <w:color w:val="auto"/>
        </w:rPr>
        <w:t>BETWEEN THE TERMS OF THE AGREEMENT AND THE TERMS AND CONDITIONS, OR IF THE AGREEMENT INCLUDES ADDITIONAL TERMS NOT ADDRESSED IN THE TERMS AND CONDITIONS, THE AGREEMENT SHALL GOVERN WITH RESPECT TO SUCH TERMS.</w:t>
      </w:r>
    </w:p>
    <w:p>
      <w:pPr>
        <w:spacing w:after="0" w:line="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Illumina does not supply plastics such as microplates or pipette tips for use in the listed assays and these are not included in the consumables pricing provided; however, as a result of the highly multiplexed nature of all assays, plastics alone contribute minimally to the final cost.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Customer and Illumina agree as follows:</w:t>
      </w:r>
    </w:p>
    <w:p>
      <w:pPr>
        <w:spacing w:after="0" w:line="5" w:lineRule="exact"/>
        <w:rPr>
          <w:sz w:val="20"/>
          <w:szCs w:val="20"/>
          <w:color w:val="auto"/>
        </w:rPr>
      </w:pPr>
    </w:p>
    <w:p>
      <w:pPr>
        <w:ind w:left="380" w:right="180" w:hanging="372"/>
        <w:spacing w:after="0" w:line="246"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Customer’s purchase of the products referenced in this Quotation is not conditioned on future performance characteristics or applications, whether or not realized.</w:t>
      </w:r>
    </w:p>
    <w:p>
      <w:pPr>
        <w:ind w:left="380" w:hanging="372"/>
        <w:spacing w:after="0"/>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Unless otherwise agreed by Illumina in writing, Illumina will not assist Customer in developing, testing, or validating unsupported applications.</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Illumina will not replace any consumables or reagent kits if the cause of any performance failure is due to unsupported applications.</w:t>
      </w:r>
    </w:p>
    <w:p>
      <w:pPr>
        <w:spacing w:after="0" w:line="5" w:lineRule="exact"/>
        <w:rPr>
          <w:rFonts w:ascii="Arial" w:cs="Arial" w:eastAsia="Arial" w:hAnsi="Arial"/>
          <w:sz w:val="16"/>
          <w:szCs w:val="16"/>
          <w:color w:val="auto"/>
        </w:rPr>
      </w:pPr>
    </w:p>
    <w:p>
      <w:pPr>
        <w:ind w:left="380" w:right="500" w:hanging="372"/>
        <w:spacing w:after="0" w:line="260"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Illumina is unable to provide any assurances or guarantee that the performance of the products referenced in this Quotation will match published specifications when used for unsupported applications.</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IV. SHIP HOLD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In cases where this Quotation does not include a pre-defined ship schedule, the following ship hold terms shall apply:</w:t>
      </w:r>
    </w:p>
    <w:p>
      <w:pPr>
        <w:spacing w:after="0" w:line="5" w:lineRule="exact"/>
        <w:rPr>
          <w:sz w:val="20"/>
          <w:szCs w:val="20"/>
          <w:color w:val="auto"/>
        </w:rPr>
      </w:pPr>
    </w:p>
    <w:p>
      <w:pPr>
        <w:jc w:val="both"/>
        <w:ind w:left="380" w:right="100" w:hanging="372"/>
        <w:spacing w:after="0" w:line="246"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orders must have a defined ship schedule. The initial ship date must be no later than three (3) months from the date the purchase order is received by Illumina (as provided in the Order Confirmation) and the entire order must be shipped complete within twelve (12) months from Illumina’s receipt of the purchase order.</w:t>
      </w:r>
    </w:p>
    <w:p>
      <w:pPr>
        <w:spacing w:after="0" w:line="1" w:lineRule="exact"/>
        <w:rPr>
          <w:rFonts w:ascii="Arial" w:cs="Arial" w:eastAsia="Arial" w:hAnsi="Arial"/>
          <w:sz w:val="16"/>
          <w:szCs w:val="16"/>
          <w:color w:val="auto"/>
        </w:rPr>
      </w:pPr>
    </w:p>
    <w:p>
      <w:pPr>
        <w:ind w:left="380" w:right="400" w:hanging="372"/>
        <w:spacing w:after="0" w:line="246"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exceptions to these ship hold terms must be agreed to in writing by Illumina and the Customer must pre-pay at least fifty percent (50%) of the purchase order amount of the affected shipments.</w:t>
      </w:r>
    </w:p>
    <w:p>
      <w:pPr>
        <w:ind w:left="380" w:right="120" w:hanging="372"/>
        <w:spacing w:after="0" w:line="246"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Customers may request two (2) shipment delays for any single purchase order. The total months of delayed shipment for shipments associated with a single purchase order shall not exceed six (6) months.</w:t>
      </w:r>
    </w:p>
    <w:p>
      <w:pPr>
        <w:ind w:left="380" w:right="440" w:hanging="372"/>
        <w:spacing w:after="0" w:line="246"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Customer has requested a delayed shipment, Illumina reserves the right to change the lead time necessary to initiate Customer’s first shipment (which may be longer than the lead time quoted at the time of the order placement).</w:t>
      </w:r>
    </w:p>
    <w:p>
      <w:pPr>
        <w:ind w:left="380" w:hanging="372"/>
        <w:spacing w:after="0" w:line="260"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Customer cannot take shipment in accordance with these terms, Illumina reserves the right to cancel the order in its entirety without any liability to the Customer.</w:t>
      </w:r>
    </w:p>
    <w:p>
      <w:pPr>
        <w:spacing w:after="0" w:line="200" w:lineRule="exact"/>
        <w:rPr>
          <w:rFonts w:ascii="Arial" w:cs="Arial" w:eastAsia="Arial" w:hAnsi="Arial"/>
          <w:sz w:val="16"/>
          <w:szCs w:val="16"/>
          <w:color w:val="auto"/>
        </w:rPr>
      </w:pPr>
    </w:p>
    <w:p>
      <w:pPr>
        <w:spacing w:after="0" w:line="397" w:lineRule="exact"/>
        <w:rPr>
          <w:rFonts w:ascii="Arial" w:cs="Arial" w:eastAsia="Arial" w:hAnsi="Arial"/>
          <w:sz w:val="16"/>
          <w:szCs w:val="16"/>
          <w:color w:val="auto"/>
        </w:rPr>
      </w:pPr>
    </w:p>
    <w:p>
      <w:pPr>
        <w:ind w:left="340" w:hanging="282"/>
        <w:spacing w:after="0"/>
        <w:tabs>
          <w:tab w:leader="none" w:pos="340" w:val="left"/>
        </w:tabs>
        <w:numPr>
          <w:ilvl w:val="1"/>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HOW TO ORDER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RUO &amp; DX Goods, Instruments and Warranty Coverage (including BlueGnome)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5087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all consumable orders:</w:t>
      </w:r>
    </w:p>
    <w:p>
      <w:pPr>
        <w:spacing w:after="0" w:line="100" w:lineRule="exact"/>
        <w:rPr>
          <w:sz w:val="20"/>
          <w:szCs w:val="20"/>
          <w:color w:val="auto"/>
        </w:rPr>
      </w:pPr>
    </w:p>
    <w:p>
      <w:pPr>
        <w:ind w:left="40" w:right="920"/>
        <w:spacing w:after="0" w:line="260" w:lineRule="auto"/>
        <w:rPr>
          <w:sz w:val="20"/>
          <w:szCs w:val="20"/>
          <w:color w:val="auto"/>
        </w:rPr>
      </w:pPr>
      <w:r>
        <w:rPr>
          <w:rFonts w:ascii="Arial" w:cs="Arial" w:eastAsia="Arial" w:hAnsi="Arial"/>
          <w:sz w:val="16"/>
          <w:szCs w:val="16"/>
          <w:color w:val="auto"/>
        </w:rPr>
        <w:t>Please submit your order online through MyIllumina (http://my.illumina.com).</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For all other orders:</w:t>
      </w:r>
    </w:p>
    <w:p>
      <w:pPr>
        <w:spacing w:after="0" w:line="32" w:lineRule="exact"/>
        <w:rPr>
          <w:sz w:val="20"/>
          <w:szCs w:val="20"/>
          <w:color w:val="auto"/>
        </w:rPr>
      </w:pPr>
    </w:p>
    <w:p>
      <w:pPr>
        <w:ind w:right="380"/>
        <w:spacing w:after="0" w:line="237" w:lineRule="auto"/>
        <w:rPr>
          <w:sz w:val="20"/>
          <w:szCs w:val="20"/>
          <w:color w:val="auto"/>
        </w:rPr>
      </w:pPr>
      <w:r>
        <w:rPr>
          <w:rFonts w:ascii="Arial" w:cs="Arial" w:eastAsia="Arial" w:hAnsi="Arial"/>
          <w:sz w:val="16"/>
          <w:szCs w:val="16"/>
          <w:color w:val="auto"/>
        </w:rPr>
        <w:t>Please submit your institutional Purchase Order and a complete copy of this quotation to the attention of:</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Illumina Customer Service</w:t>
      </w:r>
    </w:p>
    <w:p>
      <w:pPr>
        <w:spacing w:after="0" w:line="167"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customerservice@illumina.com</w:t>
      </w:r>
    </w:p>
    <w:p>
      <w:pPr>
        <w:spacing w:after="0" w:line="15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Phone: +1.858.202.4566</w:t>
      </w:r>
    </w:p>
    <w:p>
      <w:pPr>
        <w:ind w:left="1220"/>
        <w:spacing w:after="0" w:line="228" w:lineRule="auto"/>
        <w:rPr>
          <w:sz w:val="20"/>
          <w:szCs w:val="20"/>
          <w:color w:val="auto"/>
        </w:rPr>
      </w:pPr>
      <w:r>
        <w:rPr>
          <w:rFonts w:ascii="Arial" w:cs="Arial" w:eastAsia="Arial" w:hAnsi="Arial"/>
          <w:sz w:val="16"/>
          <w:szCs w:val="16"/>
          <w:color w:val="auto"/>
        </w:rPr>
        <w:t>Toll Free: +1.800.809.ILMN (4566)</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Fax: +1.858.202.4766</w:t>
      </w:r>
    </w:p>
    <w:p>
      <w:pPr>
        <w:spacing w:after="0" w:line="200" w:lineRule="exact"/>
        <w:rPr>
          <w:sz w:val="20"/>
          <w:szCs w:val="20"/>
          <w:color w:val="auto"/>
        </w:rPr>
      </w:pPr>
    </w:p>
    <w:p>
      <w:pPr>
        <w:sectPr>
          <w:pgSz w:w="11900" w:h="16838" w:orient="portrait"/>
          <w:cols w:equalWidth="0" w:num="2">
            <w:col w:w="4660" w:space="720"/>
            <w:col w:w="5820"/>
          </w:cols>
          <w:pgMar w:left="320" w:top="14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VI. EXPIRATION OF OFFER</w:t>
      </w:r>
    </w:p>
    <w:p>
      <w:pPr>
        <w:spacing w:after="0" w:line="67"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The offer contained in this document is revocable at the sole discretion of Illumina if not executed by Customer and a purchase order received by Illumina before 5:00 pm Pacific Time on the expiration date shown on page 1 of this quotation.</w:t>
      </w:r>
    </w:p>
    <w:p>
      <w:pPr>
        <w:spacing w:after="0" w:line="396" w:lineRule="exact"/>
        <w:rPr>
          <w:sz w:val="20"/>
          <w:szCs w:val="20"/>
          <w:color w:val="auto"/>
        </w:rPr>
      </w:pPr>
    </w:p>
    <w:p>
      <w:pPr>
        <w:jc w:val="both"/>
        <w:ind w:left="3000"/>
        <w:spacing w:after="0"/>
        <w:tabs>
          <w:tab w:leader="none" w:pos="6460" w:val="left"/>
          <w:tab w:leader="none" w:pos="9400" w:val="left"/>
        </w:tabs>
        <w:rPr>
          <w:sz w:val="20"/>
          <w:szCs w:val="20"/>
          <w:color w:val="auto"/>
        </w:rPr>
      </w:pPr>
      <w:r>
        <w:rPr>
          <w:rFonts w:ascii="Arial" w:cs="Arial" w:eastAsia="Arial" w:hAnsi="Arial"/>
          <w:sz w:val="20"/>
          <w:szCs w:val="20"/>
          <w:color w:val="auto"/>
        </w:rPr>
        <w:t>Proposal#</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Page 11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-5715</wp:posOffset>
            </wp:positionV>
            <wp:extent cx="1225550" cy="274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type w:val="continuous"/>
        </w:sectPr>
      </w:pPr>
    </w:p>
    <w:bookmarkStart w:id="118" w:name="page119"/>
    <w:bookmarkEnd w:id="118"/>
    <w:p>
      <w:pPr>
        <w:jc w:val="center"/>
        <w:ind w:right="-99"/>
        <w:spacing w:after="0"/>
        <w:rPr>
          <w:sz w:val="20"/>
          <w:szCs w:val="20"/>
          <w:color w:val="auto"/>
        </w:rPr>
      </w:pPr>
      <w:r>
        <w:rPr>
          <w:rFonts w:ascii="Arial" w:cs="Arial" w:eastAsia="Arial" w:hAnsi="Arial"/>
          <w:sz w:val="18"/>
          <w:szCs w:val="18"/>
          <w:b w:val="1"/>
          <w:bCs w:val="1"/>
          <w:color w:val="auto"/>
        </w:rPr>
        <w:t>Terms and Conditions of Sale</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http://www.illumina.com/content/dam/illumina-marketing/documents/terms-conditions/united-states/usa-terms-and-conditions-of-sale-general.pdf. Additionally, if Customer is purchasing Illumina professional consulting services as relate to instruments, Customer environment or workflows (in all cases, excluding instrument warranty services) ("Professional Services"), Customer agrees such Professional Services are exclusively governed by the Terms and Conditions - Services (Professional Services) located here: http://www.illumina.com/content/dam/illumina-marketing/ documents/company/terms-and-conditions-services.pdf</w:t>
      </w:r>
    </w:p>
    <w:p>
      <w:pPr>
        <w:sectPr>
          <w:pgSz w:w="11900" w:h="16838" w:orient="portrait"/>
          <w:cols w:equalWidth="0" w:num="1">
            <w:col w:w="11140"/>
          </w:cols>
          <w:pgMar w:left="320" w:top="118" w:right="4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21.1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8420" w:type="dxa"/>
            <w:vAlign w:val="bottom"/>
          </w:tcPr>
          <w:p>
            <w:pPr>
              <w:ind w:left="1280"/>
              <w:spacing w:after="0"/>
              <w:rPr>
                <w:sz w:val="20"/>
                <w:szCs w:val="20"/>
                <w:color w:val="auto"/>
              </w:rPr>
            </w:pPr>
            <w:r>
              <w:rPr>
                <w:rFonts w:ascii="Arial" w:cs="Arial" w:eastAsia="Arial" w:hAnsi="Arial"/>
                <w:sz w:val="18"/>
                <w:szCs w:val="18"/>
                <w:b w:val="1"/>
                <w:bCs w:val="1"/>
                <w:color w:val="auto"/>
              </w:rPr>
              <w:t>SUBSIDIARY OF PERSONALIS, INC.</w:t>
            </w:r>
          </w:p>
        </w:tc>
      </w:tr>
      <w:tr>
        <w:trPr>
          <w:trHeight w:val="783"/>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8420" w:type="dxa"/>
            <w:vAlign w:val="bottom"/>
          </w:tcPr>
          <w:p>
            <w:pPr>
              <w:ind w:left="1620"/>
              <w:spacing w:after="0"/>
              <w:rPr>
                <w:sz w:val="20"/>
                <w:szCs w:val="20"/>
                <w:color w:val="auto"/>
              </w:rPr>
            </w:pPr>
            <w:r>
              <w:rPr>
                <w:rFonts w:ascii="Arial" w:cs="Arial" w:eastAsia="Arial" w:hAnsi="Arial"/>
                <w:sz w:val="18"/>
                <w:szCs w:val="18"/>
                <w:b w:val="1"/>
                <w:bCs w:val="1"/>
                <w:color w:val="auto"/>
              </w:rPr>
              <w:t>Jurisdiction of Incorporation</w:t>
            </w:r>
          </w:p>
        </w:tc>
      </w:tr>
      <w:tr>
        <w:trPr>
          <w:trHeight w:val="121"/>
        </w:trPr>
        <w:tc>
          <w:tcPr>
            <w:tcW w:w="2820" w:type="dxa"/>
            <w:vAlign w:val="bottom"/>
            <w:tcBorders>
              <w:bottom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r>
      <w:tr>
        <w:trPr>
          <w:trHeight w:val="318"/>
        </w:trPr>
        <w:tc>
          <w:tcPr>
            <w:tcW w:w="2820" w:type="dxa"/>
            <w:vAlign w:val="bottom"/>
          </w:tcPr>
          <w:p>
            <w:pPr>
              <w:ind w:left="40"/>
              <w:spacing w:after="0"/>
              <w:rPr>
                <w:sz w:val="20"/>
                <w:szCs w:val="20"/>
                <w:color w:val="auto"/>
              </w:rPr>
            </w:pPr>
            <w:r>
              <w:rPr>
                <w:rFonts w:ascii="Arial" w:cs="Arial" w:eastAsia="Arial" w:hAnsi="Arial"/>
                <w:sz w:val="18"/>
                <w:szCs w:val="18"/>
                <w:color w:val="auto"/>
              </w:rPr>
              <w:t>Personalis (UK) Ltd.</w:t>
            </w:r>
          </w:p>
        </w:tc>
        <w:tc>
          <w:tcPr>
            <w:tcW w:w="8420" w:type="dxa"/>
            <w:vAlign w:val="bottom"/>
          </w:tcPr>
          <w:p>
            <w:pPr>
              <w:ind w:left="16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240"/>
          </w:cols>
          <w:pgMar w:left="320" w:top="33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333-232233 on Form S-8 of our report dated March 25, 2020, relating to the consolidated financial statements of Personalis, Inc. and subsidiary (the “Company”), appearing in the Annual Report on Form 10-K of the Company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2020</w:t>
      </w:r>
    </w:p>
    <w:p>
      <w:pPr>
        <w:sectPr>
          <w:pgSz w:w="11900" w:h="16838" w:orient="portrait"/>
          <w:cols w:equalWidth="0" w:num="1">
            <w:col w:w="11240"/>
          </w:cols>
          <w:pgMar w:left="320" w:top="337"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John West, certify that:</w:t>
      </w:r>
    </w:p>
    <w:p>
      <w:pPr>
        <w:spacing w:after="0" w:line="225"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Personalis,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March 25, 2020</w:t>
            </w: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By: /s/ John West</w:t>
            </w:r>
          </w:p>
        </w:tc>
      </w:tr>
      <w:tr>
        <w:trPr>
          <w:trHeight w:val="222"/>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West</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37"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Aaron Tachibana, certify that:</w:t>
      </w:r>
    </w:p>
    <w:p>
      <w:pPr>
        <w:spacing w:after="0" w:line="225"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Personalis,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March 25, 2020</w:t>
            </w: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By: /s/ Aaron Tachibana</w:t>
            </w:r>
          </w:p>
        </w:tc>
      </w:tr>
      <w:tr>
        <w:trPr>
          <w:trHeight w:val="222"/>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Aaron Tachibana</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337"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connection with the Annual Report of Personalis,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March 25, 2020</w:t>
            </w: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By: /s/ John West</w:t>
            </w:r>
          </w:p>
        </w:tc>
      </w:tr>
      <w:tr>
        <w:trPr>
          <w:trHeight w:val="222"/>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West</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3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connection with the Annual Report of Personalis,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March 25, 2020</w:t>
            </w: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By: /s/ Aaron Tachibana</w:t>
            </w:r>
          </w:p>
        </w:tc>
      </w:tr>
      <w:tr>
        <w:trPr>
          <w:trHeight w:val="222"/>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Aaron Tachibana</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lowerRoman"/>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lowerRoman"/>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2"/>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lvl w:ilvl="1">
      <w:lvlJc w:val="left"/>
      <w:lvlText w:val="%2."/>
      <w:numFmt w:val="upperLetter"/>
      <w:start w:val="22"/>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jpeg"/><Relationship Id="rId179" Type="http://schemas.openxmlformats.org/officeDocument/2006/relationships/image" Target="media/image142.png"/><Relationship Id="rId180" Type="http://schemas.openxmlformats.org/officeDocument/2006/relationships/image" Target="media/image143.jpe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jpe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jpe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jpe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jpe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jpe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jpe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jpe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jpe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jpeg"/><Relationship Id="rId138" Type="http://schemas.openxmlformats.org/officeDocument/2006/relationships/hyperlink" Target="http://www.sec.gov/Archives/edgar/data/0001527753/000119312519180246/d750323dex31.htm" TargetMode="External"/><Relationship Id="rId139" Type="http://schemas.openxmlformats.org/officeDocument/2006/relationships/hyperlink" Target="http://www.sec.gov/Archives/edgar/data/0001527753/000119312519180246/d750323dex32.htm" TargetMode="External"/><Relationship Id="rId140" Type="http://schemas.openxmlformats.org/officeDocument/2006/relationships/hyperlink" Target="http://www.sec.gov/Archives/edgar/data/0001527753/000119312519167583/d677649dex41.htm" TargetMode="External"/><Relationship Id="rId141" Type="http://schemas.openxmlformats.org/officeDocument/2006/relationships/hyperlink" Target="http://www.sec.gov/Archives/edgar/data/0001527753/000119312519155338/d677649dex42.htm" TargetMode="External"/><Relationship Id="rId142" Type="http://schemas.openxmlformats.org/officeDocument/2006/relationships/hyperlink" Target="http://www.sec.gov/Archives/edgar/data/0001527753/000119312519155338/d677649dex44.htm" TargetMode="External"/><Relationship Id="rId143" Type="http://schemas.openxmlformats.org/officeDocument/2006/relationships/hyperlink" Target="http://www.sec.gov/Archives/edgar/data/0001527753/000119312519155338/d677649dex45.htm" TargetMode="External"/><Relationship Id="rId144" Type="http://schemas.openxmlformats.org/officeDocument/2006/relationships/hyperlink" Target="http://www.sec.gov/Archives/edgar/data/0001527753/000119312519155338/d677649dex101.htm" TargetMode="External"/><Relationship Id="rId145" Type="http://schemas.openxmlformats.org/officeDocument/2006/relationships/hyperlink" Target="http://www.sec.gov/Archives/edgar/data/0001527753/000119312519167583/d677649dex102.htm" TargetMode="External"/><Relationship Id="rId146" Type="http://schemas.openxmlformats.org/officeDocument/2006/relationships/hyperlink" Target="http://www.sec.gov/Archives/edgar/data/0001527753/000119312519167583/d677649dex103.htm" TargetMode="External"/><Relationship Id="rId147" Type="http://schemas.openxmlformats.org/officeDocument/2006/relationships/hyperlink" Target="http://www.sec.gov/Archives/edgar/data/0001527753/000119312519167583/d677649dex104.htm" TargetMode="External"/><Relationship Id="rId148" Type="http://schemas.openxmlformats.org/officeDocument/2006/relationships/hyperlink" Target="http://www.sec.gov/Archives/edgar/data/0001527753/000119312519167583/d677649dex105.htm" TargetMode="External"/><Relationship Id="rId149" Type="http://schemas.openxmlformats.org/officeDocument/2006/relationships/hyperlink" Target="http://www.sec.gov/Archives/edgar/data/0001527753/000119312519167583/d677649dex106.htm" TargetMode="External"/><Relationship Id="rId150" Type="http://schemas.openxmlformats.org/officeDocument/2006/relationships/hyperlink" Target="http://www.sec.gov/Archives/edgar/data/0001527753/000119312519167583/d677649dex107.htm" TargetMode="External"/><Relationship Id="rId151" Type="http://schemas.openxmlformats.org/officeDocument/2006/relationships/hyperlink" Target="http://www.sec.gov/Archives/edgar/data/0001527753/000119312519167583/d677649dex108.htm" TargetMode="External"/><Relationship Id="rId152" Type="http://schemas.openxmlformats.org/officeDocument/2006/relationships/hyperlink" Target="http://www.sec.gov/Archives/edgar/data/0001527753/000119312519155338/d677649dex109.htm" TargetMode="External"/><Relationship Id="rId153" Type="http://schemas.openxmlformats.org/officeDocument/2006/relationships/hyperlink" Target="http://www.sec.gov/Archives/edgar/data/0001527753/000119312519155338/d677649dex1010.htm" TargetMode="External"/><Relationship Id="rId154" Type="http://schemas.openxmlformats.org/officeDocument/2006/relationships/hyperlink" Target="http://www.sec.gov/Archives/edgar/data/0001527753/000119312519155338/d677649dex1011.htm" TargetMode="External"/><Relationship Id="rId155" Type="http://schemas.openxmlformats.org/officeDocument/2006/relationships/hyperlink" Target="http://www.sec.gov/Archives/edgar/data/0001527753/000119312519155338/d677649dex1012.htm" TargetMode="External"/><Relationship Id="rId156" Type="http://schemas.openxmlformats.org/officeDocument/2006/relationships/hyperlink" Target="http://www.sec.gov/Archives/edgar/data/0001527753/000119312519155338/d677649dex1013.htm" TargetMode="External"/><Relationship Id="rId157" Type="http://schemas.openxmlformats.org/officeDocument/2006/relationships/hyperlink" Target="http://www.sec.gov/Archives/edgar/data/0001527753/000119312519155338/d677649dex1014.htm" TargetMode="External"/><Relationship Id="rId158" Type="http://schemas.openxmlformats.org/officeDocument/2006/relationships/hyperlink" Target="http://www.sec.gov/Archives/edgar/data/0001527753/000119312519155338/d677649dex1015.htm" TargetMode="External"/><Relationship Id="rId159" Type="http://schemas.openxmlformats.org/officeDocument/2006/relationships/hyperlink" Target="http://www.sec.gov/Archives/edgar/data/0001527753/000119312519155338/d677649dex1016.htm" TargetMode="External"/><Relationship Id="rId160" Type="http://schemas.openxmlformats.org/officeDocument/2006/relationships/hyperlink" Target="http://www.sec.gov/Archives/edgar/data/0001527753/000119312519155338/d677649dex1017.htm" TargetMode="External"/><Relationship Id="rId161" Type="http://schemas.openxmlformats.org/officeDocument/2006/relationships/hyperlink" Target="http://www.sec.gov/Archives/edgar/data/0001527753/000119312519155338/d677649dex1018.htm" TargetMode="External"/><Relationship Id="rId162" Type="http://schemas.openxmlformats.org/officeDocument/2006/relationships/hyperlink" Target="http://www.sec.gov/Archives/edgar/data/0001527753/000119312519155338/d677649dex1019.htm" TargetMode="External"/><Relationship Id="rId165" Type="http://schemas.openxmlformats.org/officeDocument/2006/relationships/hyperlink" Target="http://www.sec.gov/Archives/edgar/data/0001527753/000119312519155338/d677649dex1020.htm" TargetMode="External"/><Relationship Id="rId166" Type="http://schemas.openxmlformats.org/officeDocument/2006/relationships/hyperlink" Target="http://www.sec.gov/Archives/edgar/data/0001527753/000119312519155338/d677649dex1021.htm" TargetMode="External"/><Relationship Id="rId167" Type="http://schemas.openxmlformats.org/officeDocument/2006/relationships/hyperlink" Target="http://www.sec.gov/Archives/edgar/data/0001527753/000119312519155338/d677649dex1022.htm" TargetMode="External"/><Relationship Id="rId168" Type="http://schemas.openxmlformats.org/officeDocument/2006/relationships/hyperlink" Target="http://www.sec.gov/Archives/edgar/data/0001527753/000119312519155338/d677649dex1023.htm" TargetMode="External"/><Relationship Id="rId169" Type="http://schemas.openxmlformats.org/officeDocument/2006/relationships/hyperlink" Target="http://www.sec.gov/Archives/edgar/data/0001527753/000119312519155338/d677649d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2020-03-25T15:18:54Z</dcterms:created>
  <dcterms:modified xsi:type="dcterms:W3CDTF">2020-03-25T15:18:54Z</dcterms:modified>
</cp:coreProperties>
</file>