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500" w:hanging="492"/>
        <w:spacing w:after="0" w:line="182" w:lineRule="auto"/>
        <w:tabs>
          <w:tab w:leader="none" w:pos="500" w:val="left"/>
        </w:tabs>
        <w:numPr>
          <w:ilvl w:val="0"/>
          <w:numId w:val="1"/>
        </w:numPr>
        <w:rPr>
          <w:rFonts w:ascii="MS PGothic" w:cs="MS PGothic" w:eastAsia="MS PGothic" w:hAnsi="MS PGothic"/>
          <w:sz w:val="30"/>
          <w:szCs w:val="30"/>
          <w:color w:val="auto"/>
          <w:vertAlign w:val="subscript"/>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-113030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0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Personalis,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680" w:type="dxa"/>
        <w:tblCellMar>
          <w:top w:w="0" w:type="dxa"/>
          <w:left w:w="0" w:type="dxa"/>
          <w:bottom w:w="0" w:type="dxa"/>
          <w:right w:w="0" w:type="dxa"/>
        </w:tblCellMar>
      </w:tblPr>
      <w:tr>
        <w:trPr>
          <w:trHeight w:val="218"/>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27-5411038</w:t>
            </w:r>
          </w:p>
        </w:tc>
      </w:tr>
      <w:tr>
        <w:trPr>
          <w:trHeight w:val="135"/>
        </w:trPr>
        <w:tc>
          <w:tcPr>
            <w:tcW w:w="4260" w:type="dxa"/>
            <w:vAlign w:val="bottom"/>
          </w:tcPr>
          <w:p>
            <w:pPr>
              <w:jc w:val="center"/>
              <w:ind w:right="192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80" w:type="dxa"/>
            <w:vAlign w:val="bottom"/>
          </w:tcPr>
          <w:p>
            <w:pPr>
              <w:jc w:val="center"/>
              <w:ind w:left="192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80" w:type="dxa"/>
            <w:vAlign w:val="bottom"/>
          </w:tcPr>
          <w:p>
            <w:pPr>
              <w:jc w:val="center"/>
              <w:ind w:left="192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04"/>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rPr>
              <w:t>1330 O’Brien Drive</w:t>
            </w:r>
          </w:p>
        </w:tc>
        <w:tc>
          <w:tcPr>
            <w:tcW w:w="2980" w:type="dxa"/>
            <w:vAlign w:val="bottom"/>
          </w:tcPr>
          <w:p>
            <w:pPr>
              <w:spacing w:after="0"/>
              <w:rPr>
                <w:sz w:val="24"/>
                <w:szCs w:val="24"/>
                <w:color w:val="auto"/>
              </w:rPr>
            </w:pPr>
          </w:p>
        </w:tc>
      </w:tr>
      <w:tr>
        <w:trPr>
          <w:trHeight w:val="218"/>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9"/>
              </w:rPr>
              <w:t>Menlo Park, California 94025</w:t>
            </w:r>
          </w:p>
        </w:tc>
        <w:tc>
          <w:tcPr>
            <w:tcW w:w="298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94025</w:t>
            </w:r>
          </w:p>
        </w:tc>
      </w:tr>
      <w:tr>
        <w:trPr>
          <w:trHeight w:val="166"/>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80" w:type="dxa"/>
            <w:vAlign w:val="bottom"/>
          </w:tcPr>
          <w:p>
            <w:pPr>
              <w:jc w:val="center"/>
              <w:ind w:left="192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752-1300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314"/>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4380" w:type="dxa"/>
            <w:vAlign w:val="bottom"/>
          </w:tcPr>
          <w:p>
            <w:pPr>
              <w:spacing w:after="0"/>
              <w:rPr>
                <w:sz w:val="24"/>
                <w:szCs w:val="24"/>
                <w:color w:val="auto"/>
              </w:rPr>
            </w:pPr>
          </w:p>
        </w:tc>
      </w:tr>
      <w:tr>
        <w:trPr>
          <w:trHeight w:val="212"/>
        </w:trPr>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2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PSNL</w:t>
            </w:r>
          </w:p>
        </w:tc>
        <w:tc>
          <w:tcPr>
            <w:tcW w:w="100" w:type="dxa"/>
            <w:vAlign w:val="bottom"/>
          </w:tcPr>
          <w:p>
            <w:pPr>
              <w:spacing w:after="0"/>
              <w:rPr>
                <w:sz w:val="18"/>
                <w:szCs w:val="18"/>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00"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96"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right="26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2, 2020, the registrant had 38,932,805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918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400"/>
        </w:trPr>
        <w:tc>
          <w:tcPr>
            <w:tcW w:w="84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840" w:type="dxa"/>
            <w:vAlign w:val="bottom"/>
          </w:tcPr>
          <w:p>
            <w:pPr>
              <w:spacing w:after="0"/>
              <w:rPr>
                <w:sz w:val="20"/>
                <w:szCs w:val="20"/>
                <w:color w:val="auto"/>
              </w:rPr>
            </w:pP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Special Note Regarding Forward-Looking Statements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FINANCIAL INFORMATION</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Financial Statements (Unaudited)</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Balance Sheets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Operations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40" w:type="dxa"/>
            <w:vAlign w:val="bottom"/>
          </w:tcPr>
          <w:p>
            <w:pPr>
              <w:spacing w:after="0"/>
              <w:rPr>
                <w:sz w:val="19"/>
                <w:szCs w:val="19"/>
                <w:color w:val="auto"/>
              </w:rPr>
            </w:pP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Comprehensive Loss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Redeemable Convertible Preferred Stock and Stockholders’ Equity (Deficit)</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40" w:type="dxa"/>
            <w:vAlign w:val="bottom"/>
          </w:tcPr>
          <w:p>
            <w:pPr>
              <w:spacing w:after="0"/>
              <w:rPr>
                <w:sz w:val="19"/>
                <w:szCs w:val="19"/>
                <w:color w:val="auto"/>
              </w:rPr>
            </w:pP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Condensed Consolidated Statements of Cash Flows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40" w:type="dxa"/>
            <w:vAlign w:val="bottom"/>
          </w:tcPr>
          <w:p>
            <w:pPr>
              <w:spacing w:after="0"/>
              <w:rPr>
                <w:sz w:val="19"/>
                <w:szCs w:val="19"/>
                <w:color w:val="auto"/>
              </w:rPr>
            </w:pP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Notes to Unaudited Condensed Consolidated Financial Statements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Quantitative and Qualitative Disclosures About Market Risk</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Controls and Procedures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41"/>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OTHER INFORMATION</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Legal Proceedings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Risk Factors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Unregistered Sales of Equity Securities and Use of Proceeds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Defaults Upon Senior Securities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Mine Safety Disclosures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Other Information</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tcPr>
          <w:p>
            <w:pPr>
              <w:ind w:left="6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Exhibits</w:t>
              </w:r>
            </w:hyperlink>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84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Signatures</w:t>
              </w:r>
            </w:hyperlink>
          </w:p>
        </w:tc>
        <w:tc>
          <w:tcPr>
            <w:tcW w:w="9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648"/>
        </w:trPr>
        <w:tc>
          <w:tcPr>
            <w:tcW w:w="840" w:type="dxa"/>
            <w:vAlign w:val="bottom"/>
          </w:tcPr>
          <w:p>
            <w:pPr>
              <w:spacing w:after="0"/>
              <w:rPr>
                <w:sz w:val="24"/>
                <w:szCs w:val="24"/>
                <w:color w:val="auto"/>
              </w:rPr>
            </w:pPr>
          </w:p>
        </w:tc>
        <w:tc>
          <w:tcPr>
            <w:tcW w:w="91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9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81" w:lineRule="exact"/>
        <w:rPr>
          <w:sz w:val="20"/>
          <w:szCs w:val="20"/>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cancer therapies and market adoption of our services;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total addressable market, future revenue, expenses,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our customers’ and suppliers’ businesses and the general economy;</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infrastructure;</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relationship with the U.S. Department of Veterans Affairs’ Million Veteran Program;</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extensive government regulation;</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in future offerings;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approval of personalized cancer therapies by the Food and Drug Administration may drive benefits to our business; and</w:t>
      </w:r>
    </w:p>
    <w:p>
      <w:pPr>
        <w:spacing w:after="0" w:line="117"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time during which we will be an emerging growth company under the Jumpstart Our Business Startups Act (the “JOBS Act”).</w:t>
      </w:r>
    </w:p>
    <w:p>
      <w:pPr>
        <w:spacing w:after="0" w:line="5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6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1"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on Form 10-Q to the “company,” “Personalis,” “we,” “us” and “our” refer to Personalis, Inc.</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PERSONALIS,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133,245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55,046</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72,818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73,243</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5,903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3,300</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 and other deferred costs</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4,606</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5,359</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3,383</w:t>
            </w:r>
          </w:p>
        </w:tc>
      </w:tr>
      <w:tr>
        <w:trPr>
          <w:trHeight w:val="223"/>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223,593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139,578</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12,735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14,106</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1,845</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1,852</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1,762</w:t>
            </w:r>
          </w:p>
        </w:tc>
      </w:tr>
      <w:tr>
        <w:trPr>
          <w:trHeight w:val="263"/>
        </w:trPr>
        <w:tc>
          <w:tcPr>
            <w:tcW w:w="77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248,812</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157,291</w:t>
            </w: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6,514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7,337</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8,797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6,648</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20,593</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35,977</w:t>
            </w:r>
          </w:p>
        </w:tc>
      </w:tr>
      <w:tr>
        <w:trPr>
          <w:trHeight w:val="223"/>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35,904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49,962</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8,897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639</w:t>
            </w: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45,272</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50,601</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Preferred stock, $0.0001 par value — 10,000,000 shares authorized; none issued</w:t>
            </w: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Common stock, $0.0001 par value — 200,000,000 shares authorized; 38,790,189 and 31,243,029</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shares issued and outstanding at September 30, 2020 and December 31, 2019, respectively</w:t>
            </w: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372,027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247,282</w:t>
            </w: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(168,528)</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(140,589)</w:t>
            </w:r>
          </w:p>
        </w:tc>
      </w:tr>
      <w:tr>
        <w:trPr>
          <w:trHeight w:val="223"/>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203,540</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106,690</w:t>
            </w:r>
          </w:p>
        </w:tc>
      </w:tr>
      <w:tr>
        <w:trPr>
          <w:trHeight w:val="223"/>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248,812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157,291</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PERSONALIS,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19,816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17,153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58,472</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47,053</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Costs of revenues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14,483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11,524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44,428</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31,538</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7,193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15,045</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7,793</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6,056</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22,772</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15,692</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29,469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22,883</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87,248</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62,275</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(15,222)</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25"/>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34"/>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(18,434)</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35,460,092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8"/>
              </w:rPr>
              <w:t>31,133,683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32,845,583</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8"/>
              </w:rPr>
              <w:t>13,613,444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PERSONALIS,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unrealized (loss) gain on available-for-sale debt securities</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PERSONALIS,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4660" w:type="dxa"/>
            <w:vAlign w:val="bottom"/>
          </w:tcPr>
          <w:p>
            <w:pPr>
              <w:spacing w:after="0"/>
              <w:rPr>
                <w:sz w:val="15"/>
                <w:szCs w:val="15"/>
                <w:color w:val="auto"/>
              </w:rPr>
            </w:pPr>
          </w:p>
        </w:tc>
        <w:tc>
          <w:tcPr>
            <w:tcW w:w="182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4660" w:type="dxa"/>
            <w:vAlign w:val="bottom"/>
          </w:tcPr>
          <w:p>
            <w:pPr>
              <w:spacing w:after="0"/>
              <w:rPr>
                <w:sz w:val="13"/>
                <w:szCs w:val="13"/>
                <w:color w:val="auto"/>
              </w:rPr>
            </w:pPr>
          </w:p>
        </w:tc>
        <w:tc>
          <w:tcPr>
            <w:tcW w:w="920" w:type="dxa"/>
            <w:vAlign w:val="bottom"/>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180" w:type="dxa"/>
            <w:vAlign w:val="bottom"/>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3"/>
                <w:szCs w:val="13"/>
                <w:color w:val="auto"/>
              </w:rPr>
            </w:pPr>
          </w:p>
        </w:tc>
        <w:tc>
          <w:tcPr>
            <w:tcW w:w="940" w:type="dxa"/>
            <w:vAlign w:val="bottom"/>
            <w:gridSpan w:val="2"/>
          </w:tcPr>
          <w:p>
            <w:pPr>
              <w:jc w:val="right"/>
              <w:ind w:right="38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Balance—June 30, 2019</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31,121,605</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244,089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(127,059)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Costs related to initial public offering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4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21,038</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Unrealized loss on available-for-sale debt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(6,885)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Balance—September 30, 2019</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31,142,643</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(133,944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111,392</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Balance—June 30, 2020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31,872,122</w:t>
            </w:r>
          </w:p>
        </w:tc>
        <w:tc>
          <w:tcPr>
            <w:tcW w:w="90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251,997</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(158,983)</w:t>
            </w: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93,123</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follow-on offering, net of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6,578,947</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117,065</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79,772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226,637</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Restricted stock units released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Unrealized loss on available-for-sale debt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9"/>
                <w:szCs w:val="19"/>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4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(9,545)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(9,545)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Balance—September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38,790,189</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(168,528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203,540</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PERSONALIS,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40" w:type="dxa"/>
            <w:vAlign w:val="bottom"/>
          </w:tcPr>
          <w:p>
            <w:pPr>
              <w:spacing w:after="0"/>
              <w:rPr>
                <w:sz w:val="18"/>
                <w:szCs w:val="18"/>
                <w:color w:val="auto"/>
              </w:rPr>
            </w:pPr>
          </w:p>
        </w:tc>
        <w:tc>
          <w:tcPr>
            <w:tcW w:w="130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040" w:type="dxa"/>
            <w:vAlign w:val="bottom"/>
          </w:tcPr>
          <w:p>
            <w:pPr>
              <w:spacing w:after="0"/>
              <w:rPr>
                <w:sz w:val="14"/>
                <w:szCs w:val="14"/>
                <w:color w:val="auto"/>
              </w:rPr>
            </w:pPr>
          </w:p>
        </w:tc>
        <w:tc>
          <w:tcPr>
            <w:tcW w:w="130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5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73"/>
        </w:trPr>
        <w:tc>
          <w:tcPr>
            <w:tcW w:w="3040" w:type="dxa"/>
            <w:vAlign w:val="bottom"/>
          </w:tcPr>
          <w:p>
            <w:pPr>
              <w:spacing w:after="0"/>
              <w:rPr>
                <w:sz w:val="15"/>
                <w:szCs w:val="15"/>
                <w:color w:val="auto"/>
              </w:rPr>
            </w:pPr>
          </w:p>
        </w:tc>
        <w:tc>
          <w:tcPr>
            <w:tcW w:w="210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5"/>
                <w:szCs w:val="15"/>
                <w:color w:val="auto"/>
              </w:rPr>
            </w:pPr>
          </w:p>
        </w:tc>
        <w:tc>
          <w:tcPr>
            <w:tcW w:w="146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55"/>
        </w:trPr>
        <w:tc>
          <w:tcPr>
            <w:tcW w:w="3040" w:type="dxa"/>
            <w:vAlign w:val="bottom"/>
          </w:tcPr>
          <w:p>
            <w:pPr>
              <w:spacing w:after="0"/>
              <w:rPr>
                <w:sz w:val="13"/>
                <w:szCs w:val="13"/>
                <w:color w:val="auto"/>
              </w:rPr>
            </w:pPr>
          </w:p>
        </w:tc>
        <w:tc>
          <w:tcPr>
            <w:tcW w:w="1180" w:type="dxa"/>
            <w:vAlign w:val="bottom"/>
            <w:tcBorders>
              <w:top w:val="single" w:sz="8" w:color="auto"/>
            </w:tcBorders>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top w:val="single" w:sz="8" w:color="auto"/>
            </w:tcBorders>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160" w:type="dxa"/>
            <w:vAlign w:val="bottom"/>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40" w:type="dxa"/>
            <w:vAlign w:val="bottom"/>
            <w:gridSpan w:val="2"/>
          </w:tcPr>
          <w:p>
            <w:pPr>
              <w:jc w:val="right"/>
              <w:ind w:right="34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2018</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18,474,742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89,404</w:t>
            </w:r>
          </w:p>
        </w:tc>
        <w:tc>
          <w:tcPr>
            <w:tcW w:w="220" w:type="dxa"/>
            <w:vAlign w:val="bottom"/>
            <w:tcBorders>
              <w:top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3,085,307</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(115,505)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(106,388)</w:t>
            </w:r>
          </w:p>
        </w:tc>
        <w:tc>
          <w:tcPr>
            <w:tcW w:w="80" w:type="dxa"/>
            <w:vAlign w:val="bottom"/>
            <w:tcBorders>
              <w:top w:val="single" w:sz="8" w:color="CFF0FC"/>
            </w:tcBorders>
            <w:shd w:val="clear" w:color="auto" w:fill="CFF0FC"/>
          </w:tcPr>
          <w:p>
            <w:pPr>
              <w:spacing w:after="0"/>
              <w:rPr>
                <w:sz w:val="19"/>
                <w:szCs w:val="19"/>
                <w:color w:val="auto"/>
              </w:rPr>
            </w:pPr>
          </w:p>
        </w:tc>
      </w:tr>
      <w:tr>
        <w:trPr>
          <w:trHeight w:val="211"/>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20"/>
                <w:szCs w:val="20"/>
                <w:color w:val="auto"/>
              </w:rPr>
            </w:pPr>
          </w:p>
        </w:tc>
      </w:tr>
      <w:tr>
        <w:trPr>
          <w:trHeight w:val="211"/>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Elimination of fractional shares</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upon reverse stock split (see</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Note 8)</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Exercise of common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207,712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r>
      <w:tr>
        <w:trPr>
          <w:trHeight w:val="211"/>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Conversion of Series A, B and C</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redeemable convertible preferred</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 to common stock</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(18,474,703)</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(89,404)</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18,474,703</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89,402</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89,404</w:t>
            </w:r>
          </w:p>
        </w:tc>
        <w:tc>
          <w:tcPr>
            <w:tcW w:w="80" w:type="dxa"/>
            <w:vAlign w:val="bottom"/>
            <w:shd w:val="clear" w:color="auto" w:fill="CFF0FC"/>
          </w:tcPr>
          <w:p>
            <w:pPr>
              <w:spacing w:after="0"/>
              <w:rPr>
                <w:sz w:val="20"/>
                <w:szCs w:val="20"/>
                <w:color w:val="auto"/>
              </w:rPr>
            </w:pPr>
          </w:p>
        </w:tc>
      </w:tr>
      <w:tr>
        <w:trPr>
          <w:trHeight w:val="211"/>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Conversion of redeemable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warrants to common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80" w:type="dxa"/>
            <w:vAlign w:val="bottom"/>
          </w:tcPr>
          <w:p>
            <w:pPr>
              <w:spacing w:after="0"/>
              <w:rPr>
                <w:sz w:val="20"/>
                <w:szCs w:val="20"/>
                <w:color w:val="auto"/>
              </w:rPr>
            </w:pPr>
          </w:p>
        </w:tc>
      </w:tr>
      <w:tr>
        <w:trPr>
          <w:trHeight w:val="211"/>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initial public</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offering, net of expenses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9,109,725</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139,827</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139,828</w:t>
            </w:r>
          </w:p>
        </w:tc>
        <w:tc>
          <w:tcPr>
            <w:tcW w:w="80" w:type="dxa"/>
            <w:vAlign w:val="bottom"/>
            <w:shd w:val="clear" w:color="auto" w:fill="CFF0FC"/>
          </w:tcPr>
          <w:p>
            <w:pPr>
              <w:spacing w:after="0"/>
              <w:rPr>
                <w:sz w:val="20"/>
                <w:szCs w:val="20"/>
                <w:color w:val="auto"/>
              </w:rPr>
            </w:pPr>
          </w:p>
        </w:tc>
      </w:tr>
      <w:tr>
        <w:trPr>
          <w:trHeight w:val="211"/>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exercise of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options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265,230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20"/>
                <w:szCs w:val="20"/>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80" w:type="dxa"/>
            <w:vAlign w:val="bottom"/>
            <w:shd w:val="clear" w:color="auto" w:fill="CFF0FC"/>
          </w:tcPr>
          <w:p>
            <w:pPr>
              <w:spacing w:after="0"/>
              <w:rPr>
                <w:sz w:val="19"/>
                <w:szCs w:val="19"/>
                <w:color w:val="auto"/>
              </w:rPr>
            </w:pPr>
          </w:p>
        </w:tc>
      </w:tr>
      <w:tr>
        <w:trPr>
          <w:trHeight w:val="211"/>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1"/>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Unrealized loss on available-for-</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sale debt securities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(18,439)</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(18,439)</w:t>
            </w:r>
          </w:p>
        </w:tc>
      </w:tr>
      <w:tr>
        <w:trPr>
          <w:trHeight w:val="223"/>
        </w:trPr>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Balance—September 30, 2019</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31,142,643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245,362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(133,944</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2019</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31,243,029</w:t>
            </w:r>
          </w:p>
        </w:tc>
        <w:tc>
          <w:tcPr>
            <w:tcW w:w="200" w:type="dxa"/>
            <w:vAlign w:val="bottom"/>
          </w:tcPr>
          <w:p>
            <w:pPr>
              <w:spacing w:after="0"/>
              <w:rPr>
                <w:sz w:val="24"/>
                <w:szCs w:val="24"/>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247,282</w:t>
            </w:r>
          </w:p>
        </w:tc>
        <w:tc>
          <w:tcPr>
            <w:tcW w:w="1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 (140,589)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106,690</w:t>
            </w:r>
          </w:p>
        </w:tc>
        <w:tc>
          <w:tcPr>
            <w:tcW w:w="80" w:type="dxa"/>
            <w:vAlign w:val="bottom"/>
          </w:tcPr>
          <w:p>
            <w:pPr>
              <w:spacing w:after="0"/>
              <w:rPr>
                <w:sz w:val="24"/>
                <w:szCs w:val="24"/>
                <w:color w:val="auto"/>
              </w:rPr>
            </w:pPr>
          </w:p>
        </w:tc>
      </w:tr>
      <w:tr>
        <w:trPr>
          <w:trHeight w:val="211"/>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follow-on</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offering, net of expenses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6,578,947</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117,064</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117,065</w:t>
            </w:r>
          </w:p>
        </w:tc>
        <w:tc>
          <w:tcPr>
            <w:tcW w:w="80" w:type="dxa"/>
            <w:vAlign w:val="bottom"/>
            <w:shd w:val="clear" w:color="auto" w:fill="CFF0FC"/>
          </w:tcPr>
          <w:p>
            <w:pPr>
              <w:spacing w:after="0"/>
              <w:rPr>
                <w:sz w:val="20"/>
                <w:szCs w:val="20"/>
                <w:color w:val="auto"/>
              </w:rPr>
            </w:pPr>
          </w:p>
        </w:tc>
      </w:tr>
      <w:tr>
        <w:trPr>
          <w:trHeight w:val="211"/>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Exercise of common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exercise of stock</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options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740,630</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80" w:type="dxa"/>
            <w:vAlign w:val="bottom"/>
            <w:shd w:val="clear" w:color="auto" w:fill="CFF0FC"/>
          </w:tcPr>
          <w:p>
            <w:pPr>
              <w:spacing w:after="0"/>
              <w:rPr>
                <w:sz w:val="20"/>
                <w:szCs w:val="20"/>
                <w:color w:val="auto"/>
              </w:rPr>
            </w:pPr>
          </w:p>
        </w:tc>
      </w:tr>
      <w:tr>
        <w:trPr>
          <w:trHeight w:val="211"/>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Employee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 Plan purchases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Pr>
          <w:p>
            <w:pPr>
              <w:spacing w:after="0"/>
              <w:rPr>
                <w:sz w:val="20"/>
                <w:szCs w:val="20"/>
                <w:color w:val="auto"/>
              </w:rPr>
            </w:pPr>
          </w:p>
        </w:tc>
      </w:tr>
      <w:tr>
        <w:trPr>
          <w:trHeight w:val="230"/>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Restricted stock units released</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80" w:type="dxa"/>
            <w:vAlign w:val="bottom"/>
          </w:tcPr>
          <w:p>
            <w:pPr>
              <w:spacing w:after="0"/>
              <w:rPr>
                <w:sz w:val="19"/>
                <w:szCs w:val="19"/>
                <w:color w:val="auto"/>
              </w:rPr>
            </w:pPr>
          </w:p>
        </w:tc>
      </w:tr>
      <w:tr>
        <w:trPr>
          <w:trHeight w:val="211"/>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adjustment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1"/>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Unrealized gain on available-for-</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 debt securities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r>
      <w:tr>
        <w:trPr>
          <w:trHeight w:val="229"/>
        </w:trPr>
        <w:tc>
          <w:tcPr>
            <w:tcW w:w="3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(27,939)</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(27,939)</w:t>
            </w:r>
          </w:p>
        </w:tc>
      </w:tr>
      <w:tr>
        <w:trPr>
          <w:trHeight w:val="22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Balance—September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38,790,189</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372,027</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(168,528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203,540</w:t>
            </w:r>
          </w:p>
        </w:tc>
        <w:tc>
          <w:tcPr>
            <w:tcW w:w="8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PERSONALIS,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20" w:type="dxa"/>
            <w:vAlign w:val="bottom"/>
          </w:tcPr>
          <w:p>
            <w:pPr>
              <w:spacing w:after="0"/>
              <w:rPr>
                <w:sz w:val="14"/>
                <w:szCs w:val="14"/>
                <w:color w:val="auto"/>
              </w:rPr>
            </w:pPr>
          </w:p>
        </w:tc>
      </w:tr>
      <w:tr>
        <w:trPr>
          <w:trHeight w:val="173"/>
        </w:trPr>
        <w:tc>
          <w:tcPr>
            <w:tcW w:w="7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bottom w:val="single" w:sz="8" w:color="auto"/>
            </w:tcBorders>
          </w:tcPr>
          <w:p>
            <w:pPr>
              <w:spacing w:after="0"/>
              <w:rPr>
                <w:sz w:val="15"/>
                <w:szCs w:val="15"/>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(18,439)</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4,279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3,382</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673</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4,761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3,657</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1,704</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convertible preferred stock warrant liability</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1,403</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Accretion of noncash interest and debt reduction</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Inventory and other deferred costs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29"/>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230"/>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474</w:t>
            </w:r>
          </w:p>
        </w:tc>
      </w:tr>
      <w:tr>
        <w:trPr>
          <w:trHeight w:val="229"/>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4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1,174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988</w:t>
            </w: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Contract liabilities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(9,170)</w:t>
            </w:r>
          </w:p>
        </w:tc>
      </w:tr>
      <w:tr>
        <w:trPr>
          <w:trHeight w:val="230"/>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bottom w:val="single" w:sz="8" w:color="CFF0FC"/>
            </w:tcBorders>
          </w:tcPr>
          <w:p>
            <w:pPr>
              <w:ind w:left="14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(40,121)</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(20,474)</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available-for-sale debt securities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(40,262)</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maturities of available-for-sale debt securities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80,510</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w:t>
            </w:r>
          </w:p>
        </w:tc>
      </w:tr>
      <w:tr>
        <w:trPr>
          <w:trHeight w:val="223"/>
        </w:trPr>
        <w:tc>
          <w:tcPr>
            <w:tcW w:w="772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(46,731)</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public offerings, net of underwriting discounts and commissions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9"/>
              </w:rPr>
              <w:t>117,500</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144,025</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Payments of costs related to public offerings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Payments of borrowing costs</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under borrowing arrangements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Debt extinguishment costs</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Proceeds from exercise or settlement of equity awards</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2,920</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678</w:t>
            </w:r>
          </w:p>
        </w:tc>
      </w:tr>
      <w:tr>
        <w:trPr>
          <w:trHeight w:val="223"/>
        </w:trPr>
        <w:tc>
          <w:tcPr>
            <w:tcW w:w="772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9"/>
              </w:rPr>
              <w:t>120,327</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134,477</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flows and cash equivalents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78,199</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67,269</w:t>
            </w: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55,046</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19,744</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9"/>
              </w:rPr>
              <w:t>133,245</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87,013</w:t>
            </w: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PERSONALIS,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Company and Nature of Business</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Personalis, Inc. (the “Company”) was incorporated in Delaware on February 21, 2011 and began operations in September 2011. The Company formed a wholly owned subsidiary, Personalis (UK) Ltd., in August 2013. The Company is a growing cancer genomics company transforming the development of next-generation therapies by providing more comprehensive molecular data about each patient’s cancer and immune response. The Company provides sequencing and data analysis services to support the development of cancer therapies. The Company also provides sequencing and data analysis services to support population sequencing initiatives, which accounts for the majority of revenues. Cancer genomic services are sold primarily to pharmaceutical companies, biopharmaceutical companies, universities, non-profits, and government entities, while services for population sequencing initiatives are sold primarily to government entities. The principal markets for the Company’s services are the United States and Europe. In June 2020, the Company announced a partnership with a clinical genomics and life sciences company headquartered in China as a means to expand business operations into China. The Company operates and manages its business as one reportable operating segment, which is the sale of sequencing and data analysis services.</w:t>
      </w:r>
    </w:p>
    <w:p>
      <w:pPr>
        <w:spacing w:after="0" w:line="16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equity securities and cash from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and the applicable rules and regulations of the Securities and Exchange Commission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2019.</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Personalis, Inc. and its wholly owned subsidiary, Personalis (UK)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16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2020.</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began presenting “Long-term operating lease liabilities” and “Operating lease liabilities” separately in the condensed consolidated balance sheets and condensed consolidated statements of cash flows, respectively, in its Quarterly Report on Form 10-Q for the prior interim period. Amounts reported in previous periods were reclassified to conform to the current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estimates include, but are not limited to, useful lives assigned to long-lived assets, the valuation of common and convertible redeemable preferred stock and related warrants and options, the valuation of stock-based awards, and provisions for income taxes and contingencies. Actual results could differ from these estimates, and such differences could be material to the Company’s condensed consolidated financial position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June 24, 2019, the Company completed an IPO in which it issued and sold 9,109,725 shares of its common stock at a public offering price of $17.00 per share. The Company received net proceeds of $139.8 million after deducting underwriting discounts, commissions, and offering expenses. Offering expenses were $4.2 million and consisted of fees and expenses incurred in connection with the sale of the Company’s common stock in the IPO, including legal, accounting, printing, and other IPO-related costs, all of which were paid by December 31, 2019.</w:t>
      </w:r>
    </w:p>
    <w:p>
      <w:pPr>
        <w:spacing w:after="0" w:line="13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 warrant to purchase 188,643 shares of the Company’s common stock was exercised prior to completion of the Company’s IPO. In addition, in connection with the IPO, all shares of the Company’s then-outstanding redeemable convertible preferred stock were automatically converted into 18,474,703 shares of the Company’s common stock, and all then-outstanding warrants to purchase the Company’s convertible preferred stock were automatically converted into warrants to purchase 84,585 shares of the Company’s common stock, all of which were exercised as of September 30, 2020 (see Note 10).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August 14, 2020, the Company completed a follow-on offering in which it issued and sold 6,578,947 shares of its common stock at a public offering price of $19.00 per share. The Company received net proceeds of $117.5 million after deducting underwriting discounts and commissions. The Company also incurred $0.4 million of offering expenses, including legal, accounting, printing and other offering-related costs, of which $0.1 million was paid by September 30, 2020.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 The Company has not experienced any losses on its deposits of cash and cash equivalents.</w:t>
      </w:r>
    </w:p>
    <w:p>
      <w:pPr>
        <w:spacing w:after="0" w:line="124" w:lineRule="exact"/>
        <w:rPr>
          <w:sz w:val="20"/>
          <w:szCs w:val="20"/>
          <w:color w:val="auto"/>
        </w:rPr>
      </w:pPr>
    </w:p>
    <w:p>
      <w:pPr>
        <w:jc w:val="both"/>
        <w:ind w:firstLine="749"/>
        <w:spacing w:after="0" w:line="224" w:lineRule="exact"/>
        <w:rPr>
          <w:sz w:val="20"/>
          <w:szCs w:val="20"/>
          <w:color w:val="auto"/>
        </w:rPr>
      </w:pPr>
      <w:r>
        <w:rPr>
          <w:rFonts w:ascii="Times New Roman" w:cs="Times New Roman" w:eastAsia="Times New Roman" w:hAnsi="Times New Roman"/>
          <w:sz w:val="18"/>
          <w:szCs w:val="18"/>
          <w:color w:val="auto"/>
        </w:rPr>
        <w:t>The Company also invests in investment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6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September 30, 2020 and December 31, 2019. During the three and nine months ended September 30, 2019, bad debt expense was $0.1 million. The Company had no bad debt expense in 2020.</w:t>
      </w:r>
    </w:p>
    <w:p>
      <w:pPr>
        <w:spacing w:after="0" w:line="15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Significant customers are those that represent more than 10% of the Company’s total revenues or accounts receivable balance at each respective balance sheet date. For each significant customer, revenue as a percentage of total revenues and accounts receivable as a percentage of total accounts receivable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131"/>
        </w:trPr>
        <w:tc>
          <w:tcPr>
            <w:tcW w:w="4400" w:type="dxa"/>
            <w:vAlign w:val="bottom"/>
          </w:tcPr>
          <w:p>
            <w:pPr>
              <w:spacing w:after="0"/>
              <w:rPr>
                <w:sz w:val="11"/>
                <w:szCs w:val="11"/>
                <w:color w:val="auto"/>
              </w:rPr>
            </w:pPr>
          </w:p>
        </w:tc>
        <w:tc>
          <w:tcPr>
            <w:tcW w:w="2460" w:type="dxa"/>
            <w:vAlign w:val="bottom"/>
            <w:gridSpan w:val="5"/>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900" w:type="dxa"/>
            <w:vAlign w:val="bottom"/>
            <w:gridSpan w:val="3"/>
          </w:tcPr>
          <w:p>
            <w:pPr>
              <w:jc w:val="center"/>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1"/>
                <w:szCs w:val="11"/>
                <w:color w:val="auto"/>
              </w:rPr>
            </w:pPr>
          </w:p>
        </w:tc>
        <w:tc>
          <w:tcPr>
            <w:tcW w:w="13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400" w:type="dxa"/>
            <w:vAlign w:val="bottom"/>
          </w:tcPr>
          <w:p>
            <w:pPr>
              <w:spacing w:after="0"/>
              <w:rPr>
                <w:sz w:val="15"/>
                <w:szCs w:val="15"/>
                <w:color w:val="auto"/>
              </w:rPr>
            </w:pPr>
          </w:p>
        </w:tc>
        <w:tc>
          <w:tcPr>
            <w:tcW w:w="24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00" w:type="dxa"/>
            <w:vAlign w:val="bottom"/>
            <w:gridSpan w:val="3"/>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55"/>
        </w:trPr>
        <w:tc>
          <w:tcPr>
            <w:tcW w:w="440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1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3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center"/>
              <w:ind w:right="27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CFF0FC"/>
            </w:tcBorders>
          </w:tcPr>
          <w:p>
            <w:pPr>
              <w:spacing w:after="0"/>
              <w:rPr>
                <w:sz w:val="13"/>
                <w:szCs w:val="13"/>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 MVP</w:t>
            </w:r>
          </w:p>
        </w:tc>
        <w:tc>
          <w:tcPr>
            <w:tcW w:w="1000" w:type="dxa"/>
            <w:vAlign w:val="bottom"/>
            <w:shd w:val="clear" w:color="auto" w:fill="CFF0FC"/>
          </w:tcPr>
          <w:p>
            <w:pPr>
              <w:jc w:val="center"/>
              <w:ind w:right="18"/>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56"/>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center"/>
              <w:ind w:right="278"/>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8"/>
                <w:szCs w:val="18"/>
                <w:color w:val="auto"/>
              </w:rPr>
              <w:t>63%</w:t>
            </w:r>
          </w:p>
        </w:tc>
        <w:tc>
          <w:tcPr>
            <w:tcW w:w="1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ind w:right="56"/>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Pfizer Inc.</w:t>
            </w: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17%</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100" w:type="dxa"/>
            <w:vAlign w:val="bottom"/>
          </w:tcPr>
          <w:p>
            <w:pPr>
              <w:spacing w:after="0"/>
              <w:rPr>
                <w:sz w:val="19"/>
                <w:szCs w:val="19"/>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Merck &amp; Co., Inc.</w:t>
            </w:r>
          </w:p>
        </w:tc>
        <w:tc>
          <w:tcPr>
            <w:tcW w:w="1000" w:type="dxa"/>
            <w:vAlign w:val="bottom"/>
            <w:shd w:val="clear" w:color="auto" w:fill="CFF0FC"/>
          </w:tcPr>
          <w:p>
            <w:pPr>
              <w:jc w:val="center"/>
              <w:ind w:right="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center"/>
              <w:ind w:right="2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ind w:right="56"/>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Indivumed GmbH</w:t>
            </w: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rPr>
              <w:t>30%</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 of revenues or accounts receivable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 applies the revenue recognition guidance in accordance with Financial Accounting Standards Board (“FASB”) Accounting Standards Codification (“ASC”) Topic 606, Revenue from Contracts with Customers (“Topic 606”).</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derives revenues from sequencing and data analysis services to support the development of personalized cancer vaccines and other next-generation cancer immunotherapies, as well as to support population sequencing initiatives.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5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sequencing and data analysis services are the only distinct services that meet the definition of a performance obligation and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3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0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condensed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Costs of revenues primarily consist of production materials, personnel costs (e.g., salaries, bonuses, benefit, and stock-based compensation), costs of consumables and laboratory supplies, information technology (“IT”) and facility costs, and depreciation and service maintenance contracts on capitalized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For options granted to employees, non-employees, and directors, stock-based compensation is measured at grant date based on the fair value of the award. The Company determines the grant-date fair value of the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is deemed to be a compensatory plan and therefore is included in stock-based compensation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760"/>
        <w:spacing w:after="0"/>
        <w:rPr>
          <w:sz w:val="20"/>
          <w:szCs w:val="20"/>
          <w:color w:val="auto"/>
        </w:rPr>
      </w:pPr>
      <w:r>
        <w:rPr>
          <w:rFonts w:ascii="Times New Roman" w:cs="Times New Roman" w:eastAsia="Times New Roman" w:hAnsi="Times New Roman"/>
          <w:sz w:val="18"/>
          <w:szCs w:val="18"/>
          <w:color w:val="auto"/>
        </w:rPr>
        <w:t>Inputs used in Black-Scholes option-pricing models to measure fair value of options are summarized as follows:</w:t>
      </w:r>
    </w:p>
    <w:p>
      <w:pPr>
        <w:spacing w:after="0" w:line="19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is calculated using the simplified method, which is available if there is insufficient historical data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patterns and post-vesting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times from grant until the midpoints for each of the tranches may be averaged to provide an overall expected term.</w:t>
      </w:r>
    </w:p>
    <w:p>
      <w:pPr>
        <w:spacing w:after="0" w:line="14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used an average historical stock price volatility of a peer group of publicly traded companies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39"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implied yield currently available on U.S. Treasury zero-coupon issues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terms equivalent to the expected term of a stock award.</w:t>
      </w:r>
    </w:p>
    <w:p>
      <w:pPr>
        <w:spacing w:after="0" w:line="131"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Rate. </w:t>
      </w:r>
      <w:r>
        <w:rPr>
          <w:rFonts w:ascii="Times New Roman" w:cs="Times New Roman" w:eastAsia="Times New Roman" w:hAnsi="Times New Roman"/>
          <w:sz w:val="18"/>
          <w:szCs w:val="18"/>
          <w:color w:val="auto"/>
        </w:rPr>
        <w:t>The Company has not paid and does not anticipate paying any dividends in the near future. Accordingly,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estimated the dividend yield to be zero.</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convertible preferred stock warrants, common stock warrants, common stock subject to repurchase, and equity awards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and U.S. agency bonds, which are marketable debt securities recorded at fair value and accounted for in the same manner as other marketable debt securities described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and U.S. treasuries.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Unrealized gains and losses are included in accumulated other comprehensive income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three-level hierarchy for the inputs to valuation techniques used to measure fair value is briefly summarized as follows:</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in active markets that are accessible to the reporting entity at the measurement date for identical assets and liabilities.</w:t>
      </w:r>
    </w:p>
    <w:p>
      <w:pPr>
        <w:spacing w:after="0" w:line="121"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35" w:lineRule="exact"/>
        <w:rPr>
          <w:sz w:val="20"/>
          <w:szCs w:val="20"/>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and liabilities in active markets.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184"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Observable inputs other than quoted prices that are used in the valuation of the asset or liabilities (e.g., interest rate and yield curve quotes at commonly quoted intervals).</w:t>
      </w:r>
    </w:p>
    <w:p>
      <w:pPr>
        <w:spacing w:after="0" w:line="12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are corroborated by observable market data by correlation or other means.</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hierarchy requires the Company to use observable market data, when available, and to minimize the use of unobservable inputs when determining fair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and Other Deferred Costs</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Inventory, consisting of supplies used in the Company’s genomic analysis contracts, are valued at the lower of cost or net realizable value. Cost is determined using actual costs, on a first-in, first-out basis.</w:t>
      </w:r>
    </w:p>
    <w:p>
      <w:pPr>
        <w:spacing w:after="0" w:line="12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Other deferred costs relate to work in process for costs incurred on genomic analysis contracts that have not been completed or recognized as revenues. Other deferred costs represent materials used in sequencing services, labor, and overhead allocations.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categorizes leases with contractual terms longer than twelve months as either operating or finance leases. Finance leases are generally those leases that allow the Company to substantially utilize or pay for the entire asset over its estimated life. All other leases are categorized as operating leases. As of September 30, 2020, the Company had no finance leases.</w:t>
      </w:r>
    </w:p>
    <w:p>
      <w:pPr>
        <w:spacing w:after="0" w:line="13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Lease liabilities are recognized at the present value of the fixed lease payments, reduced by landlord incentives,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reduced by landlord incentives, plus any direct costs from executing the leases or lease prepayments reclassified from “Other long-term assets” upon lease commencement.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6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right-of-use assets and lease liabilities that arise from leases with a term of 12 months or less. Lease payments are recognized as an expense on a straight-line basis over the lease term.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0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In November 2019, the FASB delayed the effective date for Topic 326 as applicable to smaller reporting companies to the first quarter of 2023. The Company is currently evaluating the impact of the new guidance on its consolidated financial statements and related disclosures. The Company will apply the new guidance by means of a cumulative-effect adjustment to the opening retained earnings as of the beginning of the first reporting period in which the guidance is effective.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irrevocably elected not to avail itself of this exemption from new or revised accounting standards, and therefore, the Company will be subject to the same new or revised accounting standards as other public companies that are not emerging growth companies.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customer type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50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58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 MVP</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14,092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12,912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43,598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29,791</w:t>
            </w:r>
          </w:p>
        </w:tc>
      </w:tr>
      <w:tr>
        <w:trPr>
          <w:trHeight w:val="230"/>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 other customers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5,724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4,241</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14,874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17,262</w:t>
            </w: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19,816</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17,153</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58,472</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47,053</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Revenues from countries outside of the United States, based on the billing addresses of customers, represented approximately 7% and 1% of the Company’s revenues for the three months ended September 30, 2020 and 2019, respectively, and approximately 5% and 1% for the nine months ended September 30, 2020 and 2019,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Contract assets as of September 30, 2020 were immaterial. The Company had no contract assets as of December 31, 2019.</w:t>
      </w:r>
    </w:p>
    <w:p>
      <w:pPr>
        <w:spacing w:after="0" w:line="18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Company’s contract liabilities consist of customer deposits in excess of revenues recognized and are presented as current liabilities in the condensed consolidated balance sheets.</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balance of contract liabilities was $20.6 million and $36.0 million as of September 30, 2020 and December 31, 2019, respectively. Revenues recognized for the three months ended September 30, 2020 and 2019 that were included in the contract liability balance at the beginning of each reporting period were $10.6 million and $10.7 million, respectively. Revenues recognized for the nine months ended September 30, 2020 and 2019 that were included in the contract liability balance at the beginning of each period were $31.7 million and $25.2 million,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Revenues allocated to remaining performance obligations represent contracted revenues that have not yet been recognized (“contracted not recognized revenues”), which include VA MVP contract liabilities and amounts that will be invoiced and recognized as revenues in future periods. Contracted not recognized revenues were $56.0 million as of September 30, 2020, which the Company expects to recognize as revenues within approximately four quarters. The Company has elected the optional exemption that allows for the exclusion of contracts with an original expected duration of one year or less.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Details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Inventory and other deferred costs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2,635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1,424</w:t>
            </w: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deferred costs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3,633</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3,182</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inventory and other deferred costs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6,268</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4,606</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right="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Depreciation and amortization expense for the three months ended September 30, 2020 and 2019 was $1.5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million, respectively, and for the nine months ended September 30, 2020 and 2019 was $4.3 million and $3.4 million, respectively. Accumulated depreciation and amortization was $13.1 million and $9.1 million as of September 30, 2020 and December 31, 2019, respectively.</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5,432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4,147</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2,302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1,361</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8,797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6,648</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0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financial assets and liabilities measured at fair value on a recurring basis and the level of inputs used in such measurements as of September 30, 2020 and December 31, 2019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Cost</w:t>
            </w:r>
          </w:p>
        </w:tc>
        <w:tc>
          <w:tcPr>
            <w:tcW w:w="140" w:type="dxa"/>
            <w:vAlign w:val="bottom"/>
          </w:tcPr>
          <w:p>
            <w:pPr>
              <w:spacing w:after="0"/>
              <w:rPr>
                <w:sz w:val="11"/>
                <w:szCs w:val="11"/>
                <w:color w:val="auto"/>
              </w:rPr>
            </w:pPr>
          </w:p>
        </w:tc>
        <w:tc>
          <w:tcPr>
            <w:tcW w:w="880" w:type="dxa"/>
            <w:vAlign w:val="bottom"/>
          </w:tcPr>
          <w:p>
            <w:pPr>
              <w:jc w:val="right"/>
              <w:ind w:right="9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8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Level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102,532</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26,519</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133,245</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60,938</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72,818</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206,063</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Cost</w:t>
            </w:r>
          </w:p>
        </w:tc>
        <w:tc>
          <w:tcPr>
            <w:tcW w:w="140" w:type="dxa"/>
            <w:vAlign w:val="bottom"/>
          </w:tcPr>
          <w:p>
            <w:pPr>
              <w:spacing w:after="0"/>
              <w:rPr>
                <w:sz w:val="11"/>
                <w:szCs w:val="11"/>
                <w:color w:val="auto"/>
              </w:rPr>
            </w:pPr>
          </w:p>
        </w:tc>
        <w:tc>
          <w:tcPr>
            <w:tcW w:w="880" w:type="dxa"/>
            <w:vAlign w:val="bottom"/>
          </w:tcPr>
          <w:p>
            <w:pPr>
              <w:jc w:val="right"/>
              <w:ind w:right="9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Level</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41,280</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55,046</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13,948</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73,236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73,243</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128,289</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There have been no realized gains or losses on sales of marketable securities for the periods presented. No security has been in an unrealized loss position for 12 months or greater. The Company determined that it did have the ability and intent to hold all marketable securities that have been in a continuous loss position until maturity or recovery. As of September 30, 2020, the Company does not consider any of its marketable debt securities to be other-than-temporarily impaired.</w:t>
      </w:r>
    </w:p>
    <w:p>
      <w:pPr>
        <w:spacing w:after="0" w:line="139" w:lineRule="exact"/>
        <w:rPr>
          <w:sz w:val="20"/>
          <w:szCs w:val="20"/>
          <w:color w:val="auto"/>
        </w:rPr>
      </w:pPr>
    </w:p>
    <w:p>
      <w:pPr>
        <w:jc w:val="both"/>
        <w:ind w:right="40" w:firstLine="749"/>
        <w:spacing w:after="0" w:line="282" w:lineRule="auto"/>
        <w:rPr>
          <w:sz w:val="20"/>
          <w:szCs w:val="20"/>
          <w:color w:val="auto"/>
        </w:rPr>
      </w:pPr>
      <w:r>
        <w:rPr>
          <w:rFonts w:ascii="Times New Roman" w:cs="Times New Roman" w:eastAsia="Times New Roman" w:hAnsi="Times New Roman"/>
          <w:sz w:val="18"/>
          <w:szCs w:val="18"/>
          <w:color w:val="auto"/>
        </w:rPr>
        <w:t>The Company’s marketable debt securities at September 30, 2020 have maturities due in one year or less, except for debt securities with an aggregate cost basis and fair value of $12.0 million that have maturities ranging from 19 to 24 months.</w:t>
      </w:r>
    </w:p>
    <w:p>
      <w:pPr>
        <w:spacing w:after="0" w:line="13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The Black-Scholes option-pricing model was used to estimate the fair value of the redeemable convertible preferred stock warrants at the date of issuance and at each subsequent consolidated balance sheet date. The fair value of the redeemable convertible preferred stock warrants was also estimated at the time of conversion to common stock warrants (see Note 10). Under this option-pricing model, redeemable convertible preferred stock warrants were valued by creating a series of call options with exercise prices based on the liquidation preferences and conversion terms of each equity class. The values of the redeemable convertible preferred stock and common stock are inferred by analyzing these options.</w:t>
      </w:r>
    </w:p>
    <w:p>
      <w:pPr>
        <w:spacing w:after="0" w:line="143"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18"/>
          <w:szCs w:val="18"/>
          <w:color w:val="auto"/>
        </w:rPr>
        <w:t>The fair value of each redeemable convertible preferred stock warrant was estimated using the Black-Scholes option-pricing model with the assumptions described below. Upon conversion to common stock warrants in the second quarter of 2019 (see Note 10), no further fair value measurements were made. Therefore, there is no activity with respect to periods after the second quarter of 2019. For the periods indicated, the Company has limited historical volatility information available, and the expected volatility was based on actual 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over the expected term of the warrants.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0" w:type="dxa"/>
            <w:vAlign w:val="bottom"/>
          </w:tcPr>
          <w:p>
            <w:pPr>
              <w:spacing w:after="0"/>
              <w:rPr>
                <w:sz w:val="14"/>
                <w:szCs w:val="14"/>
                <w:color w:val="auto"/>
              </w:rPr>
            </w:pPr>
          </w:p>
        </w:tc>
      </w:tr>
      <w:tr>
        <w:trPr>
          <w:trHeight w:val="149"/>
        </w:trPr>
        <w:tc>
          <w:tcPr>
            <w:tcW w:w="36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24,</w:t>
            </w:r>
          </w:p>
        </w:tc>
        <w:tc>
          <w:tcPr>
            <w:tcW w:w="20" w:type="dxa"/>
            <w:vAlign w:val="bottom"/>
          </w:tcPr>
          <w:p>
            <w:pPr>
              <w:spacing w:after="0"/>
              <w:rPr>
                <w:sz w:val="12"/>
                <w:szCs w:val="12"/>
                <w:color w:val="auto"/>
              </w:rPr>
            </w:pPr>
          </w:p>
        </w:tc>
      </w:tr>
      <w:tr>
        <w:trPr>
          <w:trHeight w:val="173"/>
        </w:trPr>
        <w:tc>
          <w:tcPr>
            <w:tcW w:w="3660" w:type="dxa"/>
            <w:vAlign w:val="bottom"/>
          </w:tcPr>
          <w:p>
            <w:pPr>
              <w:spacing w:after="0"/>
              <w:rPr>
                <w:sz w:val="15"/>
                <w:szCs w:val="15"/>
                <w:color w:val="auto"/>
              </w:rPr>
            </w:pPr>
          </w:p>
        </w:tc>
        <w:tc>
          <w:tcPr>
            <w:tcW w:w="7580" w:type="dxa"/>
            <w:vAlign w:val="bottom"/>
            <w:gridSpan w:val="3"/>
          </w:tcPr>
          <w:p>
            <w:pPr>
              <w:jc w:val="center"/>
              <w:ind w:left="529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15"/>
                <w:szCs w:val="15"/>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4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- 5.26</w:t>
            </w: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- 57.24%</w:t>
            </w:r>
          </w:p>
        </w:tc>
        <w:tc>
          <w:tcPr>
            <w:tcW w:w="2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580" w:type="dxa"/>
            <w:vAlign w:val="bottom"/>
            <w:gridSpan w:val="3"/>
            <w:shd w:val="clear" w:color="auto" w:fill="CFF0FC"/>
          </w:tcPr>
          <w:p>
            <w:pPr>
              <w:jc w:val="center"/>
              <w:ind w:left="5295"/>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400" w:type="dxa"/>
            <w:vAlign w:val="bottom"/>
          </w:tcPr>
          <w:p>
            <w:pPr>
              <w:spacing w:after="0"/>
              <w:rPr>
                <w:sz w:val="20"/>
                <w:szCs w:val="20"/>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r>
      <w:tr>
        <w:trPr>
          <w:trHeight w:val="643"/>
        </w:trPr>
        <w:tc>
          <w:tcPr>
            <w:tcW w:w="3660" w:type="dxa"/>
            <w:vAlign w:val="bottom"/>
          </w:tcPr>
          <w:p>
            <w:pPr>
              <w:spacing w:after="0"/>
              <w:rPr>
                <w:sz w:val="24"/>
                <w:szCs w:val="24"/>
                <w:color w:val="auto"/>
              </w:rPr>
            </w:pPr>
          </w:p>
        </w:tc>
        <w:tc>
          <w:tcPr>
            <w:tcW w:w="5400" w:type="dxa"/>
            <w:vAlign w:val="bottom"/>
          </w:tcPr>
          <w:p>
            <w:pPr>
              <w:jc w:val="right"/>
              <w:ind w:right="3255"/>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7" w:right="31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Company’s Level 3 financial instruments (in thousands):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 of warrant liability to additional paid-in capital on conversion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September 30, 2019</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Borrowings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There were no amounts outstanding under financing arrangements as of September 30, 2020 or December 31, 2019.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Warrant</w:t>
            </w:r>
          </w:p>
        </w:tc>
      </w:t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18"/>
        </w:trPr>
        <w:tc>
          <w:tcPr>
            <w:tcW w:w="20" w:type="dxa"/>
            <w:vAlign w:val="bottom"/>
          </w:tcPr>
          <w:p>
            <w:pPr>
              <w:spacing w:after="0"/>
              <w:rPr>
                <w:sz w:val="18"/>
                <w:szCs w:val="18"/>
                <w:color w:val="auto"/>
              </w:rPr>
            </w:pPr>
          </w:p>
        </w:tc>
        <w:tc>
          <w:tcPr>
            <w:tcW w:w="36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23"/>
        </w:trPr>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86" w:lineRule="exact"/>
        <w:rPr>
          <w:sz w:val="20"/>
          <w:szCs w:val="20"/>
          <w:color w:val="auto"/>
        </w:rPr>
      </w:pPr>
    </w:p>
    <w:p>
      <w:pPr>
        <w:sectPr>
          <w:pgSz w:w="11900" w:h="16838" w:orient="portrait"/>
          <w:cols w:equalWidth="0" w:num="2">
            <w:col w:w="9100" w:space="160"/>
            <w:col w:w="1980"/>
          </w:cols>
          <w:pgMar w:left="320" w:top="337" w:right="339" w:bottom="1440" w:gutter="0" w:footer="0" w:header="0"/>
          <w:type w:val="continuous"/>
        </w:sect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June 2017, the Company entered into a $10.0 million revolving loan and security agreement (the “Revolving Loan”) with TriplePoint Capital LLC (“TriplePoint”). The Company borrowed $5.0 million under the Revolving Loan. Borrowings under the Revolving Loan bear an interest rate of prime, plus 6.75%. The Revolving Loan also has a 5.5% end of term loan payment on the highest outstanding principal amount. The Revolving Loan requires monthly interest-only payments until the maturity date. The Revolving Loan’s original maturity date was December 31, 2018, and in December 2018 the maturity date was further extended until March 22, 2019. Upon determining that the change in cash flows between the previous and current credit facility was not greater than 10%, the Company accounted for the transaction as a debt modification.</w:t>
      </w:r>
    </w:p>
    <w:p>
      <w:pPr>
        <w:spacing w:after="0" w:line="14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Revolving Loan, the Company issued to TriplePoint a warrant to purchase up to 62,096 shares of the Company’s Series C redeemable convertible preferred stock at an exercise price of $8.052 per share, which was exercised during the Company’s third quarter ended September 30, 2020 (see Note 10).</w:t>
      </w:r>
    </w:p>
    <w:p>
      <w:pPr>
        <w:spacing w:after="0" w:line="14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upon draw down of $0.1 million was based on the Black-Scholes option-pricing model. The Company recorded the fair value of the warrant at issuance as a reduction in the debt-carrying value and as a warrant liability. The debt-carrying value reduction was accreted using the effective interest method as additional interest expense over the contractual period of 1.5 years for the Revolving Loan.</w:t>
      </w:r>
    </w:p>
    <w:p>
      <w:pPr>
        <w:spacing w:after="0" w:line="13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Revolving Loan had an effective interest rate of 19.22% per year. The Revolving Loan interest expense for the three and nine months ended September 30, 2019 was $0 and $0.2 million, respectively. On March 22, 2019, this Revolving Loan was repaid in full.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Capital Loan</w:t>
      </w:r>
    </w:p>
    <w:p>
      <w:pPr>
        <w:spacing w:after="0" w:line="20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March 22, 2019, the Company entered into a growth capital loan (the “Growth Capital Loan”) with TriplePoint to provide for a $20.0 million growth capital loan facility and had drawn down the full $20.0 million available under the facility. The Company used $5.1 million of the Growth Capital Loan to repay, in its entirety, all amounts outstanding under the Revolving Loan. Borrowings under the Growth Capital Loan bore interest at a floating rate of prime rate plus 5.00% for borrowings up to $15.0 million and the prime rate plus 6.50% for borrowing greater than $15.0 million. Under the agreement, the Company was required to make monthly interest-only payments through April 1, 2020 and was required to make 36 equal monthly payments of principal, plus accrued interest, from April 1, 2020 through March 1, 2023, when all unpaid principal and interest was to become due and payable. The agreement allowed voluntarily prepayment of all, but not part, of the outstanding principal at any time prior to the maturity date, subject to a prepayment fee of 1.00% of the outstanding balance if prepaid in months one through 12 of the loan term. In addition to the final payment, the Company paid an amount equal to 2.75% of each principal amount drawn under the Growth Capital Loan facility.</w:t>
      </w:r>
    </w:p>
    <w:p>
      <w:pPr>
        <w:spacing w:after="0" w:line="14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Growth Capital Loan, the Company issued a warrant to purchase 65,502 shares of common stock to TriplePoint at an exercise price of $9.16 per share, which was exercised during the Company’s third quarter ended September 30, 2020 (see Note 11). The Company recorded the issuance-date fair value of the warrant of $0.6 million and fees paid to TriplePoint of $0.3 million as a debt discount, which was amortized over the term of the Growth Capital Loan using the effective interest rate method.</w:t>
      </w:r>
    </w:p>
    <w:p>
      <w:pPr>
        <w:spacing w:after="0" w:line="13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Upon issuance, the Growth Capital Loan had an effective interest rate of 15.23% per year. Interest expense for the three and nine months ended September 30, 2019 was $0.3 million and $1.0 million, respectively. On August 14, 2019, the Company paid off the Growth Capital Loan in its entirety.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02"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In February 2015, the Company entered into a noncancelable operating lease for approximately 31,280 square feet of space used for its current laboratory and corporate headquarters. In April 2020, the Company extended the lease term. The lease expires on November 30, 2027 and includes an option to extend the term for a period of three years with rent payments equal to then current fair market rental for the space. The Company determined the extension option is not reasonably certain to be exercised. The lease contains a leasehold improvement incentive and escalating rent payments.</w:t>
      </w:r>
    </w:p>
    <w:p>
      <w:pPr>
        <w:spacing w:after="0" w:line="139"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In August 2019, the Company entered into a noncancelable operating lease for a co-located data center space. The lease expires on August 31, 2022 and includes an option to extend the term for a period of three years immediately following the expiration of the term with rent payments to be negotiated upon such a renewal. The Company determined the extension option is not reasonably certain to be exercised. In April 2020, the lease was modified to increase the data center space available for the Company’s use for the remainder of the lease term.</w:t>
      </w:r>
    </w:p>
    <w:p>
      <w:pPr>
        <w:spacing w:after="0" w:line="139" w:lineRule="exact"/>
        <w:rPr>
          <w:sz w:val="20"/>
          <w:szCs w:val="20"/>
          <w:color w:val="auto"/>
        </w:rPr>
      </w:pPr>
    </w:p>
    <w:p>
      <w:pPr>
        <w:jc w:val="both"/>
        <w:ind w:right="40" w:firstLine="749"/>
        <w:spacing w:after="0" w:line="282" w:lineRule="auto"/>
        <w:rPr>
          <w:sz w:val="20"/>
          <w:szCs w:val="20"/>
          <w:color w:val="auto"/>
        </w:rPr>
      </w:pPr>
      <w:r>
        <w:rPr>
          <w:rFonts w:ascii="Times New Roman" w:cs="Times New Roman" w:eastAsia="Times New Roman" w:hAnsi="Times New Roman"/>
          <w:sz w:val="18"/>
          <w:szCs w:val="18"/>
          <w:color w:val="auto"/>
        </w:rPr>
        <w:t>Operating lease cost for the three months ended September 30, 2020 and 2019 was $0.6 million and $0.3 million, respectively, and for the nine months ended September 30, 2020 and 2019 was $1.6 million and $0.8 million, respectively.</w:t>
      </w:r>
    </w:p>
    <w:p>
      <w:pPr>
        <w:spacing w:after="0" w:line="135"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2020, the Company’s operating leases had a weighted-average remaining lease term of 6.6 years and a weighted-average discount rate of 10.7%. The Company’s discount rates are based on estimates of its incremental borrowing rate, as the discount rates implicit in the Company’s leases cannot be readily determined. Future lease payments under operating leases as of September 30, 2020 were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6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(remaining three months)</w:t>
            </w:r>
          </w:p>
        </w:tc>
        <w:tc>
          <w:tcPr>
            <w:tcW w:w="28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FF0FC"/>
          </w:tcPr>
          <w:p>
            <w:pPr>
              <w:spacing w:after="0"/>
              <w:rPr>
                <w:sz w:val="19"/>
                <w:szCs w:val="19"/>
                <w:color w:val="auto"/>
              </w:rPr>
            </w:pP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19"/>
                <w:szCs w:val="19"/>
                <w:color w:val="auto"/>
              </w:rPr>
            </w:pPr>
          </w:p>
        </w:tc>
      </w:tr>
      <w:tr>
        <w:trPr>
          <w:trHeight w:val="22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FF0FC"/>
          </w:tcPr>
          <w:p>
            <w:pPr>
              <w:spacing w:after="0"/>
              <w:rPr>
                <w:sz w:val="19"/>
                <w:szCs w:val="19"/>
                <w:color w:val="auto"/>
              </w:rPr>
            </w:pPr>
          </w:p>
        </w:tc>
      </w:tr>
      <w:tr>
        <w:trPr>
          <w:trHeight w:val="230"/>
        </w:trPr>
        <w:tc>
          <w:tcPr>
            <w:tcW w:w="6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8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bottom w:val="single" w:sz="8" w:color="CFF0FC"/>
            </w:tcBorders>
          </w:tcPr>
          <w:p>
            <w:pPr>
              <w:spacing w:after="0"/>
              <w:rPr>
                <w:sz w:val="19"/>
                <w:szCs w:val="19"/>
                <w:color w:val="auto"/>
              </w:rPr>
            </w:pP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10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imputed interest</w:t>
            </w:r>
          </w:p>
        </w:tc>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(4,777)</w:t>
            </w:r>
          </w:p>
        </w:tc>
      </w:tr>
      <w:tr>
        <w:trPr>
          <w:trHeight w:val="223"/>
        </w:trPr>
        <w:tc>
          <w:tcPr>
            <w:tcW w:w="6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current portion of operating lease liability</w:t>
            </w:r>
          </w:p>
        </w:tc>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(2,302)</w:t>
            </w:r>
          </w:p>
        </w:tc>
      </w:tr>
      <w:tr>
        <w:trPr>
          <w:trHeight w:val="223"/>
        </w:trPr>
        <w:tc>
          <w:tcPr>
            <w:tcW w:w="6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Cash paid for operating lease liabilities, included in cash flows from operating activities in the condensed consolidated statement of cash flows, for the nine months ended September 30, 2020 and 2019, was $1.2 million and $0.8 million, respectively. Right-of-use assets obtained in exchange for new operating lease liabilities during the nine months ended September 30, 2020 and 2019 were $9.8 million and $2.8 million, respectively, including the impact of adopting ASU 2016-02, Leases (Topic 842) in the first quarter of 2019.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Redeemable Convertible Preferred Stock</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Series A redeemable convertible preferred stock, Series B redeemable convertible preferred stock and Series C redeemable convertible preferred stock (collectively the “Redeemable Convertible Preferred Stock”) outstanding consisted of the following as of December 31, 2018 and as of immediately prior to the automatic conversion of the Redeemable Convertible Preferred Stock into common stock: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140" w:type="dxa"/>
            <w:vAlign w:val="bottom"/>
          </w:tcPr>
          <w:p>
            <w:pPr>
              <w:spacing w:after="0"/>
              <w:rPr>
                <w:sz w:val="11"/>
                <w:szCs w:val="11"/>
                <w:color w:val="auto"/>
              </w:rPr>
            </w:pPr>
          </w:p>
        </w:tc>
        <w:tc>
          <w:tcPr>
            <w:tcW w:w="1100" w:type="dxa"/>
            <w:vAlign w:val="bottom"/>
          </w:tcPr>
          <w:p>
            <w:pPr>
              <w:jc w:val="center"/>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50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500" w:type="dxa"/>
            <w:vAlign w:val="bottom"/>
            <w:tcBorders>
              <w:top w:val="single" w:sz="8" w:color="auto"/>
              <w:bottom w:val="single" w:sz="8" w:color="auto"/>
            </w:tcBorders>
            <w:gridSpan w:val="4"/>
          </w:tcPr>
          <w:p>
            <w:pPr>
              <w:jc w:val="right"/>
              <w:ind w:right="85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w:t>
            </w:r>
          </w:p>
        </w:tc>
        <w:tc>
          <w:tcPr>
            <w:tcW w:w="25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31,250,000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7,812,497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20,500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25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19,288,150</w:t>
            </w: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4,799,548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22,078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w:t>
            </w:r>
          </w:p>
        </w:tc>
        <w:tc>
          <w:tcPr>
            <w:tcW w:w="25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24,700,000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5,862,697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47,206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47,096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13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75,238,150</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18,474,742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89,784</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89,404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19" w:name="page20"/>
    <w:bookmarkEnd w:id="19"/>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of the Company’s IPO, all shares of the Company’s then-outstanding Redeemable Convertible Preferred Stock, as shown in the table above, automatically converted on a one-for-one basis into an aggregate of 18,474,703 shares of common stock. The Company’s June 2019 reverse stock split was effected on a holder-by-holder basis with no fractional shares issued, which resulted in 39 fewer shares of common stock issued as compared to the amounts shown in the above table.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2011 Equity Incentive Plan</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2011, the Company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(“RSUs”). Options under the 2011 Plan could be granted for periods of up to 10 years. The ISOs could be granted at a price per share not less than the fair value at the date of grant.</w:t>
      </w:r>
    </w:p>
    <w:p>
      <w:pPr>
        <w:spacing w:after="0" w:line="13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For stock option grants issued prior to December 31, 2015, the Company allowed employees to exercise options granted under the 2011 Plan prior to vesting (early exercise of stock options). The unvested shares are subject to the Company’s repurchase rights at the original purchase price. Initially, the proceeds were recorded as an accrued liability from the early exercise of stock options and reclassified to common stock as the Company’s repurchase rights lapse. There were no unvested shares subject to the Company’s repurchase rights as of September 30, 2020 and December 31, 2019.</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adopted and the Company’s stockholders approved the 2019 Equity Incentive Plan (the “2019 Plan”) in May 2019 and June 2019, respectively. The 2019 Plan became effective in June 2019 in connection with the Company’s IPO, and no further grants will be made under the 2011 Plan. Shares reserved and remaining available for issuance under the 2011 Plan were added to the 2019 Plan reserve upon its effectiveness.</w:t>
      </w:r>
    </w:p>
    <w:p>
      <w:pPr>
        <w:spacing w:after="0" w:line="13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2019 Plan provides for the grant of ISOs, NSOs, stock appreciation rights, restricted stock awards, RSUs,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the Company’s common stock on the date of grant. Options under the 2019 Plan may be granted for periods of up to 10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Inducement Plan</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Compensation Committee of the Company’s board of directors adopted the 2020 Inducement Plan (the “Inducement Plan”) in May 2020, which became effective upon adoption. The Inducement Plan was adopted without stockholder approval, as permitted by the Nasdaq Stock Market rules. The Inducement Plan provides for the grant of equity-based awards, including NSOs, stock appreciation rights, restricted stock awards, RSUs, performance-based stock awards, and other forms of equity compensation, and its terms are substantially similar to the stockholder-approved 2019 Plan. In accordance with relevant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20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adopted and the Company’s stockholders approved the 2019 Employee Stock Purchase Plan (the “ESPP”) in May 2019 and June 2019, respectively. 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The ESPP provides for separate six-month offering periods beginning on May 1 and November 1 of each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firstLine="749"/>
        <w:spacing w:after="0" w:line="282" w:lineRule="auto"/>
        <w:rPr>
          <w:sz w:val="20"/>
          <w:szCs w:val="20"/>
          <w:color w:val="auto"/>
        </w:rPr>
      </w:pPr>
      <w:r>
        <w:rPr>
          <w:rFonts w:ascii="Times New Roman" w:cs="Times New Roman" w:eastAsia="Times New Roman" w:hAnsi="Times New Roman"/>
          <w:sz w:val="18"/>
          <w:szCs w:val="18"/>
          <w:color w:val="auto"/>
        </w:rPr>
        <w:t>Shares of common stock available for issuance under the Company’s equity incentive plans at September 30, 2020 and December 31, 2019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Reserved for issuance upon exercise of options outstanding under the 2011 Plan</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3,548,764</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4,474,057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issuance upon exercise or settlement of awards outstanding under the 2019 Plan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2,239,610</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377,378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Reserved and available for issuance under the 2019 Plan </w:t>
            </w:r>
            <w:r>
              <w:rPr>
                <w:rFonts w:ascii="Times New Roman" w:cs="Times New Roman" w:eastAsia="Times New Roman" w:hAnsi="Times New Roman"/>
                <w:sz w:val="15"/>
                <w:szCs w:val="15"/>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2,200,594</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2,392,343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issuance upon exercise or settlement of awards outstanding under the Inducement Plan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199,300</w:t>
            </w:r>
          </w:p>
        </w:tc>
        <w:tc>
          <w:tcPr>
            <w:tcW w:w="28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Reserved and available for issuance under the Inducement Plan</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800,700</w:t>
            </w:r>
          </w:p>
        </w:tc>
        <w:tc>
          <w:tcPr>
            <w:tcW w:w="2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Reserved and available for issuance under the ESPP </w:t>
            </w:r>
            <w:r>
              <w:rPr>
                <w:rFonts w:ascii="Times New Roman" w:cs="Times New Roman" w:eastAsia="Times New Roman" w:hAnsi="Times New Roman"/>
                <w:sz w:val="15"/>
                <w:szCs w:val="15"/>
                <w:color w:val="auto"/>
              </w:rPr>
              <w:t>(2)</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413,266</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172,316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number of shares reserved</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9,402,234</w:t>
            </w:r>
          </w:p>
        </w:tc>
        <w:tc>
          <w:tcPr>
            <w:tcW w:w="2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7,416,094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2"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September 30, 2020 balance includes share increase added January 1, 2020 pursuant to the “evergreen” provision in the amount of 1,562,151 shares</w:t>
      </w:r>
    </w:p>
    <w:p>
      <w:pPr>
        <w:spacing w:after="0" w:line="82"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September 30, 2020 balance includes share increase added January 1, 2020 pursuant to the “evergreen” provision in the amount of 312,430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20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 activity (excluding performance-based stock option activity summarized further below) under the 2011 Plan, 2019 Plan, and Inducement Plan for the nine months ended September 30, 2020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Term (in</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4,731,435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(740,630)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(228,982)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Balance—September 30,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4,919,464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September 30, 2020</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49,591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2,793,499</w:t>
            </w:r>
          </w:p>
        </w:tc>
        <w:tc>
          <w:tcPr>
            <w:tcW w:w="16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Options granted to new hires generally vest over a four-year period, with 25% vesting at the end of one year and the remaining vesting monthly thereafter. Options granted as merit awards generally vest monthly over a three- or four-year period.</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unexercised stock options is calculated as the difference between the closing price of the Company’s common stock of $21.67 on September 30, 2020 and the exercise prices of the underlying stock options. Out-of-the money stock options are excluded from the aggregate intrinsic value.</w:t>
      </w:r>
    </w:p>
    <w:p>
      <w:pPr>
        <w:spacing w:after="0" w:line="13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$11.71 and $8.81 per share for the three months ended September 30, 2020 and 2019, respectively, and $5.40 and $8.19 per share for the nine months ended September 30, 2020 and 2019, respectively. As of September 30, 2020, the unrecognized stock-based compensation cost of unvested options was $11.4 million, which is expected to be recognized over a weighted-average period of 2.6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Valuation of Stock Options</w:t>
      </w:r>
    </w:p>
    <w:p>
      <w:pPr>
        <w:spacing w:after="0" w:line="20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30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5360" w:type="dxa"/>
            <w:vAlign w:val="bottom"/>
            <w:tcBorders>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right="45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ind w:right="43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ind w:right="47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5.77 - 6.08</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6.00 - 6.08</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5.50 - 6.08</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5.00 - 6.87</w:t>
            </w: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- 68.15%</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- 63.08%</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- 68.18%</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- 63.08%</w:t>
            </w: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- 0.39%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- 1.73%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- 1.66%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- 2.52%</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tcPr>
          <w:p>
            <w:pPr>
              <w:spacing w:after="0"/>
              <w:rPr>
                <w:sz w:val="20"/>
                <w:szCs w:val="20"/>
                <w:color w:val="auto"/>
              </w:rPr>
            </w:pPr>
          </w:p>
        </w:tc>
        <w:tc>
          <w:tcPr>
            <w:tcW w:w="9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spacing w:after="0"/>
              <w:rPr>
                <w:sz w:val="20"/>
                <w:szCs w:val="20"/>
                <w:color w:val="auto"/>
              </w:rPr>
            </w:pPr>
          </w:p>
        </w:tc>
        <w:tc>
          <w:tcPr>
            <w:tcW w:w="9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spacing w:after="0"/>
              <w:rPr>
                <w:sz w:val="20"/>
                <w:szCs w:val="20"/>
                <w:color w:val="auto"/>
              </w:rPr>
            </w:pPr>
          </w:p>
        </w:tc>
        <w:tc>
          <w:tcPr>
            <w:tcW w:w="9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0"/>
                <w:szCs w:val="20"/>
                <w:color w:val="auto"/>
              </w:rPr>
            </w:pPr>
          </w:p>
        </w:tc>
        <w:tc>
          <w:tcPr>
            <w:tcW w:w="840" w:type="dxa"/>
            <w:vAlign w:val="bottom"/>
          </w:tcPr>
          <w:p>
            <w:pPr>
              <w:jc w:val="center"/>
              <w:ind w:right="475"/>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 Activity</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Pursuant to the 2019 Plan, in March 2020, the Company’s board of directors granted the Company’s Chief Executive Officer a performance-based stock option (“PSO”) to purchase 421,000 shares of common stock. The PSO is subject to the Chief Executive Officer’s continued service to the Company through the date of vesting and, if the performance condition is not met within 10 years from the date of grant, the PSO will be canceled. The shares subject to the PSO will vest in full if the Company’s average market capitalization is equal to or greater than $1 billion over a 30 calendar day period. Upon a change in control, the vesting of the shares subject to the PSO will accelerate on a pro rata basis based on the price per share in such change in control transaction multiplied by the price per share at such time divided by $1 billion, with up to 100% of the shares eligible for such accelerated vesting.</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performance-based stock option activity under the 2019 Plan for the nine months ended September 30, 2020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Outstanding Performance-Based Options</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Term (in</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Balance—September 30,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421,000</w:t>
            </w:r>
          </w:p>
        </w:tc>
        <w:tc>
          <w:tcPr>
            <w:tcW w:w="3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September 30, 2020</w:t>
            </w: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unexercised stock options is calculated as the difference between the closing price of the Company’s common stock of $21.67 on September 30, 2020 and the exercise price of the underlying stock options. As of September 30, 2020, the unrecognized stock-based compensation cost of unvested performance-based options was $1.2 million, which is expected to be recognized over a period of 4.0 years.</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Subsequent to the quarterly period ended September 30, 2020 covered by this Quarterly Report, the Company’s average market capitalization was equal to or greater than $1 billion over a 30 calendar day period and the PSO vested in full. The full amount of unrecognized stock-based compensation cost of $1.2 million will be recognized in the Company’s quarterly period ended December 31,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Valuation of Performance-Based Stock Options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estimated the fair value of the PSO using a Monte Carlo Model and the following assumptions and estimates: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2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period (in years)</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613"/>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Derived service period (in years)</w:t>
            </w:r>
          </w:p>
        </w:tc>
        <w:tc>
          <w:tcPr>
            <w:tcW w:w="380" w:type="dxa"/>
            <w:vAlign w:val="bottom"/>
          </w:tcPr>
          <w:p>
            <w:pPr>
              <w:spacing w:after="0"/>
              <w:rPr>
                <w:sz w:val="19"/>
                <w:szCs w:val="19"/>
                <w:color w:val="auto"/>
              </w:rPr>
            </w:pPr>
          </w:p>
        </w:tc>
        <w:tc>
          <w:tcPr>
            <w:tcW w:w="15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center"/>
              <w:ind w:right="293"/>
              <w:spacing w:after="0"/>
              <w:rPr>
                <w:sz w:val="20"/>
                <w:szCs w:val="20"/>
                <w:color w:val="auto"/>
              </w:rPr>
            </w:pPr>
            <w:r>
              <w:rPr>
                <w:rFonts w:ascii="Times New Roman" w:cs="Times New Roman" w:eastAsia="Times New Roman" w:hAnsi="Times New Roman"/>
                <w:sz w:val="18"/>
                <w:szCs w:val="18"/>
                <w:color w:val="auto"/>
              </w:rPr>
              <w:t>63.60%</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tcPr>
          <w:p>
            <w:pPr>
              <w:spacing w:after="0"/>
              <w:rPr>
                <w:sz w:val="19"/>
                <w:szCs w:val="19"/>
                <w:color w:val="auto"/>
              </w:rPr>
            </w:pPr>
          </w:p>
        </w:tc>
        <w:tc>
          <w:tcPr>
            <w:tcW w:w="150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19"/>
                <w:szCs w:val="19"/>
                <w:color w:val="auto"/>
              </w:rPr>
            </w:pPr>
          </w:p>
        </w:tc>
      </w:tr>
      <w:tr>
        <w:trPr>
          <w:trHeight w:val="22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500"/>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(per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1"/>
                <w:szCs w:val="2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Activity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RSU activity under the 2019 Plan and Inducement Plan for the nine months ended September 30, 2020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3360" w:type="dxa"/>
            <w:vAlign w:val="bottom"/>
            <w:tcBorders>
              <w:bottom w:val="single" w:sz="8" w:color="auto"/>
            </w:tcBorders>
            <w:gridSpan w:val="7"/>
          </w:tcPr>
          <w:p>
            <w:pPr>
              <w:jc w:val="center"/>
              <w:ind w:left="1017"/>
              <w:spacing w:after="0"/>
              <w:rPr>
                <w:sz w:val="20"/>
                <w:szCs w:val="20"/>
                <w:color w:val="auto"/>
              </w:rPr>
            </w:pPr>
            <w:r>
              <w:rPr>
                <w:rFonts w:ascii="Times New Roman" w:cs="Times New Roman" w:eastAsia="Times New Roman" w:hAnsi="Times New Roman"/>
                <w:sz w:val="14"/>
                <w:szCs w:val="14"/>
                <w:b w:val="1"/>
                <w:bCs w:val="1"/>
                <w:color w:val="auto"/>
              </w:rPr>
              <w:t>Unvested Restricted Stock Units</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6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4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60" w:type="dxa"/>
            <w:vAlign w:val="bottom"/>
            <w:vMerge w:val="continue"/>
          </w:tcPr>
          <w:p>
            <w:pPr>
              <w:spacing w:after="0"/>
              <w:rPr>
                <w:sz w:val="15"/>
                <w:szCs w:val="15"/>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2019</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vested</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(76,331)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RSUs cancelled</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Balance—September 30, 2020</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460" w:type="dxa"/>
            <w:vAlign w:val="bottom"/>
            <w:tcBorders>
              <w:top w:val="single" w:sz="8" w:color="CFF0FC"/>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granted RSUs to employees to receive shares of the Company’s common stock. The RSUs awarded are subject to each individual’s continued service to the Company through each applicable vesting date. RSUs granted to new hires generally vest annually over a four-year period. RSUs granted as merit awards generally vest semi-annually over a three-year period, or in some cases quarterly over a three-year period. The Company accounted for the fair value of the RSUs using the closing market price of the Company’s common stock on the date of grant.</w:t>
      </w:r>
    </w:p>
    <w:p>
      <w:pPr>
        <w:spacing w:after="0" w:line="180"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aggregate fair value of unvested RSUs is calculated using the closing price of the Company’s common stock of $21.67 on September 30, 2020. As of September 30, 2020, the unrecognized stock-based compensation cost of unvested RSUs was $5.7 million, which is expected to be recognized over a weighted-average period of 3.0 years.</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ESPP Activity and Valuation</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71,480 shares of common stock were purchased under the ESPP. The following assumptions were used to calculate the stock-based compensation for each stock purchase right granted under the ESPP: an expected term of 0.5 years, expected volatility of 102.1%, a risk-free interest rate of 0.1%, and a zero dividend yield.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summary of stock-based compensation expense by award type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7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58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stock options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ESPP</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1,690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summary of stock-based compensation expense by function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7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5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58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1,690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Redeemable Convertible Preferred Stock Warrants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September 2014, in connection with a loan, the Company issued a warrant to purchase 22,489 shares of its Series B redeemable convertible preferred stock at an exercise price of $4.60 per share.</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June 2017, as additional consideration for the Revolving Loan (see Note 6), the Company issued a warrant to purchase up to 62,096 shares of its Series C redeemable convertible preferred stock at an exercise price of $8.052.</w:t>
      </w:r>
    </w:p>
    <w:p>
      <w:pPr>
        <w:spacing w:after="0" w:line="13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estimated fair value of the Series C convertible preferred stock warrant on the date of issuance of $0.1 million was recorded as a debt reduction. As of the issuance date, the fair value of the Series C convertible preferred stock warrant was calculated using the Black-Scholes option-pricing model and was based on a contractual term of seven years, a risk-free interest rate of 1.97%, expected volatility of 64.33%, and 0% expected dividend yield.</w:t>
      </w:r>
    </w:p>
    <w:p>
      <w:pPr>
        <w:spacing w:after="0" w:line="13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At initial recognition, the convertible preferred stock warrants were recorded at their estimated fair values and were subject to remeasurement at each consolidated balance sheet date, with changes in fair value recognized as a component of net income. As of December 31, 2018, the fair values of the convertible preferred stock warrants were calculated to be $0.7 million.</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Immediately prior to the closing of the Company’s IPO, the redeemable convertible preferred stock warrants automatically converted to common stock warrants. As a result of the automatic conversion of the redeemable convertible preferred stock warrants to common stock warrants, the Company revalued the redeemable convertible preferred stock warrants as of the completion of the IPO and reclassified the outstanding preferred stock warrant liability balance to additional paid-in capital with no further remeasurements as the common stock warrants are now deemed permanent equity. The fair value transferred to additional paid-in capital was $2.1 million.</w:t>
      </w:r>
    </w:p>
    <w:p>
      <w:pPr>
        <w:spacing w:after="0" w:line="15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Subsequent to the conversion to a common stock warrant and before the end of the Company’s second quarter ended June 30, 2019, the warrant for 22,489 shares was exercised. As a result, the Company issued 19,069 shares of common stock as the warrant allowed for a net share settlement. Separately, the warrant for 62,096 shares issued in June 2017 was exercised during the Company’s third quarter ended September 30, 2020. As a result, the Company issued 40,357 shares of common stock as the warrant allowed for a net share settlement.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11. Common Stock Warrants</w:t>
      </w:r>
    </w:p>
    <w:p>
      <w:pPr>
        <w:spacing w:after="0" w:line="202"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sale of Series A redeemable convertible preferred stock in August 2011, the Company issued a warrant to purchase 188,643 shares of common stock to an investor who purchased Series A redeemable convertible preferred stock in August 2011 at an exercise price of $0.04 per share. The Company recorded the issuance-date fair value of the warrant of $0.1 million in equity as the warrant met all criteria for equity classification. The common stock warrant was exercised in June 2019 prior to the Company’s IPO and is no longer outstanding.</w:t>
      </w:r>
    </w:p>
    <w:p>
      <w:pPr>
        <w:spacing w:after="0" w:line="139"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Growth Capital Loan agreement (see Note 6), the Company issued a warrant to purchase 65,502 shares of common stock to the lender at an exercise price of $9.16 per share. The Company recorded the issuance-date fair value of the warrant of $0.6 million in equity as the warrant met all criteria for equity classification. The warrant was exercised during the Company’s third quarter ended September 30, 2020. As a result, the Company issued 39,415 shares of common stock as the warrant allowed for a net share settlement.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0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 is subject to claims and assessments from time to time in the ordinary course of business. Accruals for litigation and contingencies are reflected in the condensed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September 30, 2020, the Company was not involved in any material legal proceedings.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87"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 Attributable to Common Stockholders</w:t>
      </w:r>
    </w:p>
    <w:p>
      <w:pPr>
        <w:spacing w:after="0" w:line="202"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common shares outstanding for the period. Because the Company reported a net loss for all periods presented, the number of shares used to calculate diluted net loss per common share is the same as the number of shares used to calculate basic net loss per common share for those periods presented because the potentially dilutive shares would have been antidilutive if included in the calculation.</w:t>
      </w:r>
    </w:p>
    <w:p>
      <w:pPr>
        <w:spacing w:after="0" w:line="13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50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35,460,092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31,134,009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32,845,583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13,614,087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weighted-average shares subject to repurchase</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4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Weighted-average shares outstanding used in computing net loss per share</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attributable to common stockholders—basic and diluted</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35,460,092</w:t>
            </w: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31,133,683</w:t>
            </w:r>
          </w:p>
        </w:tc>
        <w:tc>
          <w:tcPr>
            <w:tcW w:w="1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32,845,583</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13,613,444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25" w:name="page26"/>
    <w:bookmarkEnd w:id="25"/>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7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4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2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127,598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5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5,340,464</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4,678,176</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5,340,464</w:t>
            </w:r>
          </w:p>
        </w:tc>
        <w:tc>
          <w:tcPr>
            <w:tcW w:w="14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4,678,176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5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647,210</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647,210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5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91,816</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55,110</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91,816</w:t>
            </w:r>
          </w:p>
        </w:tc>
        <w:tc>
          <w:tcPr>
            <w:tcW w:w="14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early exercised common stock options</w:t>
            </w:r>
          </w:p>
        </w:tc>
        <w:tc>
          <w:tcPr>
            <w:tcW w:w="1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6,079,490</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4,860,962</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6,079,490</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4,860,962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Annual Report on Form 10-K for the fiscal year ended December 31, 2019 filed with the Securities and Exchange Commission (the “SEC”) on March 25, 2020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50 to 500 genes. In parallel with the development of our platform technology, we have also pursued business within the population sequencing market, and we have provided whole genome sequencing services under contract with the U.S. Department of Veterans Affairs (the “VA”) Million Veteran Program (the “VA MVP”), which has enabled us to innovate, scale our operational infrastructure, and achieve greater efficiencies in our lab. In September 2020, we announced receipt of a new task order from the VA MVP with an approximate value of up to $31 million. The cumulative value of task orders received to date from the VA MVP has increased to approximately $175 million.</w:t>
      </w:r>
    </w:p>
    <w:p>
      <w:pPr>
        <w:spacing w:after="0" w:line="15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August 2020, we launched a liquid biopsy assay that analyzes all of the approximately 20,000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also announced in January 2020 a diagnostic based on our NeXT Platform that we envision being used initially by both leading clinical cancer centers as well as biopharmaceutical companies.</w:t>
      </w:r>
    </w:p>
    <w:p>
      <w:pPr>
        <w:spacing w:after="0" w:line="16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August 14, 2020, we completed a follow-on offering in which we issued and sold 6,578,947 shares of common stock at a public offering price of $19.00 per share. We received net proceeds of $117.5 million after deducting underwriting discounts and commissions. We also incurred $0.4 million of offering expenses, including legal, accounting, printing and other offering-related costs, of which $0.1 million was paid by September 30, 2020.</w:t>
      </w:r>
    </w:p>
    <w:p>
      <w:pPr>
        <w:spacing w:after="0" w:line="13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Our operations have been impacted by the ongoing COVID-19 pandemic. While the state and county reopening and health orders applicable to us allow for continued operation of so-called Essential Businesses, which includes certain critical healthcare operations and services, we have substantially closed our office facilities and limited access to our laboratory facilities, to protect our employees and to comply with the provisions described within the orders. We provided temporary increased pay to certain laboratory personnel in the second quarter for their work during the COVID-19 pandemic. Such increased pay was not provided in the third quarter, but we may decide to resume increased pay in the future. The previous shelter-in-place order and current reopening and health orders have negatively impacted productivity, disrupted our business, and slowed research and development activities due to us limiting access to our laboratory space that would otherwise be used by our research and development group, and, to the extent such orders remain in place, they may continue to cause such effects on our operations. The reopening and health orders may disrupt the ability of our suppliers to fulfill our purchase orders in a timely manner or at all. Additionally, we are aware of increased demand in the market for certain consumables used in COVID-19 test kits. We use such consumables in our operations, and we may face difficulties in acquiring such consumables if our suppliers prioritize orders related to COVID-19. Several of our customers were delayed in sending us samples in the second and third quarters due to the inability to collect or ship samples during the COVID-19 pandemic, and these and additional customers may be disrupted from sending purchase orders and samples to us in the future. Many of our 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If our laboratory employees were to contract COVID-19, we may significantly curtail our laboratory operations or pause operations altogether until the imminent health risk to our employees subsided. Such disruptions in our operations, and our customers’ and suppliers’ operations, may continue to adversely affect revenues and operating results.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scope and duration of such impact is highly uncertain. We are unable to predict or quantify the impact of any potential disruption to our supply chain, changes in consumer demand or any other actions that may become necessary as events unfold. In response to this uncertainty, the COVID-19 Advisory Committee of our board of directors was formed in March 2020 and is responsible for advising management on the unique risks to our business, operations, employees, facilities and financial condition related to the COVID-19 pandemic and overseeing our plans and initiatives to respond to and mitigate the risks presented by the pandemic.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derive our revenues primarily from sequencing and data analysis services to support the development of next-generation cancer therapies and to support large-scale genetic research programs. We support our customers by providing high-accuracy, validated genomic sequencing and advanced analytics. Many of these analytics are related to state-of-the-art biomarkers, including those relevant to immuno-oncology therapeutics such as checkpoint inhibitors.</w:t>
      </w:r>
    </w:p>
    <w:p>
      <w:pPr>
        <w:spacing w:after="0" w:line="15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revenues are primarily generated through contracts with companies in the pharmaceutical industry, healthcare organizations, and government entities. Our ability to increase our revenues will depend on our ability to further penetrate this market. To do this, we are developing a growing set of additional state-of-the-art products, advancing our operational infrastructure, expanding our international presence, building our regulatory credentials, and expanding our targeted marketing efforts. Unlike diagnostic or therapeutic companies, we have not to date sought reimbursement through traditional healthcare payors. We sell through a small direct sales force.</w:t>
      </w:r>
    </w:p>
    <w:p>
      <w:pPr>
        <w:spacing w:after="0" w:line="14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have one reportable segment from the sale of sequencing and data analysis services. Substantially all of our revenues to date have been derived from sales in the United States.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Costs of Revenues</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Costs of revenues consist of production material costs, personnel costs (salaries, bonuses, benefits, and stock-based compensation), costs of consumables, laboratory supplies, depreciation and service maintenance on capitalized equipment, and information technology (“IT”) and facility costs. We expect costs of revenues to increase as our revenues grow, and in the short term costs of revenues may outpace revenues growth as we invest in expanding our laboratory capacity, but over time the cost per sample processed is expected to decrease due to economies of scale we may gain as volume increases, automation initiatives, and other cost reductions.</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the development of our products. These expenses consist primarily of payroll and personnel costs (salaries, bonuses, benefits, and stock-based compensation), costs of consumables, laboratory supplies, depreciation and service maintenance on capitalized equipment, and IT and facilities costs. These expenses also include costs associated with our collaborations, which we expect to increase over time.</w:t>
      </w:r>
    </w:p>
    <w:p>
      <w:pPr>
        <w:spacing w:after="0" w:line="13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expense our research and development expenses in the period in which they are incurred. We expect to increase our research and development expenses as we continue to develop new products.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0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Selling expenses consist of personnel costs, customer support expenses, direct marketing expenses, educational and promotional expenses, and market research. Our general and administrative expenses include costs for our executive, accounting, finance, legal, and human resources functions. These expenses consist of personnel costs, audit and legal expenses, consulting costs, and IT and facility costs. We expense all selling, general and administrative expenses as incurred.</w:t>
      </w:r>
    </w:p>
    <w:p>
      <w:pPr>
        <w:spacing w:after="0" w:line="13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also expect general and administrative expenses to increase as we scale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Interest income consists primarily of interest earned on our cash and cash equivalents and short-term investments. Interest income increased significantly beginning in the second half of 2019 as a result of us investing proceeds from the IPO. More recently, interest income has been adversely impacted by recent declines in yields on debt securities. We expect that our interest income will continue to decline in the future as the decline in yields is expected to more than offset the increased investments balances after our August 2020 follow-on offering.</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Previously, interest expense primarily consisted of cash and non-cash interest costs related to our term loan, convertible promissory notes, revolving loan and security agreement (the “Revolving Loan”) with TriplePoint Capital LLC (“TriplePoint”), and growth capital loan (the “Growth Capital Loan”) with TriplePoint. After the payoff of our Growth Capital Loan in August 2019, we no longer have any outstanding debt and have not incurred material interest expense from that point forward.</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foreign currency exchange gains and losses. In 2019, other income (expense), net also consisted of changes in fair value of convertible preferred stock warrant liability. Due to the conversion of convertible preferred stock warrants to common stock warrants upon our IPO, changes in fair value of such warrants are no longer recorded through income since our IPO. See Note 10 included elsewhere in this Quarterly Report on Form 10-Q for further discussion of this item. We expect our foreign currency gains and losses to continue to fluctuate in the future due to changes in foreign currency exchange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sets forth, for the periods presented, our unaudited condensed consolidated statements of operations (in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Costs of revenues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25"/>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(1,704)</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35,460,092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31,133,683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32,845,583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13,613,444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revenues by customer type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5"/>
                <w:szCs w:val="15"/>
                <w:color w:val="auto"/>
              </w:rPr>
            </w:pPr>
          </w:p>
        </w:tc>
      </w:tr>
      <w:tr>
        <w:trPr>
          <w:trHeight w:val="155"/>
        </w:trPr>
        <w:tc>
          <w:tcPr>
            <w:tcW w:w="38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 MVP</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2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29,791</w:t>
            </w:r>
          </w:p>
        </w:tc>
        <w:tc>
          <w:tcPr>
            <w:tcW w:w="128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 other customers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260" w:type="dxa"/>
            <w:vAlign w:val="bottom"/>
            <w:tcBorders>
              <w:bottom w:val="single" w:sz="8" w:color="CFF0FC"/>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35%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1280" w:type="dxa"/>
            <w:vAlign w:val="bottom"/>
            <w:tcBorders>
              <w:bottom w:val="single" w:sz="8" w:color="CFF0FC"/>
            </w:tcBorders>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8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1260" w:type="dxa"/>
            <w:vAlign w:val="bottom"/>
            <w:tcBorders>
              <w:bottom w:val="single" w:sz="8" w:color="CFF0FC"/>
            </w:tcBorders>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6"/>
              </w:rPr>
              <w:t>16%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1280" w:type="dxa"/>
            <w:vAlign w:val="bottom"/>
            <w:tcBorders>
              <w:bottom w:val="single" w:sz="8" w:color="CFF0FC"/>
            </w:tcBorders>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1" w:right="319" w:bottom="1440" w:gutter="0" w:footer="0" w:header="0"/>
        </w:sectPr>
      </w:pPr>
    </w:p>
    <w:bookmarkStart w:id="29" w:name="page30"/>
    <w:bookmarkEnd w:id="29"/>
    <w:p>
      <w:pPr>
        <w:ind w:left="760"/>
        <w:spacing w:after="0"/>
        <w:rPr>
          <w:sz w:val="20"/>
          <w:szCs w:val="20"/>
          <w:color w:val="auto"/>
        </w:rPr>
      </w:pPr>
      <w:r>
        <w:rPr>
          <w:rFonts w:ascii="Times New Roman" w:cs="Times New Roman" w:eastAsia="Times New Roman" w:hAnsi="Times New Roman"/>
          <w:sz w:val="18"/>
          <w:szCs w:val="18"/>
          <w:color w:val="auto"/>
        </w:rPr>
        <w:t>The following table shows concentration of revenues by customer: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7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584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 MVP</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71%</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9"/>
                <w:szCs w:val="19"/>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Pfizer Inc.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 of revenues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VA MVP</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increase in revenues from the VA MVP during the third quarter and first nine months of 2020 was driven by an increase in the volume of samples we tested in each such period. This increase was driven by a significant rise in the number of samples we received from the VA MVP since the start of 2019. Our increasingly automated laboratory has supported this higher level of sample volumes.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All Other Customers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increase in revenues from all other customers during the third quarter of 2020 was driven primarily by an increase in the volume of samples we tested in the period. The increased sample volumes were primarily from large pharmaceutical customers we are partnering with on retrospective clinical trials. Approximately $0.5 million of the increase in revenues was related to the completion of a research collaboration with a biopharmaceutical customer in the gene therapy space that is not expected to occur in future periods.</w:t>
      </w:r>
    </w:p>
    <w:p>
      <w:pPr>
        <w:spacing w:after="0" w:line="13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decrease in revenues from all other customers during the first nine months of 2020 was driven by a decrease in the volume of samples we tested in the period. This was due to the receipt of relatively large orders for specific projects from pharmaceutical customers in early 2018 that were fulfilled beginning around the second quarter of 2018 through the second quarter of 2019, and did not recur due to transitioning customers from our ACE platform to the ImmunoID NeXT platform. Decreases in revenue recognized from large pharmaceutical companies partnering with us on retrospective clinical trials accounted for most of the decrease, partially offset by $0.65 million of revenues related to the completion of a research collaboration with a biopharmaceutical customer in the gene therapy space that is not expected to occur in future periods.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2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55"/>
        </w:trPr>
        <w:tc>
          <w:tcPr>
            <w:tcW w:w="3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9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56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12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44,428</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31,538</w:t>
            </w:r>
          </w:p>
        </w:tc>
        <w:tc>
          <w:tcPr>
            <w:tcW w:w="12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6"/>
              </w:rPr>
              <w:t>41%</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2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2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33%</w:t>
            </w:r>
          </w:p>
        </w:tc>
        <w:tc>
          <w:tcPr>
            <w:tcW w:w="100" w:type="dxa"/>
            <w:vAlign w:val="bottom"/>
          </w:tcPr>
          <w:p>
            <w:pPr>
              <w:spacing w:after="0"/>
              <w:rPr>
                <w:sz w:val="19"/>
                <w:szCs w:val="19"/>
                <w:color w:val="auto"/>
              </w:rPr>
            </w:pPr>
          </w:p>
        </w:tc>
      </w:tr>
      <w:tr>
        <w:trPr>
          <w:trHeight w:val="23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2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2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6"/>
              </w:rPr>
              <w:t>45%</w:t>
            </w:r>
          </w:p>
        </w:tc>
        <w:tc>
          <w:tcPr>
            <w:tcW w:w="100" w:type="dxa"/>
            <w:vAlign w:val="bottom"/>
            <w:shd w:val="clear" w:color="auto" w:fill="CFF0FC"/>
          </w:tcPr>
          <w:p>
            <w:pPr>
              <w:spacing w:after="0"/>
              <w:rPr>
                <w:sz w:val="19"/>
                <w:szCs w:val="19"/>
                <w:color w:val="auto"/>
              </w:rPr>
            </w:pPr>
          </w:p>
        </w:tc>
      </w:tr>
      <w:tr>
        <w:trPr>
          <w:trHeight w:val="223"/>
        </w:trPr>
        <w:tc>
          <w:tcPr>
            <w:tcW w:w="3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29,469</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12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62,275</w:t>
            </w:r>
          </w:p>
        </w:tc>
        <w:tc>
          <w:tcPr>
            <w:tcW w:w="12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40%</w:t>
            </w: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Costs of Revenues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increase in the third quarter of 2020 was primarily due to the increase in revenues discussed above. The cost components related to the increase in costs of revenues were a $1.7 million increase in production materials; a $0.8 million increase related to personnel-related costs including salaries, bonuses, benefits, and stock-based compensation expense in connection with raising our testing capacity; a $0.3 million increase in depreciation and maintenance due to our additions of laboratory equipment; and a $0.1 million increase in IT and facility costs.</w:t>
      </w:r>
    </w:p>
    <w:p>
      <w:pPr>
        <w:spacing w:after="0" w:line="13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increase in the first nine months of 2020 was primarily due to the increase in revenues discussed above. The cost components related to the increase in costs of revenues were a $9.1 million increase in production materials due primarily to higher VA MVP sample volumes; a $1.9 million increase related to personnel-related costs including salaries, bonuses, benefits, and stock-based compensation expense in connection with raising our testing capacity (including approximately $0.2 million related to temporary increased pay to certain laboratory personnel in the second quarter for their work during the COVID-19 pandemic, which did not repeat in the third quarter); a $0.7 million increase in depreciation and maintenance costs due to our additions of laboratory equipment; a $0.6 million increase in IT and facility costs; a $0.4 million increase in the cost of consumables and laboratory supplies; and a $0.2 million increase in other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ind w:left="7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increase in the third quarter of 2020 was primarily due to development of new products and lab automation efforts, and consisted of an increase of $1.5 million in personnel-related costs, including salaries, bonuses, benefits, and stock-based compensation expense; a $0.3 million increase in IT and facilities costs; and a $0.1 million increase in laboratory supplies costs.</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increase in the first nine months of 2020 was primarily due to development of new products and lab automation efforts, and consisted of an increase of $4.1 million in personnel-related costs, including salaries, bonuses, benefits, and stock-based compensation expense; a $0.6 million increase in IT and facilities costs; and a $0.3 million increase in laboratory supplies costs.</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0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increase in the third quarter of 2020 was primarily due to a $1.6 million increase in personnel-related costs including salaries, bonuses, benefits, and stock-based compensation expense primarily related to increased headcount to support expansion of our commercial team.</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increase in the first nine months of 2020 was due to a $4.9 million increase in personnel-related costs including salaries, bonuses, benefits, and stock-based compensation expense primarily related to increased headcount to support expansion of our commercial team; and a $2.2 million increase in professional services primarily related to public company-related costs (including corporate insurance, audit fees, and legal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Loss on Debt Extinguishment, and Other Income (Expense),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60" w:type="dxa"/>
            <w:vAlign w:val="bottom"/>
            <w:gridSpan w:val="6"/>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60" w:type="dxa"/>
            <w:vAlign w:val="bottom"/>
            <w:gridSpan w:val="6"/>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gridSpan w:val="2"/>
            <w:shd w:val="clear" w:color="auto" w:fill="CFF0FC"/>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(1,133)</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8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(1,704)</w:t>
            </w: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(1,704)</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(1,415)</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6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decreases in the third quarter and first nine months of 2020 were driven by declines in yields on debt securities beginning around the second quarter of 2020, partially offset by higher average cash and investment balances subsequent to our IPO in June 2019 and follow-on offering in August 2020.</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third quarter of 2019 included cash and non-cash interest expense related primarily to the Growth Capital Loan, while the nine-month period ended September 30, 2019 also included cash and non-cash interest expense related to the Revolving Loan, which was paid off in late March 2019 with proceeds from the Growth Capital Loan. Since the repayment of the Growth Capital Loan in August 2019, we have had no outstanding debt and therefore did not incur significant interest expense in 2020.</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0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During the third quarter of 2019, the Company recorded a $1.7 million loss on extinguishment of debt as a result of the repayment of the Growth Capital Loan in its entirety.</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Other expense in the nine months ended September 30, 2019 was primarily comprised of increases in the fair values of warrants for Series B and Series C redeemable convertible preferred stock as a result of increases to the estimated fair value of our equity during the period. Other income in 2020 was primarily comprised of foreign currency remeasurements.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and statistics as of and for the nine months ended September 30, 2020 and 2019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short-term investments</w:t>
            </w:r>
          </w:p>
        </w:tc>
        <w:tc>
          <w:tcPr>
            <w:tcW w:w="94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206,063</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127,276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33,726</w:t>
            </w:r>
          </w:p>
        </w:tc>
        <w:tc>
          <w:tcPr>
            <w:tcW w:w="120" w:type="dxa"/>
            <w:vAlign w:val="bottom"/>
            <w:shd w:val="clear" w:color="auto" w:fill="CFF0FC"/>
          </w:tcPr>
          <w:p>
            <w:pPr>
              <w:spacing w:after="0"/>
              <w:rPr>
                <w:sz w:val="19"/>
                <w:szCs w:val="19"/>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187,689</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92,909</w:t>
            </w:r>
          </w:p>
        </w:tc>
        <w:tc>
          <w:tcPr>
            <w:tcW w:w="120" w:type="dxa"/>
            <w:vAlign w:val="bottom"/>
          </w:tcPr>
          <w:p>
            <w:pPr>
              <w:spacing w:after="0"/>
              <w:rPr>
                <w:sz w:val="20"/>
                <w:szCs w:val="20"/>
                <w:color w:val="auto"/>
              </w:rPr>
            </w:pPr>
          </w:p>
        </w:tc>
      </w:tr>
      <w:tr>
        <w:trPr>
          <w:trHeight w:val="441"/>
        </w:trPr>
        <w:tc>
          <w:tcPr>
            <w:tcW w:w="7720" w:type="dxa"/>
            <w:vAlign w:val="bottom"/>
          </w:tcPr>
          <w:p>
            <w:pPr>
              <w:spacing w:after="0"/>
              <w:rPr>
                <w:sz w:val="24"/>
                <w:szCs w:val="24"/>
                <w:color w:val="auto"/>
              </w:rPr>
            </w:pPr>
          </w:p>
        </w:tc>
        <w:tc>
          <w:tcPr>
            <w:tcW w:w="27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(40,121)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(20,474)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(2,003)</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(46,731)</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120,327</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134,477</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From our inception through September 30, 2020, we have funded our operations primarily from $144.0 million in net proceeds from our IPO in June 2019, $117.5 million in net proceeds from our follow-on offering in August 2020, and $89.6 million from issuance of redeemable convertible preferred stock, as well as cash from operations and debt financing. On March 22, 2019, we received $20.0 million in gross cash proceeds from the Growth Capital Loan. As of September 30, 2020, we had cash and cash equivalents in the amount of $133.2 million and short-term investments in the amount of $72.8 million.</w:t>
      </w:r>
    </w:p>
    <w:p>
      <w:pPr>
        <w:spacing w:after="0" w:line="14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2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have based these future funding requirements on assumptions that may prove to be wrong, and we could utilize our available capital resources sooner than we expect. If our available cash balances, net proceeds from the offerings and anticipated cash flow from operations are insufficient to satisfy our liquidity requirements, including because of lower demand for our services or other risks described in this Quarterly Report on Form 10-Q, such as the COVID-19 pandemic, we may seek to sell additional common or preferred equity or convertible debt securities, enter into an additional credit facility or another form of third-party funding or seek other debt financing.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6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March 22, 2019, we entered into the Growth Capital Loan with TriplePoint to provide for a $20.0 million growth capital loan facility and drew down the full $20.0 million available under the facility. We used $5.1 million of the Growth Capital Loan to repay, in its entirety, all amounts outstanding under our $10.0 million Revolving Loan with TriplePoint, under which we borrowed $5.0 million in June 2017. Borrowings under the Growth Capital Loan bore interest at a floating rate of prime, plus 5.00%, for borrowings up to $15.0 million and the prime rate plus 6.50% for borrowings greater than $15.0 million. Under the Growth Capital Loan, we were required to make monthly interest-only payments through April 1, 2020 and 36 equal monthly payments of principal, plus accrued interest, from April 1, 2020 through March 1, 2023, when all unpaid principal and interest was to become due and payable. The Growth Capital Loan allowed voluntary prepayment of all, but not part, of the outstanding principal at any time prior to the maturity date, subject to a prepayment fee of 1.00% of the outstanding balance if prepaid in months one through 12 of the loan term. In addition to the final payment, we paid an amount equal to 2.75% of each principal amount drawn under the Growth Capital Loan.</w:t>
      </w:r>
    </w:p>
    <w:p>
      <w:pPr>
        <w:spacing w:after="0" w:line="14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Growth Capital Loan, we issued a warrant to purchase 65,502 shares of common stock to TriplePoint at an exercise price of $9.16 per share. We recorded the issuance-date fair value of the warrant of $0.6 million and fees paid to TriplePoint of $0.3 million as a debt discount, which was amortized over the term of the Growth Capital Loan using the effective interest method. Upon issuance, the Growth Capital Loan had an effective interest rate of 15.23% per year. On August 14, 2019, we paid off the Growth Capital Loan in its entirety. Interest expense for the three and nine months ended September 30, 2019 was $0.3 million and $1.0 million, respectively. The warrant for 65,502 shares was exercised under a net share settlement method for 39,415 shares during the third quarter of 2020.</w:t>
      </w:r>
    </w:p>
    <w:p>
      <w:pPr>
        <w:spacing w:after="0" w:line="14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2" w:name="page33"/>
    <w:bookmarkEnd w:id="32"/>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cash used in operating activities of $40.1 million was a result of $27.9 million of net loss and the net negative change in operating assets and liabilities of $22.3 million, partially offset by non-cash adjustments to net income of $10.1 million.</w:t>
      </w:r>
    </w:p>
    <w:p>
      <w:pPr>
        <w:spacing w:after="0" w:line="13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cash used in operating activities of $20.5 million was a result of $18.4 million of net loss and the net negative change in operating assets and liabilities of $13.1 million, partially offset by non-cash adjustments to net income of $11.0 million.</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cash used in investing activities was $2.0 million primarily due to $2.4 million acquisitions of property and equipment used for our sequencing and data analysis services, partially offset by $0.4 million in net proceeds from available-for-sale debt securities. Cash provided by financing activities of $120.3 million during the same period consisted of $117.5 million net proceeds from our follow-on offering, $2.3 million proceeds from stock option exercises and $0.6 million proceeds from ESPP purchases, partially offset by $0.1 million payments in offering costs.</w:t>
      </w:r>
    </w:p>
    <w:p>
      <w:pPr>
        <w:spacing w:after="0" w:line="14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2019, cash used in investing activities was $46.7 million, which consisted of $40.2 million purchases of available-for-sale debt securities and $6.5 million acquisitions of property and equipment used for our sequencing and data analysis services. Cash provided by financing activities of $134.5 million during the same period consisted of $144.0 million net proceeds from our IPO, $20.0 million proceeds from the issuance of the Growth Capital Loan, and $0.7 million proceeds from stock option exercises, partially offset by $25.0 million in debt repayments, $3.9 million in payment of costs related to our IPO, $0.8 million in debt extinguishment costs, and $0.5 million in borrowing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Property and Equipment</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capital expenditures were $2.4 million during the nine months ended September 30, 2020, which was primarily related to the acquisition of property and equipment used to support our development initiatives and our sequencing and data analysis services. We expect that our full year 2020 capital expenditures will be lower than prior year capital expenditures at the end of this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00"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We previously entered into various forms of convertible debt and revolving loans to finance our operations prior to our IPO. After our IPO, we paid off all remaining debt and now have zero outstanding debt balances.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Further information regarding our debt issuances can be found in Part I, Item 1 of this Quarterly Report on Form 10-Q in the Notes to Condensed Consolidated Financial Statements in Note 6–Borrowings.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September 30, 2020.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the valuation of common stock warrants and convertible preferred stock warrants, convertible instruments, stock-based compensation, and income taxes have the greatest potential impact on our condensed consolidated financial statements. Therefore, we consider these to be our critical accounting policies and estimates.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2019 under the caption “Critical Accounting Policies and Estimates” in Management’s Discussion and Analysis of Financial Condition and Results of Operations, set forth in Part II, Item 7, except for a new estimate in connection with a performance-based stock option granted to our Chief Executive Officer in the first quarter of 2020 as described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Pursuant to our 2019 Equity Incentive Plan (the “2019 Plan”), in March 2020, our board of directors granted our Chief Executive Officer a performance-based stock option (“PSO”) to purchase 421,000 shares of our common stock. The PSO is subject to the Chief Executive Officer’s continued service to us through the date of vesting and if the performance condition is not met within 10 years from the date of grant, the PSO will be canceled. The shares subject to the PSO will vest in full if our average market capitalization is equal to or greater than $1 billion over a 30 calendar day period. Upon a change in control, the vesting of the shares subject to the PSO will accelerate on a pro rata basis based on the price per share in such change in control transaction multiplied by the price per share at such time divided by $1 billion, with up to 100% of the shares eligible for such accelerated vesting.</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used a Monte Carlo Model to estimate fair value of the award. The assumptions used in calculating the estimated values of the PSO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Borders>
              <w:bottom w:val="single" w:sz="8" w:color="CFF0FC"/>
            </w:tcBorders>
          </w:tcPr>
          <w:p>
            <w:pPr>
              <w:spacing w:after="0"/>
              <w:rPr>
                <w:sz w:val="15"/>
                <w:szCs w:val="15"/>
                <w:color w:val="auto"/>
              </w:rPr>
            </w:pPr>
          </w:p>
        </w:tc>
        <w:tc>
          <w:tcPr>
            <w:tcW w:w="344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period (in years)</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center"/>
              <w:ind w:right="193"/>
              <w:spacing w:after="0"/>
              <w:rPr>
                <w:sz w:val="20"/>
                <w:szCs w:val="20"/>
                <w:color w:val="auto"/>
              </w:rPr>
            </w:pPr>
            <w:r>
              <w:rPr>
                <w:rFonts w:ascii="Times New Roman" w:cs="Times New Roman" w:eastAsia="Times New Roman" w:hAnsi="Times New Roman"/>
                <w:sz w:val="18"/>
                <w:szCs w:val="18"/>
                <w:color w:val="auto"/>
                <w:w w:val="98"/>
              </w:rPr>
              <w:t>10.00</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Derived service period (in years)</w:t>
            </w:r>
          </w:p>
        </w:tc>
        <w:tc>
          <w:tcPr>
            <w:tcW w:w="3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center"/>
              <w:ind w:right="313"/>
              <w:spacing w:after="0"/>
              <w:rPr>
                <w:sz w:val="20"/>
                <w:szCs w:val="20"/>
                <w:color w:val="auto"/>
              </w:rPr>
            </w:pPr>
            <w:r>
              <w:rPr>
                <w:rFonts w:ascii="Times New Roman" w:cs="Times New Roman" w:eastAsia="Times New Roman" w:hAnsi="Times New Roman"/>
                <w:sz w:val="18"/>
                <w:szCs w:val="18"/>
                <w:color w:val="auto"/>
              </w:rPr>
              <w:t>63.60%</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center"/>
              <w:ind w:right="293"/>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500"/>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(per share)</w:t>
            </w:r>
          </w:p>
        </w:tc>
        <w:tc>
          <w:tcPr>
            <w:tcW w:w="3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r>
    </w:tbl>
    <w:p>
      <w:pPr>
        <w:spacing w:after="0" w:line="19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See Note 2–Summary of Significant Accounting Policies and Note 9–Stock-Based Compensation in the notes to the condensed consolidated financial statements included in Part I, Item 1, of this Quarterly Report on Form 10-Q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Policies—Recent Accounting Pronouncements” in Note 2 to our unaudited condensed consolidated financial statements for additional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0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CEO and CFO have concluded that as of September 30, 2020,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required information is accumulated and communicated to our management, including our CEO and CFO, as appropriate, to allow timely decisions regarding required disclosures.</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third quarter of 2020,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that arise in the ordinary course of our business. We are not presently a party to any legal proceedings that in the opinion of our management, if determined unfavorably to us, would have a material adverse effect on our business, financial condition, operating results or cash flows. Regardless of the outcome, litigation can, among other things, have an adverse impact on us because of defense and settlement costs, diversion of management resources and other factors.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98" w:lineRule="exact"/>
        <w:rPr>
          <w:sz w:val="20"/>
          <w:szCs w:val="20"/>
          <w:color w:val="auto"/>
        </w:rPr>
      </w:pPr>
    </w:p>
    <w:p>
      <w:pPr>
        <w:ind w:left="7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as our costs increase, we expect to incur significant losses for the foreseeable future and may not be able to generate sufficient revenues to achieve or sustain profitability.</w:t>
      </w:r>
    </w:p>
    <w:p>
      <w:pPr>
        <w:spacing w:after="0" w:line="11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have incurred net losses since our inception. For the nine months ended September 30, 2020 we had a net loss of $27.9 million, and for the years ended December 31, 2019, 2018, and 2017 we had net losses of $25.1 million, $19.9 million, and $23.6 million, respectively. As of September 30, 2020, we had an accumulated deficit of $168.5 million. To date, we have not generated sufficient revenues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revenues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44"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revenues to achieve profitability and sustain our business.</w:t>
      </w:r>
    </w:p>
    <w:p>
      <w:pPr>
        <w:spacing w:after="0" w:line="14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currently derive substantially all of our revenues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revenues to become profitable.</w:t>
      </w:r>
    </w:p>
    <w:p>
      <w:pPr>
        <w:spacing w:after="0" w:line="13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addition, as a growing genomics company, we have engaged in targeted sales and marketing activities for our services. Although we have had revenues from sales of our services since 2013, our services may never gain significant acceptance in the marketplace and therefore may never generate substantial revenues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ind w:left="760"/>
        <w:spacing w:after="0"/>
        <w:rPr>
          <w:sz w:val="20"/>
          <w:szCs w:val="20"/>
          <w:color w:val="auto"/>
        </w:rPr>
      </w:pPr>
      <w:r>
        <w:rPr>
          <w:rFonts w:ascii="Times New Roman" w:cs="Times New Roman" w:eastAsia="Times New Roman" w:hAnsi="Times New Roman"/>
          <w:sz w:val="18"/>
          <w:szCs w:val="18"/>
          <w:color w:val="auto"/>
        </w:rPr>
        <w:t>Our ability to successfully market our services that we have developed, and may develop in the future, will depend on numerous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w:t>
      </w:r>
    </w:p>
    <w:p>
      <w:pPr>
        <w:spacing w:after="0" w:line="180" w:lineRule="exact"/>
        <w:rPr>
          <w:sz w:val="20"/>
          <w:szCs w:val="20"/>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utility and value of our services to our customers;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commercial team, including sales and business development personnel;</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hiring, and retention of our commercial team personnel;</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biopharmaceutical companies accept that our services are sufficiently sensitive and specific;</w:t>
      </w:r>
    </w:p>
    <w:p>
      <w:pPr>
        <w:spacing w:after="0" w:line="184"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convince biopharmaceutical companies of the utility of the comprehensiveness of our services and of testing patients at multiple time points;</w:t>
      </w:r>
    </w:p>
    <w:p>
      <w:pPr>
        <w:spacing w:after="0" w:line="12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fund sales and marketing activities;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services are considered superior to those of our competitors;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publicity regarding our or our competitors’ services resulting from defects or errors;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obtaining and maintaining patent and trade secret protection for our services and technologies; and</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enforcing and defending intellectual property rights and claims.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Failure to achieve broad market acceptance of our services would materially harm our business, financial condition, and results of operations.</w:t>
      </w:r>
    </w:p>
    <w:p>
      <w:pPr>
        <w:spacing w:after="0" w:line="181" w:lineRule="exact"/>
        <w:rPr>
          <w:sz w:val="20"/>
          <w:szCs w:val="20"/>
          <w:color w:val="auto"/>
        </w:rPr>
      </w:pPr>
    </w:p>
    <w:p>
      <w:pPr>
        <w:jc w:val="both"/>
        <w:ind w:left="7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in the San Francisco Bay Area, which is currently subject to shelter-in-place orders, and the business or operations of our customers or other third parties with whom we conduct business.</w:t>
      </w:r>
    </w:p>
    <w:p>
      <w:pPr>
        <w:spacing w:after="0" w:line="14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business could be adversely impacted by the effects of a health crisis, such as the ongoing COVID-19 pandemic, that could cause significant disruption in the operations of our customers and third-party suppliers upon whom we rely. Our laboratory facilities,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5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Our operations have been impacted by the ongoing COVID-19 pandemic. While the state and county reopening and health orders applicable to us allow for continued operation of so-called Essential Businesses, which includes certain critical healthcare operations and services, we have substantially closed our office facilities and limited access to our laboratory facilities, to protect our employees and to comply with the provisions described within the orders. We provided temporary increased pay to certain laboratory personnel in the second quarter for their work during the COVID-19 pandemic. Such increased pay was not provided in the third quarter, but we may decide to resume increased pay in the future. The previous shelter-in-place order and current reopening and health orders have negatively impacted productivity, disrupted our business, and slowed research and development activities due to us limiting access to our laboratory space that would otherwise be used by our research and development group, and, to the extent such orders remain in place, they may continue to cause such effects on our operations. The reopening and health orders may disrupt the ability of our suppliers to fulfill our purchase orders in a timely manner or at all. Additionally, we are aware of increased demand in the market for certain consumables used in COVID-19 test kits. We use such consumables in our operations, and we may face difficulties in acquiring such consumables if our suppliers prioritize orders related to COVID-19. Several of our customers were delayed in sending us samples in the second and third quarters due to the inability to collect or ship samples during the COVID-19 pandemic, and these and additional customers may be disrupted from sending purchase orders and samples to us in the future. Many of our 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If our laboratory employees were to contract COVID-19, we may significantly curtail our laboratory operations or pause operations altogether until the imminent health risk to our employees subsided. Such disruptions in our operations, and our customers’ and suppliers’ operations, may continue to adversely affect revenues and operating results.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global COVID-19 pandemic continues to rapidly evolve and to present serious health risks. While authorities in some areas have lifted or relaxed certain of the restrictions described above, in some cases they have subsequently re-imposed various restrictions after observing an increased rate of COVID-19 cases; furthermore, there is no guarantee when or if all such restrictions will be eliminated, such that we and our customers, manufacturers and suppliers will be able to safely resume operations consistent with our pre-COVID-19 operations.</w:t>
      </w:r>
    </w:p>
    <w:p>
      <w:pPr>
        <w:spacing w:after="0" w:line="15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17"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revenues or achieve and sustain profitability.</w:t>
      </w:r>
    </w:p>
    <w:p>
      <w:pPr>
        <w:spacing w:after="0" w:line="11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w:t>
      </w:r>
    </w:p>
    <w:p>
      <w:pPr>
        <w:spacing w:after="0" w:line="16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Some of our present and potential competitors, including Guardant Health, Inc., Foundation Medicine, Inc., which was acquired by Roche Holdings, Inc. in July 2018, Roche Molecular Systems, Inc., NanoString Technologies, Inc., Personal Genome Diagnostics, Inc., Adaptive Biotechnologies Corporation, NeoGenomics, Inc., Tempus, Inc., and Caris Life Sciences, Inc., may have widespread brand recognition and substantially greater financial and technical resources and development, production capacities, and marketing capabilities than we do. They may be able to devote greater resources to the development, promotion, and sale of their products and services than we do or sell their products and services at prices designed to win significant levels of market share. In addition, competitors may be acquired by, receive investments from, or enter into other commercial relationships with larger,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we may be unable to ensure or increase market acceptance and sales of our current or planned future services, which could prevent us from increasing or sustaining our revenues or achieving or sustaining profitability.</w:t>
      </w:r>
    </w:p>
    <w:p>
      <w:pPr>
        <w:spacing w:after="0" w:line="15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w:t>
      </w:r>
    </w:p>
    <w:p>
      <w:pPr>
        <w:spacing w:after="0" w:line="14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Additionally, projects related to cancer diagnostics and particularly genomics have received increased government funding, both in the United States and internationally. As more information regarding cancer genomics becomes available to the public, we anticipate that more products aimed at identifying targeted treatment options will be developed and that these products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152"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customer concentration, with a limited number of customers accounting for a substantial portion of our revenues and accounts receivable.</w:t>
      </w:r>
    </w:p>
    <w:p>
      <w:pPr>
        <w:spacing w:after="0" w:line="11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Like other genomics profiling companies that sell to the pharmaceutical industry, we have customer concentration. We currently derive a significant portion of our revenues from the U.S. Department of Veterans Affairs (the “VA”) Million Veteran Program (the “VA MVP”), which accounted for 71% and 75% of our revenues for the three and nine months ended September 30, 2020. Our top five customers, including the VA MVP, accounted for 85% and 88% of our revenues for the three and nine months ended September 30, 2020, respectively. There are inherent risks whenever a large percentage of revenues are concentrated with a limited number of customers. Our predictions regarding the future level of demand for our services that will be generated by these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customers may be wrong. In addition, revenues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Further, while we have long-term contractual arrangements with certain of our customers, these customers are not required to purchase a minimum number of analyses.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revenues and results of operations. In particular, if the VA MVP terminates our services for convenience, which it is permitted to do, such termination would have a material adverse effect on our revenues, cash position, and results of operations. Further, if our largest customers were to cease using or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61"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derive a substantial portion of our revenues from DNA sequencing and data analysis services that we provide to our largest customer, the VA MVP. If the VA MVP’s demand for and/or funding for our DNA sequencing and data analysis services is substantially reduced, our business, financial condition, operating results, and cash flows would be materially harmed.</w:t>
      </w:r>
    </w:p>
    <w:p>
      <w:pPr>
        <w:spacing w:after="0" w:line="13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derive a substantial portion of our current and expected future revenues from sales of our DNA sequencing and data analysis services to the VA MVP. In September 2017, we entered into a one-year contract with three one-year option renewal periods with the VA for the VA MVP, pursuant to which we received orders from the VA MVP in September 2017, 2018, 2019, and 2020.</w:t>
      </w:r>
    </w:p>
    <w:p>
      <w:pPr>
        <w:spacing w:after="0" w:line="13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VA MVP’s orders for DNA sequencing and data analysis services have fluctuated in value over time and are subject to the availability of funding, enrollment of veterans in the VA MVP study, and the VA MVP’s continued demand for our services among other factors. For example, the VA MVP order received in September 2020 has a value of up to approximately $31 million, whereas the VA MVP order received in September 2019 had a value of up to approximately $38.1 million. We have no certainty that funding will be made available for our services. If the priorities of the VA, the VA MVP, or the U.S. government change, funding for our services may be limited or not available, and our business, financial condition, and operating results and cash flows would be materially harmed. The success of our business and our future operating results are significantly dependent on the VA MVP’s receipt of funding for use of our services and the terms of our sales to the VA MVP, including the price per sample, the number of samples and the timing of the VA MVP’s deliveries of samples. Furthermore, the timing and number of VA MVP samples could be negatively affected by the COVID-19 pandemic among other factors.</w:t>
      </w:r>
    </w:p>
    <w:p>
      <w:pPr>
        <w:spacing w:after="0" w:line="157"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3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customers other than the VA MVP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the COVID-19 pandemic), failures in their clinical trials, financial constraints, or utilization of internal testing resources or tests performed by other parties, or other circumstances outside of our control.</w:t>
      </w:r>
    </w:p>
    <w:p>
      <w:pPr>
        <w:spacing w:after="0" w:line="14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6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revenues from these customers may decrease or cease entirely, and our business may be harmed. Furthermore, even if these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have a drug approved for commercial sale, they may not choose to use our services as a companion diagnostic with their drug, thereby limiting our potential revenues.</w:t>
      </w:r>
    </w:p>
    <w:p>
      <w:pPr>
        <w:spacing w:after="0" w:line="131" w:lineRule="exact"/>
        <w:rPr>
          <w:sz w:val="20"/>
          <w:szCs w:val="20"/>
          <w:color w:val="auto"/>
        </w:rPr>
      </w:pPr>
    </w:p>
    <w:p>
      <w:pPr>
        <w:ind w:left="7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11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September 30, 2020, we had approximately $20.6 million in customer deposits, including $17.6 million from one customer. However, as of that date, we had $206.1 million of cash and cash equivalents, and short-term investments. We are generally not required by our contracts to retain these deposits in cash or otherwise and we have generally used these deposits to make capital expenditures and fund our operations. When a customer that has prepaid us for future services cancels its contract with us or reduces the level of services that it expects to receive, we are required to repay that customer’s deposit with little or no notice.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143"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3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for sequencers and other equipment and materials that we use in our laboratory operations. For example, we rely on Illumina, Inc. (“Illumina”) as the sole supplier of sequencers and various associated reagents, and as the sole provider of maintenance and repair services for these sequencers. Our master subcontractor agreement with Illumina is set to expire in August 2021, and our various pricing agreements with Illumina are set to expire on various dates up to December 2022. Any disruption in Illumina’s operations, or our inability to negotiate an extension to our agreements with Illumina on acceptable terms, or at all, could impact our supply chain and laboratory operations and our ability to conduct our business and generate revenue. Our suppliers could cease supplying these materials, reagents, and equipment at any time, or fail to provide us with sufficient quantities of materials or materials that meet our specifications. Our laboratory operations could be interrupted if we encounter delays or difficulties in securing equipment, materials, reagents, or sequencers, or if we cannot obtain an acceptable substitute. Any such interruption could significantly affect our business, financial condition, results of operations, and reputation.</w:t>
      </w:r>
    </w:p>
    <w:p>
      <w:pPr>
        <w:spacing w:after="0" w:line="14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believe that there are only a few manufacturers other than Illumina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We cannot assure you that, if we were forced to replace Illumina or another supplier on which we rely, we would be able to secure alternative equipment, reagents, and other materials, and bring such equipment, reagents, and materials on 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5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158"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continue to operate our business and further expand our operations.</w:t>
      </w:r>
    </w:p>
    <w:p>
      <w:pPr>
        <w:spacing w:after="0" w:line="11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expect capital expenditures and operating expenses to increase over the next several years as we continue to operate our business and expand our infrastructure, commercial operations, and research and development activities. Additionally, if we decide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grow our business by developing in vitro diagnostic tests, 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4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5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United States and worldwide resulting from the ongoing COVID-19 pandemic. In addition, we may have to work with a partner on one or more aspects of our tests or market development programs, which could lower the economic value of those tests or programs to us. While we believe our existing cash and cash equivalents, and short-term investments will be sufficient to meet our anticipated cash requirements for at least the next 12 months, we cannot assure you that we will generate sufficient revenues from commercial sales to adequately fund our operating needs or achieve or sustain profitability.</w:t>
      </w:r>
    </w:p>
    <w:p>
      <w:pPr>
        <w:spacing w:after="0" w:line="144"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invest in our infrastructure in advance of increased demand for our services, and our failure to accurately forecast demand would have a negative impact on our business and our ability to achieve and sustain profitability.</w:t>
      </w:r>
    </w:p>
    <w:p>
      <w:pPr>
        <w:spacing w:after="0" w:line="13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order to execute our business model, we need to invest in scaling our infrastructure, including hiring additional personnel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revenues do not meet our expectations we may not be able to promptly adjust or reduce our spending to levels commensurate with our revenues.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5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39" w:lineRule="exact"/>
        <w:rPr>
          <w:sz w:val="20"/>
          <w:szCs w:val="20"/>
          <w:color w:val="auto"/>
        </w:rPr>
      </w:pPr>
    </w:p>
    <w:p>
      <w:pPr>
        <w:ind w:left="7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3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currently derive our revenues from our genomic analysis conducted in our laboratories. We do not have any clinical reference or research and development laboratory facilities other than our facilities in Menlo Park, California.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pandemic, we have limited access to our office and laboratory facilities in Menlo Park to protect the health and safety of our employees and to comply with applicable state and local orders. Northern California has recently experienced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The limited access to our laboratory facilities as a result of the COVID-19 pandemic has resulted, and may in the future result, in a loss in productivity, including delays to research and development programs. Furthermore, our facilities and the equipment we use to perform our services and our research and development work could be costly and time-consuming to repair or replace.</w:t>
      </w:r>
    </w:p>
    <w:p>
      <w:pPr>
        <w:spacing w:after="0" w:line="14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Additionally, a key component of our research and development process involves using biological samples as the basis for the development of our services. In some cases, these samples are difficult to obtain. If the parts of our laboratory facilities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43" w:lineRule="exact"/>
        <w:rPr>
          <w:sz w:val="20"/>
          <w:szCs w:val="20"/>
          <w:color w:val="auto"/>
        </w:rPr>
      </w:pPr>
    </w:p>
    <w:p>
      <w:pPr>
        <w:jc w:val="both"/>
        <w:ind w:firstLine="749"/>
        <w:spacing w:after="0" w:line="289" w:lineRule="auto"/>
        <w:rPr>
          <w:sz w:val="20"/>
          <w:szCs w:val="20"/>
          <w:color w:val="auto"/>
        </w:rPr>
      </w:pPr>
      <w:r>
        <w:rPr>
          <w:rFonts w:ascii="Times New Roman" w:cs="Times New Roman" w:eastAsia="Times New Roman" w:hAnsi="Times New Roman"/>
          <w:sz w:val="17"/>
          <w:szCs w:val="17"/>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planned expansion into China entails substantial risks.</w:t>
      </w:r>
    </w:p>
    <w:p>
      <w:pPr>
        <w:spacing w:after="0" w:line="20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June 2020, we announced a partnership with a clinical genomics and life sciences company headquartered in China as a means to expand business operations into China in the near term. Our first wholly owned subsidiary was formed in Shanghai in October 2020. Our expansion and investment plans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supplies sourced from local vendors; unexpectedly high labor costs due to a tight labor supply; foreign investment restrictions; and difficulty in repatriating funds and selling or transferring assets. Our investments in China also expose us to additional foreign currency exchange risk. In addition, as tensions have escalated between the U.S. and China, we believe there is an enhanced risk that our planned investments in China may be subject to unforeseen risks or restrictions, which may include expropriation of the investments by the Chinese government. These and other risks may result in our not realizing a return on, or losing some, or all, of our planned investments in China, which could have a material adverse effect on our financial condition and financial performance.</w:t>
      </w:r>
    </w:p>
    <w:p>
      <w:pPr>
        <w:spacing w:after="0" w:line="15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Personal privacy, cyber security, and data protection are becoming increasingly significant issues in China. For example, the State Council of the People’s Republic of China adopted the Regulations of the People’s Republic of China on Administration of Human Genetic Resources, which went into effect on July 1, 2019. The regulations establish a framework for the collection, preservation, utilization, and supply abroad of human genetic resources of China. The regulations also establish a framework for the use of data and other information generated from use of human genetic resources of China. The regulations also provide that foreign organizations, individuals and entities established or controlled by them are prohibited to collect or preserve China’s human genetic resources or transport them abroad. Due to the lack of detailed interpretations and implementations, it is not clear whether the agency in China responsible for enforcing the regulations will grant the necessary approvals for use by us and our partners of our NeXT Platform or our other current or future products in research or clinical projects involving China’s human genetic resources or information generated therefrom. The Chinese government separately has various regulations relating to the collection, use, storage, disclosure, and security of data, among other things. We cannot assure you that we will be able to comply with all of these regulatory requirements. Any failure to comply with relevant regulations and policies could result in significant cost and liability to us and could adversely affect our business and results of operations. Any additional new regulations or the amendment or modification of previously implemented regulations, or the failure to receive any necessary approvals for use of our products in connection with such projects, could require us and our partners to change our business plans and incur additional costs, and could limit our ability to generate revenues in China.</w:t>
      </w:r>
    </w:p>
    <w:p>
      <w:pPr>
        <w:spacing w:after="0" w:line="143" w:lineRule="exact"/>
        <w:rPr>
          <w:sz w:val="20"/>
          <w:szCs w:val="20"/>
          <w:color w:val="auto"/>
        </w:rPr>
      </w:pPr>
    </w:p>
    <w:p>
      <w:pPr>
        <w:jc w:val="both"/>
        <w:ind w:left="7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vendors, contractors, or consultants, may fail or suffer security breaches, loss or leakage of data, and other disruptions, which could result in a material disruption of our services, compromise sensitive information related to our business, or prevent us from accessing critical information, potentially exposing us to liability or otherwise adversely affecting our business.</w:t>
      </w:r>
    </w:p>
    <w:p>
      <w:pPr>
        <w:spacing w:after="0" w:line="15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integrity, and availability of such confidential information. We also have outsourced elements of our operations to third parties, and as a result we manage a number of third-party vendors and other contractors and consultants who have access to our confidential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given the size and complexity of our internal information technology systems and those of our third-party vendors and other contractors and consultants, and the increasing amounts of confidential information that they maintain, such information technology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accidental actions or omissions by trusted insiders, cyber-attacks or cyber intrusions,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hostile foreign governments or agencies, or cybersecurity researchers.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could be delayed. The costs related to significant security breaches or disruptions could be material and exceed the limits of the cybersecurity insurance we maintain against such risks.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6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53"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1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protected health information (“PHI”), personally identifiable information (“PII”), credit card and other financial information, intellectual property, and proprietary business information owned or controlled by ourselves or our customers, payors, and other parties. 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w:t>
      </w:r>
    </w:p>
    <w:p>
      <w:pPr>
        <w:spacing w:after="0" w:line="16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are vital to our operations and business strategy, and we devote significant resources to protecting such information. Although we take measures to protect sensitive data from unauthorized access, use or disclosure, our information technology and infrastructure may be vulnerable to attacks 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jc w:val="both"/>
        <w:spacing w:after="0" w:line="252" w:lineRule="auto"/>
        <w:rPr>
          <w:sz w:val="20"/>
          <w:szCs w:val="20"/>
          <w:color w:val="auto"/>
        </w:rPr>
      </w:pPr>
      <w:r>
        <w:rPr>
          <w:rFonts w:ascii="Times New Roman" w:cs="Times New Roman" w:eastAsia="Times New Roman" w:hAnsi="Times New Roman"/>
          <w:sz w:val="18"/>
          <w:szCs w:val="18"/>
          <w:color w:val="auto"/>
        </w:rPr>
        <w:t>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liability under federal or state laws that protect the privacy of personal information, such as the Health Insurance Portability and Accountability Act of 1996 (“HIPAA”) and the Health Information Technology for Economic and Clinical Health Act (“HITECH”), and regulatory penalties. Notice of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Additionally, in connection with the ongoing COVID-19 pandemic, most of our employees are working remotely, which may increase the risk of security breaches, loss of data, and other disruptions as a consequence of more employees accessing sensitive and critical information from remote locations.</w:t>
      </w:r>
    </w:p>
    <w:p>
      <w:pPr>
        <w:spacing w:after="0" w:line="17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4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revenues and/or subject us to additional liabilities.</w:t>
      </w:r>
    </w:p>
    <w:p>
      <w:pPr>
        <w:spacing w:after="0" w:line="14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especially with respect to genetic samples and data, in the United States, the European Union (the “EU”), and elsewhere are often uncertain, contradictory and in flux. For example, the EU-wide General Data Protection Regulation (EU) 2016/679 (“GDPR”) imposes onerous accountability obligations requiring data controllers and processors to maintain a record of their data processing and policies. It also requires data controllers to implement more stringent operational requirements for processors and controllers of personal data, including, for example, transparent and expanded disclosure to data subjects (in a concise, intelligible and easily accessible form) about how their personal information is to be used, imposes limitations on retention of information, increases requirements pertaining to health data and pseudonymized (i.e., key-coded) data, introduces mandatory data breach notification requirements, and sets higher standards for data controllers to demonstrate that they have obtained valid consent for certain data processing activities. Fines for non-compliance with the GDPR can be significant—the greater of €20 million or 4% of global turnover. The GDPR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ultimately having an adverse impact on our business, and harm our business and financial condition. It is possible that these laws may be interpreted and applied in a manner that is inconsistent with our practices. If so, this could result in government-imposed fines or orders requiring that we change our practices, which could adversely affect our business.</w:t>
      </w:r>
    </w:p>
    <w:p>
      <w:pPr>
        <w:spacing w:after="0" w:line="16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Although there are legal mechanisms to allow for the transfer of personal data from the UK,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the EU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2016/1250 on the adequacy of the protection provided by the EU-U.S. Privacy Shield Framework. To the extent that we or any of our vendors, contractors, or consultants relied on the EU-U.S. Privacy Shield Framework, we will not be able to do so in the future, which could increase our costs and limit our ability to process personal data from the EU in the United States. The same decision also cast doubt on the ability to use one of the primary alternatives to the Privacy Shield, namely, the European Commission’s Standard Contractual Clauses, to lawfully transfer personal data from EU to the United States and most other countries. At present, there are few, if any, viable alternatives to the Privacy Shield and the Standard Contractual Clauses.</w:t>
      </w:r>
    </w:p>
    <w:p>
      <w:pPr>
        <w:spacing w:after="0" w:line="15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Further, Brexit has created uncertainty with regard to data protection regulation in the UK.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UK, including the GDPR, after which the GDPR will be converted into UK law. Beginning in 2021, the UK will be a “third country” under the GDPR. We may, however, incur liabilities, expenses, costs, and other operational losses under the GDPR and other privacy laws implemented by EU Member States and the UK in connection with any measures we take to comply with such laws.</w:t>
      </w:r>
    </w:p>
    <w:p>
      <w:pPr>
        <w:spacing w:after="0" w:line="14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Given that we do not typically obtain direct consent from such data subjects and we do not audit our customers to ensure that they have obtained the necessary consents required by law, the failure of our customers to obtain consents that are in compliance with applicable law could result in our own non-compliance with privacy laws. Such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47"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provide reliable, high-quality genomic data and analyses and to rapidly evolve to meet our customers’ needs.</w:t>
      </w:r>
    </w:p>
    <w:p>
      <w:pPr>
        <w:spacing w:after="0" w:line="13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can also be flaws in the databases, third-party tools, and algorithms we use, and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w:t>
      </w:r>
    </w:p>
    <w:p>
      <w:pPr>
        <w:spacing w:after="0" w:line="14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Inaccurate results or misunderstandings of, or inappropriate reliance on, the information we provide to our customers could lead to, or be associated with, side effects or adverse events in patients who use our tests, including treatment-related death, and could lead to termination of our services or claims against us. A product liability or professional liability claim could result in substantial damages and be costly and time-consuming for us to defend.</w:t>
      </w:r>
    </w:p>
    <w:p>
      <w:pPr>
        <w:spacing w:after="0" w:line="13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56" w:lineRule="exact"/>
        <w:rPr>
          <w:sz w:val="20"/>
          <w:szCs w:val="20"/>
          <w:color w:val="auto"/>
        </w:rPr>
      </w:pPr>
    </w:p>
    <w:p>
      <w:pPr>
        <w:ind w:left="7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1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49" w:lineRule="exact"/>
        <w:rPr>
          <w:sz w:val="20"/>
          <w:szCs w:val="20"/>
          <w:color w:val="auto"/>
        </w:rPr>
      </w:pPr>
    </w:p>
    <w:p>
      <w:pPr>
        <w:ind w:left="7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1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43"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4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3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3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members of our executive management team could adversely affect our business.</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Scientific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or if one or more of these key employees were to become unable to perform his or her duties due to contracting COVID-19,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5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4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ind w:left="7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3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and genetic counselors, due to the competition for qualified personnel among life science businesses, technology companies, as well as universities and public and private research institutions, particularly in the San Francisco Bay Area.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future growth effectively, which could make it difficult to execute our business strategy.</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expected future growth could create a strain on our organizational, administrative, and operational infrastructure, including facilities,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could harm our business.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bioinformatics analytical software systems, our database of information relating to genetic variations and their role in disease process, our clinical report systems, our billing systems, our business intelligence systems, our logistics and customer relationship systems, our customer-facing web-based software, our customer reporting, and our family history and risk assessment tools.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w:t>
      </w:r>
    </w:p>
    <w:p>
      <w:pPr>
        <w:spacing w:after="0" w:line="14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Although we invest substantially in the backup/restore, high-availability architecture, monitoring and reporting, documentation and preventive security controls of our systems, all information technology and telecommunications systems are vulnerable to damage from a variety of sources, including telecommunications or network failures, malicious or inadvertent human acts and natural disasters. Our servers are potentially vulnerable to physical or electronic break-ins, employee errors,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6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Additionally, we have internally developed, and expect to continue to invest in and expand, proprietary informatics and software systems that are designed to manage the unique aspects and challenges of our genomics laboratory and on which we depend. Any disruption of failure of our internally developed informatics and software systems could have an adverse effect on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7" w:name="page48"/>
    <w:bookmarkEnd w:id="47"/>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3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 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43"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1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In addition, we may not be able to find suitable partners or acquisition candidates, and we may not be able to complete such transactions on favorable terms, if at all. Any future acquisitions by us also could result in significant write-offs or the incurrence of debt and contingent liabilities, any of which could harm our operating results.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16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 finance any acquisitions or investments, we may choose to raise additional funds. The various ways we could raise additional funds carry potential risks. See “—Our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39" w:lineRule="exact"/>
        <w:rPr>
          <w:sz w:val="20"/>
          <w:szCs w:val="20"/>
          <w:color w:val="auto"/>
        </w:rPr>
      </w:pPr>
    </w:p>
    <w:p>
      <w:pPr>
        <w:ind w:left="7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specimens to our laboratory facilities in a timely and cost-efficient manner, and if these delivery services are disrupted, our business would be harmed.</w:t>
      </w:r>
    </w:p>
    <w:p>
      <w:pPr>
        <w:spacing w:after="0" w:line="11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business depends on our ability to quickly and reliably provide test results to our customers, which in turn, requires that specimens are transported and delivered to us in a timely manner. Disruptions in delivery service, whether due to labor disruptions, bad weather, natural disaster, global pandemics, such as the COVID-19 pandemic, terrorist acts, or threats or for other reasons could adversely affect specimen integrity and our ability to process specimens in a timely manner and service our customers, and ultimately our reputation and our business. In addition, if we are unable to continue to obtain expedited delivery services on commercially reasonable terms, our operating results may be adversely affected.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related to the use of genetic information could reduce demand for our tests.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8" w:name="page49"/>
    <w:bookmarkEnd w:id="48"/>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2017 tax reform law, as modified by 2020 tax legislation, and possible future changes in tax laws or regulations could adversely affect our business and financial condition.</w:t>
      </w:r>
    </w:p>
    <w:p>
      <w:pPr>
        <w:spacing w:after="0" w:line="13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On December 22, 2017,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Coronavirus Aid, Relief and Economic Security (“CARES”) Act was enacted, which includes changes to the tax provisions that benefit business entities and makes certain technical corrections to the Tax Cuts and Jobs Act. On June 29, 2020, California Assembly Bill 85 (AB 85) was signed into law, which suspends the use of California net operating losses and limits the use of California research tax credits for tax years beginning in 2020 and before 2023.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or any newly enacted federal tax legislation.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are subject to taxation in numerous U.S. states and territories, as well as various non-U.S. jurisdictions.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limitations.</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As of December 31, 2019, we had federal and state net operating loss carryforwards of approximately $114.9 million and approximately $72.2 million, respectively. Certain of our federal and state net operating loss carryforwards will begin to expire, if not utilized, beginning in 2031. These net operating loss carryforwards could expire unused and be unavailable to offset future income tax liabilities. Under the Tax Cuts and Jobs Act, as modified by the CARES Act, federal net operating losses incurred in tax years beginning in 2018 and in future years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 In addition, for California income tax purposes, California net operating losses and California research tax credits will be suspended and limited, respectively, for tax years beginning after 2019 but before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98"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11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the United States to ensure that medical products distributed domestically are safe and effective for their intended uses. In addition, the FDA regulates the import and export of medical devices.</w:t>
      </w:r>
    </w:p>
    <w:p>
      <w:pPr>
        <w:spacing w:after="0" w:line="13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5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4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6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w:t>
      </w:r>
    </w:p>
    <w:p>
      <w:pPr>
        <w:spacing w:after="0" w:line="135"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13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the FDA determines that our tests and associated software do not fall within the definition of an LDT, or there are regulatory or legislative changes, we may be required to obtain premarket clearance for our tests and associated software under Section 510(k) of the FDC Act or approval of a premarket approval application (“PMA”). We would also be subject to ongoing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regulatory requirements such as registration and listing requirements, medical device reporting requirements, and quality control requirements. If our tests are considered medical devices not subject to enforcement discretion, the regulatory requirements to which our tests are subject would depend on the FDA’s classification of our tests. The FDA has issued regulations classifying over 1,700 different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pre-and post-market.</w:t>
      </w:r>
    </w:p>
    <w:p>
      <w:pPr>
        <w:spacing w:after="0" w:line="16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for reclassification.</w:t>
      </w:r>
    </w:p>
    <w:p>
      <w:pPr>
        <w:spacing w:after="0" w:line="15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4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If our tests are considered medical devices not subject to enforcement discretion, one classification regulation that could be relevant to one or more of our tests is a recently finalized classification for genetic health risk (“GHR”) assessment tests. On April 6, 2017, in response to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for reclassification submitted by another company, the FDA issued an order classifying genetic tests known as genetic health risk assessment systems (“GHR tests”) as Class II devices subject to premarket notification and specified special controls requirements. On November 7, 2017, the FDA codified this classification at 21 C.F.R. § 866.5950. If our tests are considered medical devices that are not subject to enforcement discretion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6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4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If we are required to conduct clinical trials, we and any third-party contractors we engage would be required to comply with good clinical practices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4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5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revenues from our services, or from other services or products now in development.</w:t>
      </w:r>
    </w:p>
    <w:p>
      <w:pPr>
        <w:spacing w:after="0" w:line="14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153" w:lineRule="exact"/>
        <w:rPr>
          <w:sz w:val="20"/>
          <w:szCs w:val="20"/>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processes;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marketing;</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recall of products from the market;</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PMAs, 510(k)s, or supplements to approved PMAs or cleared 510(k)s that we submit;</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clearances or approvals;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on, or refusal to permit, import or export of our products;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4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4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United States. Complying with licensure requirements in new jurisdictions may be expensive and/or time-consuming, may subject us to significant and unanticipated delays, or may be in conflict with other applicable requirements.</w:t>
      </w:r>
    </w:p>
    <w:p>
      <w:pPr>
        <w:spacing w:after="0" w:line="15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revenues in doing so.</w:t>
      </w:r>
    </w:p>
    <w:p>
      <w:pPr>
        <w:spacing w:after="0" w:line="16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Although we market our tests as LDTs that are currently subject to the FDA’s exercise of enforcement discretion, if we fail to operate within the conditions of that exercise of enforcement discretion, or if any of our products otherwise fail to comply with FDA regulatory requirements as enforced,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revenues,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3" w:name="page54"/>
    <w:bookmarkEnd w:id="53"/>
    <w:p>
      <w:pPr>
        <w:ind w:left="7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3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operations may be subject to other extensive federal, state, local, and foreign laws and regulations, all of which are subject to change. These laws and regulations currently include, among others:</w:t>
      </w:r>
    </w:p>
    <w:p>
      <w:pPr>
        <w:spacing w:after="0" w:line="121" w:lineRule="exact"/>
        <w:rPr>
          <w:sz w:val="20"/>
          <w:szCs w:val="20"/>
          <w:color w:val="auto"/>
        </w:rPr>
      </w:pPr>
    </w:p>
    <w:p>
      <w:pPr>
        <w:jc w:val="both"/>
        <w:ind w:left="1120" w:hanging="370"/>
        <w:spacing w:after="0" w:line="256"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46" w:lineRule="exact"/>
        <w:rPr>
          <w:rFonts w:ascii="Times New Roman" w:cs="Times New Roman" w:eastAsia="Times New Roman" w:hAnsi="Times New Roman"/>
          <w:sz w:val="18"/>
          <w:szCs w:val="18"/>
          <w:color w:val="auto"/>
        </w:rPr>
      </w:pPr>
    </w:p>
    <w:p>
      <w:pPr>
        <w:jc w:val="both"/>
        <w:ind w:left="1120" w:hanging="370"/>
        <w:spacing w:after="0" w:line="258"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42" w:lineRule="exact"/>
        <w:rPr>
          <w:rFonts w:ascii="Times New Roman" w:cs="Times New Roman" w:eastAsia="Times New Roman" w:hAnsi="Times New Roman"/>
          <w:sz w:val="18"/>
          <w:szCs w:val="18"/>
          <w:color w:val="auto"/>
        </w:rPr>
      </w:pPr>
    </w:p>
    <w:p>
      <w:pPr>
        <w:jc w:val="both"/>
        <w:ind w:left="1120" w:hanging="370"/>
        <w:spacing w:after="0" w:line="258"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“Anti-Markup Rule” and similar state laws,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42" w:lineRule="exact"/>
        <w:rPr>
          <w:rFonts w:ascii="Times New Roman" w:cs="Times New Roman" w:eastAsia="Times New Roman" w:hAnsi="Times New Roman"/>
          <w:sz w:val="18"/>
          <w:szCs w:val="18"/>
          <w:color w:val="auto"/>
        </w:rPr>
      </w:pPr>
    </w:p>
    <w:p>
      <w:pPr>
        <w:jc w:val="both"/>
        <w:ind w:left="1120" w:hanging="370"/>
        <w:spacing w:after="0" w:line="256"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46" w:lineRule="exact"/>
        <w:rPr>
          <w:rFonts w:ascii="Times New Roman" w:cs="Times New Roman" w:eastAsia="Times New Roman" w:hAnsi="Times New Roman"/>
          <w:sz w:val="18"/>
          <w:szCs w:val="18"/>
          <w:color w:val="auto"/>
        </w:rPr>
      </w:pPr>
    </w:p>
    <w:p>
      <w:pPr>
        <w:jc w:val="both"/>
        <w:ind w:left="1120" w:hanging="370"/>
        <w:spacing w:after="0" w:line="266"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5" w:lineRule="exact"/>
        <w:rPr>
          <w:rFonts w:ascii="Times New Roman" w:cs="Times New Roman" w:eastAsia="Times New Roman" w:hAnsi="Times New Roman"/>
          <w:sz w:val="18"/>
          <w:szCs w:val="18"/>
          <w:color w:val="auto"/>
        </w:rPr>
      </w:pPr>
    </w:p>
    <w:p>
      <w:pPr>
        <w:jc w:val="both"/>
        <w:ind w:left="1120" w:hanging="370"/>
        <w:spacing w:after="0" w:line="255"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(“CHIP”) to report annually to CMS information related to (i) payments and other transfers of value to physicians (including certain other healthcare professionals) and teaching hospitals, and (ii) ownership and investment interests held by physicians and their immediate family members, which will be expanded beginning in 2022, to require applicable manufacturers to report such information regarding its relationships with physician assistants, nurse practitioners, clinical nurse specialists, certified registered nurse anesthetists and certified nurse midwives during the previous year;</w:t>
      </w:r>
    </w:p>
    <w:p>
      <w:pPr>
        <w:spacing w:after="0" w:line="148" w:lineRule="exact"/>
        <w:rPr>
          <w:rFonts w:ascii="Times New Roman" w:cs="Times New Roman" w:eastAsia="Times New Roman" w:hAnsi="Times New Roman"/>
          <w:sz w:val="18"/>
          <w:szCs w:val="18"/>
          <w:color w:val="auto"/>
        </w:rPr>
      </w:pPr>
    </w:p>
    <w:p>
      <w:pPr>
        <w:jc w:val="both"/>
        <w:ind w:left="1120" w:hanging="370"/>
        <w:spacing w:after="0" w:line="258"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42" w:lineRule="exact"/>
        <w:rPr>
          <w:rFonts w:ascii="Times New Roman" w:cs="Times New Roman" w:eastAsia="Times New Roman" w:hAnsi="Times New Roman"/>
          <w:sz w:val="18"/>
          <w:szCs w:val="18"/>
          <w:color w:val="auto"/>
        </w:rPr>
      </w:pPr>
    </w:p>
    <w:p>
      <w:pPr>
        <w:jc w:val="both"/>
        <w:ind w:left="1120" w:hanging="370"/>
        <w:spacing w:after="0" w:line="266"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(“EKRA”), which prohibits payments for referrals to recovery homes, clinical treatment facilities, and laboratories. EKRA’s reach extends beyond federal health care programs to include private insurance (i.e., it is an “all payer” statute);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4" w:name="page55"/>
    <w:bookmarkEnd w:id="54"/>
    <w:p>
      <w:pPr>
        <w:jc w:val="both"/>
        <w:ind w:left="1120" w:hanging="370"/>
        <w:spacing w:after="0" w:line="266"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35"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21" w:lineRule="exact"/>
        <w:rPr>
          <w:rFonts w:ascii="Times New Roman" w:cs="Times New Roman" w:eastAsia="Times New Roman" w:hAnsi="Times New Roman"/>
          <w:sz w:val="18"/>
          <w:szCs w:val="18"/>
          <w:color w:val="auto"/>
        </w:rPr>
      </w:pPr>
    </w:p>
    <w:p>
      <w:pPr>
        <w:jc w:val="both"/>
        <w:ind w:left="1120" w:hanging="370"/>
        <w:spacing w:after="0" w:line="261"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39"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apply to us in the countries in which we operate or may operate in the future.</w:t>
      </w:r>
    </w:p>
    <w:p>
      <w:pPr>
        <w:spacing w:after="0" w:line="18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growth of our business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44"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1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We may in the future expand our business and operations into international jurisdictions in which we have limited operating experience, including with respect to seeking regulatory approvals and marketing and selling products and services. For example, in June 2020, we announced our intention to expand into China. If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Foreign Corrupt Practices Act of 1977, as amended (the “FCPA”), and other worldwide anti-bribery laws.</w:t>
      </w:r>
    </w:p>
    <w:p>
      <w:pPr>
        <w:spacing w:after="0" w:line="13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grow our business by developing in vitro diagnostic tests, we may be subject to reimbursement challenges.</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coverage and reimbursement status of newly approved or cleared laboratory tests, including our Next Dx test, is uncertain. If we decide to seek reimbursement for our Next Dx test or other in vitro diagnostic tests we may develop, and if such tests are inadequately covered by insurance and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health care policy could increase our costs, decrease our revenues, and impact sales of and reimbursement for our tests.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Among other things, the ACA:</w:t>
      </w:r>
    </w:p>
    <w:p>
      <w:pPr>
        <w:spacing w:after="0" w:line="198" w:lineRule="exact"/>
        <w:rPr>
          <w:sz w:val="20"/>
          <w:szCs w:val="20"/>
          <w:color w:val="auto"/>
        </w:rPr>
      </w:pPr>
    </w:p>
    <w:p>
      <w:pPr>
        <w:jc w:val="both"/>
        <w:ind w:left="1120" w:right="20" w:hanging="370"/>
        <w:spacing w:after="0" w:line="266"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35"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Patient-Centered Outcomes Research Institute to oversee and identify priorities in comparative clinical efficacy research in an effort to coordinate and develop such research; and</w:t>
      </w:r>
    </w:p>
    <w:p>
      <w:pPr>
        <w:spacing w:after="0" w:line="121"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Center for Medicare and Medicaid Innovation at CMS to test innovative payment and service delivery models to lower Medicare and Medicaid spending.</w:t>
      </w:r>
    </w:p>
    <w:p>
      <w:pPr>
        <w:spacing w:after="0" w:line="12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There remain judicial and Congressional challenges to certain aspects of the ACA, as well as efforts by the Trump administration to repeal or replace certain aspects of the ACA. Since January 2017, President Trump has signed several Executive Orders and other directives to delay the implementation of certain requirements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remanded the case back to the District Court to determine whether the remaining provisions of the ACA are invalid as well. On March 2, 2020, the United States Supreme Court granted the petitions for writs of certiorari to review this case. It is unclear how this decision, subsequent appeals, and other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5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unless additional Congressional action is taken. The CARES Act, which was signed into law in March 2020, is designed to provide financial support and resources to individuals and businesses affected by the COVID-19 pandemic, suspended the 2% Medicare sequester from May 1, 2020 through December 31, 2020, and extended the sequester by one year, through 2030.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5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revenues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In January 2020, CMS announced that data reporting for clinical diagnostic laboratory tests is delayed by one year. Therefore, data that was supposed to be reported between January 1, 2020 and March 31, 2020 must now be reported between January 1, 2021 and March 31, 2021. Covered laboratories must report data from the original data collection period of January 1, 2019 through June 30, 2019. Data reporting for these tests will then resume on a three year cycle beginning in 2024. The payment rate applies to laboratory tests furnished by a hospital laboratory if the test is separately paid under the hospital outpatient prospective payment system. It is still too early to predict the full impact on reimbursement for our products in development. In addition, CMS updated the statutory phase-in provisions such that, for 2020, the rates for clinical diagnostic laboratory tests may not be reduced by more than 10% of the rates for 2019. Additionally, there will be a 15% reduction cap for each of 2021, 2022, and 2023. It is unclear what impact new quality and payment programs, such as MACRA, or new pricing structures, such as those adopted under PAMA, may have on our business, financial condition, results of operations, or cash flows.</w:t>
      </w:r>
    </w:p>
    <w:p>
      <w:pPr>
        <w:spacing w:after="0" w:line="15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Further, it is possible that additional governmental action is taken to address the COVID-19 pandemic. For example, on August 6, 2020, President Trump issued an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 We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injury, we could be liable for resulting damages.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34"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including ACE ImmunoID and ImmunoID NeXT technology. In order to avoid infringing these third-party patents, we may find it necessary to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or services.</w:t>
      </w:r>
    </w:p>
    <w:p>
      <w:pPr>
        <w:spacing w:after="0" w:line="16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8" w:name="page59"/>
    <w:bookmarkEnd w:id="58"/>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As we continue to commercialize our tests in their current or an updated form, launch different and expanded tests and enter new markets, other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6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6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35"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p>
    <w:p>
      <w:pPr>
        <w:spacing w:after="0" w:line="11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Our patent rights, their associated costs, and the enforcement or defense of such patent rights may be affected by developments or uncertainty in the patent statute, patent case law or USPTO rules and regulations.</w:t>
      </w:r>
    </w:p>
    <w:p>
      <w:pPr>
        <w:spacing w:after="0" w:line="13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There are a number of recent changes to the patent laws that may have a significant impact on our ability to protect our technology and enforce our intellectual property rights. For example, the Leahy-Smith America Invents Act (the “AIA”) enacted within the last several years involves significant changes in patent legislation. These include provisions that affect the way patent applications will be prosecuted and may also affect patent litigation. As an example, assuming that other requirements for patentability are met, prior to March 2013, in the United States, the first to invent the claimed invention was entitled to the patent, while outside the United States, the first to file a patent application was entitled to the patent. On or after March 16, 2013, under the AIA, the United States transitioned to a first inventor to file system in which, assuming that other requirements for patentability are met, means that the party that is first to file in the United States generally is awarded the patent rights, regardless of whether such party invented the claimed invention first.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9" w:name="page60"/>
    <w:bookmarkEnd w:id="59"/>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4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Our issued patents will expire on dates ranging from 2033 to 2038, subject to any patent extensions that may be available for such patents. If patents are issued on our pending patent applications, the resulting patents are projected to expire on dates ranging from 2033 to 2040.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7" w:lineRule="exact"/>
        <w:rPr>
          <w:sz w:val="20"/>
          <w:szCs w:val="20"/>
          <w:color w:val="auto"/>
        </w:rPr>
      </w:pPr>
    </w:p>
    <w:p>
      <w:pPr>
        <w:jc w:val="both"/>
        <w:ind w:left="7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p>
    <w:p>
      <w:pPr>
        <w:spacing w:after="0" w:line="14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5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0" w:name="page61"/>
    <w:bookmarkEnd w:id="60"/>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4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Once granted, patents may remain open to opposition, interference,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147" w:lineRule="exact"/>
        <w:rPr>
          <w:sz w:val="20"/>
          <w:szCs w:val="20"/>
          <w:color w:val="auto"/>
        </w:rPr>
      </w:pPr>
    </w:p>
    <w:p>
      <w:pPr>
        <w:ind w:left="1120" w:right="20" w:hanging="370"/>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offer to sell, or sell tests that are the same as or similar to our products or services but that are not covered by the claims of the patents that we own or license;</w:t>
      </w:r>
    </w:p>
    <w:p>
      <w:pPr>
        <w:spacing w:after="0" w:line="121"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are the first to make the inventions covered by each of our issued patents and pending patent applications that we own or license;</w:t>
      </w:r>
    </w:p>
    <w:p>
      <w:pPr>
        <w:spacing w:after="0" w:line="12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are the first to file patent applications covering certain aspects of our inventions;</w:t>
      </w:r>
    </w:p>
    <w:p>
      <w:pPr>
        <w:spacing w:after="0" w:line="184"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our intellectual property rights;</w:t>
      </w:r>
    </w:p>
    <w:p>
      <w:pPr>
        <w:spacing w:after="0" w:line="12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a court would hold that our patents are valid, enforceable, and infringed;</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may license will provide us with any competitive advantages, or will not be challenged by third parties;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or in-license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may license will lead to issued patents;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 and</w:t>
      </w:r>
    </w:p>
    <w:p>
      <w:pPr>
        <w:spacing w:after="0" w:line="184"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1" w:name="page62"/>
    <w:bookmarkEnd w:id="61"/>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United States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6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4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proceedings, or other post-grant proceedings declared by the USPTO that could result in substantial cost to us. The outcome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proceedings is uncertain. No assurance can be given that other patent applications will not have priority over our patent applications. In addition, changes to the patent laws of the United States allow for various post-grant opposition proceedings, such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that have not been extensively tested, and their outcome is therefore uncertain.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149" w:lineRule="exact"/>
        <w:rPr>
          <w:sz w:val="20"/>
          <w:szCs w:val="20"/>
          <w:color w:val="auto"/>
        </w:rPr>
      </w:pPr>
    </w:p>
    <w:p>
      <w:pPr>
        <w:ind w:left="7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3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(e.g., opposition proceedings). Such proceedings could result in revocation or amendment to our patents in such a way that they no longer cover our product.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would be harmed.</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We seek protection for certain aspects of our technologies, products, and services through the filing of patents, registration of copyrights, and use of non-disclosure agreements. In addition, we also expect to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4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5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3" w:name="page64"/>
    <w:bookmarkEnd w:id="6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0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European Union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39"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47"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11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employ individuals who were previously employed or otherwise engaged with universities or genetic testing, diagnostic or other healthcare companies, including our competitors or potential competitors.</w:t>
      </w:r>
    </w:p>
    <w:p>
      <w:pPr>
        <w:spacing w:after="0" w:line="13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4" w:name="page65"/>
    <w:bookmarkEnd w:id="6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and other employees. Such claims could have a material adverse effect on our business, financial condition, results of operations, and prospects.</w:t>
      </w:r>
    </w:p>
    <w:p>
      <w:pPr>
        <w:spacing w:after="0" w:line="13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3"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1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62"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1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145"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3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21" w:lineRule="exact"/>
        <w:rPr>
          <w:sz w:val="20"/>
          <w:szCs w:val="20"/>
          <w:color w:val="auto"/>
        </w:rPr>
      </w:pPr>
    </w:p>
    <w:p>
      <w:pPr>
        <w:ind w:left="5540" w:right="1600" w:hanging="4790"/>
        <w:spacing w:after="0" w:line="532" w:lineRule="auto"/>
        <w:tabs>
          <w:tab w:leader="none" w:pos="11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jc w:val="both"/>
        <w:ind w:left="1120" w:hanging="370"/>
        <w:spacing w:after="0" w:line="266"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5"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w:t>
      </w:r>
    </w:p>
    <w:p>
      <w:pPr>
        <w:spacing w:after="0" w:line="184"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12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84" w:lineRule="exact"/>
        <w:rPr>
          <w:rFonts w:ascii="Times New Roman" w:cs="Times New Roman" w:eastAsia="Times New Roman" w:hAnsi="Times New Roman"/>
          <w:sz w:val="18"/>
          <w:szCs w:val="18"/>
          <w:color w:val="auto"/>
        </w:rPr>
      </w:pPr>
    </w:p>
    <w:p>
      <w:pPr>
        <w:jc w:val="both"/>
        <w:ind w:left="1120" w:hanging="370"/>
        <w:spacing w:after="0" w:line="266"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35"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21"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121"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21"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sales and marketing activities or other operations may not be in compliance with applicable laws resulting in civil or criminal proceedings.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7"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98"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1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fluctuate or decline significantly in response to numerous factors, many of which are beyond our control, including:</w:t>
      </w:r>
    </w:p>
    <w:p>
      <w:pPr>
        <w:spacing w:after="0" w:line="121" w:lineRule="exact"/>
        <w:rPr>
          <w:sz w:val="20"/>
          <w:szCs w:val="20"/>
          <w:color w:val="auto"/>
        </w:rPr>
      </w:pPr>
    </w:p>
    <w:p>
      <w:pPr>
        <w:ind w:left="1120" w:hanging="370"/>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reports by securities analysts or changed recommendations for our stock;</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tests or new tests that may emerge;</w:t>
      </w:r>
    </w:p>
    <w:p>
      <w:pPr>
        <w:spacing w:after="0" w:line="184"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capital commitments, or by or pertaining to our customers, particularly the VA MVP;</w:t>
      </w:r>
    </w:p>
    <w:p>
      <w:pPr>
        <w:spacing w:after="0" w:line="12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our investments in the growth of our business;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business or issues we may face with regulators;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our intellectual property or other matters, including litigation;</w:t>
      </w:r>
    </w:p>
    <w:p>
      <w:pPr>
        <w:spacing w:after="0" w:line="184"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macroeconomic effects of the COVID-19 pandemic, including potential global, regional or national economic slowdowns, recessions, depressions or other economic downturns; and</w:t>
      </w:r>
    </w:p>
    <w:p>
      <w:pPr>
        <w:spacing w:after="0" w:line="121"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factors unrelated to our operating performance or the operating performance of our competitors.</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very recently in connection with the ongoing COVID-19 pandemic, which has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which could adversely impact the value of our common stock.</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and other large customers are not obliged to deliver tissue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18"/>
          <w:szCs w:val="18"/>
          <w:color w:val="auto"/>
        </w:rPr>
        <w:t>samples or other specimen to us at any particular time or at all. The rate at which we receive tissue samples or other specimen can vary dramatically from quarter to quarter, and is difficult or impossible for us to accurately forecast. Our receipt and processing of tissue samples and other specimen from our customers leads to our recognition of revenue, and as such the variable rates of delivery of customer samples will lead to variations in our revenues from quarter to quarter.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Insiders may exercise significant control over our company and will be able to influence corporate matters.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or the perception that such sales could occur, could cause our stock price to decline.</w:t>
      </w:r>
    </w:p>
    <w:p>
      <w:pPr>
        <w:spacing w:after="0" w:line="20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September 30, 2020, we had 38,790,189 shares of common stock outstanding, all of which shares are eligible for sale in the public market as of the date of this Quarterly Report on Form 10-Q, subject in some cases to the volume limitations and manner of sale and other requirements under Rule 144. In addition, upon issuance, shares of common stock subject to outstanding options under our stock option plans as of September 30, 2020 will become eligible for sale in the public market in the future, subject to certain legal and contractual limitations. Moreover, holders of up to an aggregate of 18,790,983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“PSNL.”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52" w:lineRule="exact"/>
        <w:rPr>
          <w:sz w:val="20"/>
          <w:szCs w:val="20"/>
          <w:color w:val="auto"/>
        </w:rPr>
      </w:pPr>
    </w:p>
    <w:p>
      <w:pPr>
        <w:ind w:left="7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1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39" w:lineRule="exact"/>
        <w:rPr>
          <w:sz w:val="20"/>
          <w:szCs w:val="20"/>
          <w:color w:val="auto"/>
        </w:rPr>
      </w:pPr>
    </w:p>
    <w:p>
      <w:pPr>
        <w:jc w:val="both"/>
        <w:ind w:left="760"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0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8" w:name="page69"/>
    <w:bookmarkEnd w:id="68"/>
    <w:p>
      <w:pPr>
        <w:ind w:left="7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3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common stock could be adversely affected if we issue preferred stock.</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58"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1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35" w:lineRule="exact"/>
        <w:rPr>
          <w:sz w:val="20"/>
          <w:szCs w:val="20"/>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of directors are elected at one time;</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newly-created directorships;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certificate of incorporation and bylaws;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Delaware; and</w:t>
      </w:r>
    </w:p>
    <w:p>
      <w:pPr>
        <w:spacing w:after="0" w:line="184"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9" w:name="page70"/>
    <w:bookmarkEnd w:id="69"/>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21" w:lineRule="exact"/>
        <w:rPr>
          <w:sz w:val="20"/>
          <w:szCs w:val="20"/>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84"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12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result in litigation and divert management’s attention.</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as defined in the Jumpstart our Business Startups Act of 2012 (the “JOBS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will need to hire additional employees or engage outside consultants to comply with these requirements, which will increase our costs and expenses.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0" w:name="page71"/>
    <w:bookmarkEnd w:id="70"/>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prospectus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6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also expect that being a public company and these new rules and regulations will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117"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3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35" w:lineRule="exact"/>
        <w:rPr>
          <w:sz w:val="20"/>
          <w:szCs w:val="20"/>
          <w:color w:val="auto"/>
        </w:rPr>
      </w:pPr>
    </w:p>
    <w:p>
      <w:pPr>
        <w:ind w:left="1120" w:right="20" w:hanging="370"/>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our independent registered public accounting firm audit our internal control over financial reporting under Section 404 of the Sarbanes-Oxley Act;</w:t>
      </w:r>
    </w:p>
    <w:p>
      <w:pPr>
        <w:spacing w:after="0" w:line="12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184"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following the closing of our initial public offering of our common stock. Our status as an emerging growth company will end as soon as any of the following takes place:</w:t>
      </w:r>
    </w:p>
    <w:p>
      <w:pPr>
        <w:spacing w:after="0" w:line="121" w:lineRule="exact"/>
        <w:rPr>
          <w:sz w:val="20"/>
          <w:szCs w:val="20"/>
          <w:color w:val="auto"/>
        </w:rPr>
      </w:pPr>
    </w:p>
    <w:p>
      <w:pPr>
        <w:ind w:left="1120" w:hanging="370"/>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more than $1.07 billion in annual revenue;</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 million of equity securities held by non-affiliates;</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18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2024.</w:t>
      </w:r>
    </w:p>
    <w:p>
      <w:pPr>
        <w:spacing w:after="0" w:line="18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4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irrevocably elected not to avail ourselves of this accommodation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therefore, we will be subject to the same new or revised accounting standards as other public companies that are not emerging growth companies.</w:t>
      </w:r>
    </w:p>
    <w:p>
      <w:pPr>
        <w:spacing w:after="0" w:line="194"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11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Management evaluates our internal control systems, processes, and procedures for compliance with the requirements of a smaller reporting company under Section 404 of the Sarbanes-Oxley Act of 2002 (“Section 404”). This evaluation includes disclosure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4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for the years ended December 31, 2017 and 2018, management identified a material weakness in our internal controls due to a lack of sufficient full-time accounting staff with requisite experience and deep technical accounting knowledge to (i) identify and resolve complex accounting issues under generally accepted accounting principles in the United States and (ii) allow for appropriate segregation of duties. The identified material weakness could result in misstatements to our consolidated financial statements that would be material and would not be prevented or detected on a timely basis.</w:t>
      </w:r>
    </w:p>
    <w:p>
      <w:pPr>
        <w:spacing w:after="0" w:line="15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implemented additional procedures to remediate this material weakness, however, we cannot assure you that these or other measures will prevent future material weaknesses from occurring. Remediation of the material weakness involved hiring a Chief Financial Officer in March 2019 and four additional accounting resources in the second, third, and fourth quarters of 2019, including two Certified Public Accountants with the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4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we identify future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U.S.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3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proceeds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on June 20, 2019 pursuant to Rule 424(b)(4).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40"/>
          </w:cols>
          <w:pgMar w:left="320" w:top="333" w:right="339" w:bottom="1440" w:gutter="0" w:footer="0" w:header="0"/>
        </w:sect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spacing w:after="0"/>
              <w:rPr>
                <w:sz w:val="13"/>
                <w:szCs w:val="13"/>
                <w:color w:val="auto"/>
              </w:rPr>
            </w:pPr>
          </w:p>
        </w:tc>
        <w:tc>
          <w:tcPr>
            <w:tcW w:w="4340" w:type="dxa"/>
            <w:vAlign w:val="bottom"/>
            <w:gridSpan w:val="8"/>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tcPr>
          <w:p>
            <w:pPr>
              <w:spacing w:after="0"/>
              <w:rPr>
                <w:sz w:val="15"/>
                <w:szCs w:val="15"/>
                <w:color w:val="auto"/>
              </w:rPr>
            </w:pPr>
          </w:p>
        </w:tc>
        <w:tc>
          <w:tcPr>
            <w:tcW w:w="434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24"/>
                <w:szCs w:val="24"/>
                <w:color w:val="auto"/>
              </w:rPr>
            </w:pPr>
          </w:p>
        </w:tc>
        <w:tc>
          <w:tcPr>
            <w:tcW w:w="5460" w:type="dxa"/>
            <w:vAlign w:val="bottom"/>
            <w:tcBorders>
              <w:top w:val="single" w:sz="8" w:color="auto"/>
            </w:tcBorders>
            <w:gridSpan w:val="9"/>
          </w:tcPr>
          <w:p>
            <w:pPr>
              <w:spacing w:after="0"/>
              <w:rPr>
                <w:rFonts w:ascii="Times New Roman" w:cs="Times New Roman" w:eastAsia="Times New Roman" w:hAnsi="Times New Roman"/>
                <w:sz w:val="14"/>
                <w:szCs w:val="14"/>
                <w:u w:val="single" w:color="auto"/>
                <w:color w:val="0000EE"/>
              </w:rPr>
            </w:pPr>
            <w:hyperlink r:id="rId101">
              <w:r>
                <w:rPr>
                  <w:rFonts w:ascii="Times New Roman" w:cs="Times New Roman" w:eastAsia="Times New Roman" w:hAnsi="Times New Roman"/>
                  <w:sz w:val="14"/>
                  <w:szCs w:val="14"/>
                  <w:u w:val="single" w:color="auto"/>
                  <w:color w:val="0000EE"/>
                </w:rPr>
                <w:t>Amended and Restated Certificate of Incorporation of the Registrant.</w:t>
              </w:r>
            </w:hyperlink>
          </w:p>
        </w:tc>
        <w:tc>
          <w:tcPr>
            <w:tcW w:w="0" w:type="dxa"/>
            <w:vAlign w:val="bottom"/>
          </w:tcPr>
          <w:p>
            <w:pPr>
              <w:spacing w:after="0"/>
              <w:rPr>
                <w:sz w:val="1"/>
                <w:szCs w:val="1"/>
                <w:color w:val="auto"/>
              </w:rPr>
            </w:pP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24"/>
                <w:szCs w:val="24"/>
                <w:color w:val="auto"/>
              </w:rPr>
            </w:pPr>
          </w:p>
        </w:tc>
        <w:tc>
          <w:tcPr>
            <w:tcW w:w="5460" w:type="dxa"/>
            <w:vAlign w:val="bottom"/>
            <w:gridSpan w:val="9"/>
          </w:tcPr>
          <w:p>
            <w:pPr>
              <w:spacing w:after="0"/>
              <w:rPr>
                <w:rFonts w:ascii="Times New Roman" w:cs="Times New Roman" w:eastAsia="Times New Roman" w:hAnsi="Times New Roman"/>
                <w:sz w:val="14"/>
                <w:szCs w:val="14"/>
                <w:u w:val="single" w:color="auto"/>
                <w:color w:val="0000EE"/>
              </w:rPr>
            </w:pPr>
            <w:hyperlink r:id="rId102">
              <w:r>
                <w:rPr>
                  <w:rFonts w:ascii="Times New Roman" w:cs="Times New Roman" w:eastAsia="Times New Roman" w:hAnsi="Times New Roman"/>
                  <w:sz w:val="14"/>
                  <w:szCs w:val="14"/>
                  <w:u w:val="single" w:color="auto"/>
                  <w:color w:val="0000EE"/>
                </w:rPr>
                <w:t>Amended and Restated Bylaws of the Registrant.</w:t>
              </w:r>
            </w:hyperlink>
          </w:p>
        </w:tc>
        <w:tc>
          <w:tcPr>
            <w:tcW w:w="0" w:type="dxa"/>
            <w:vAlign w:val="bottom"/>
          </w:tcPr>
          <w:p>
            <w:pPr>
              <w:spacing w:after="0"/>
              <w:rPr>
                <w:sz w:val="1"/>
                <w:szCs w:val="1"/>
                <w:color w:val="auto"/>
              </w:rPr>
            </w:pPr>
          </w:p>
        </w:tc>
      </w:tr>
      <w:tr>
        <w:trPr>
          <w:trHeight w:val="26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40" w:type="dxa"/>
            <w:vAlign w:val="bottom"/>
          </w:tcPr>
          <w:p>
            <w:pPr>
              <w:spacing w:after="0"/>
              <w:rPr>
                <w:sz w:val="23"/>
                <w:szCs w:val="23"/>
                <w:color w:val="auto"/>
              </w:rPr>
            </w:pPr>
          </w:p>
        </w:tc>
        <w:tc>
          <w:tcPr>
            <w:tcW w:w="5460" w:type="dxa"/>
            <w:vAlign w:val="bottom"/>
            <w:gridSpan w:val="9"/>
          </w:tcPr>
          <w:p>
            <w:pPr>
              <w:spacing w:after="0"/>
              <w:rPr>
                <w:rFonts w:ascii="Times New Roman" w:cs="Times New Roman" w:eastAsia="Times New Roman" w:hAnsi="Times New Roman"/>
                <w:sz w:val="14"/>
                <w:szCs w:val="14"/>
                <w:color w:val="0000EE"/>
              </w:rPr>
            </w:pPr>
            <w:hyperlink w:anchor="page76">
              <w:r>
                <w:rPr>
                  <w:rFonts w:ascii="Times New Roman" w:cs="Times New Roman" w:eastAsia="Times New Roman" w:hAnsi="Times New Roman"/>
                  <w:sz w:val="14"/>
                  <w:szCs w:val="14"/>
                  <w:color w:val="0000EE"/>
                </w:rPr>
                <w:t>Certification of Principal Executive Officer Pursuant to Rules 13a-14(a) and 15d-14(a) under</w:t>
              </w:r>
            </w:hyperlink>
          </w:p>
        </w:tc>
        <w:tc>
          <w:tcPr>
            <w:tcW w:w="0" w:type="dxa"/>
            <w:vAlign w:val="bottom"/>
          </w:tcPr>
          <w:p>
            <w:pPr>
              <w:spacing w:after="0"/>
              <w:rPr>
                <w:sz w:val="1"/>
                <w:szCs w:val="1"/>
                <w:color w:val="auto"/>
              </w:rPr>
            </w:pPr>
          </w:p>
        </w:tc>
      </w:tr>
      <w:tr>
        <w:trPr>
          <w:trHeight w:val="128"/>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360" w:type="dxa"/>
            <w:vAlign w:val="bottom"/>
            <w:tcBorders>
              <w:top w:val="single" w:sz="8" w:color="0000EE"/>
            </w:tcBorders>
            <w:gridSpan w:val="8"/>
          </w:tcPr>
          <w:p>
            <w:pPr>
              <w:spacing w:after="0" w:line="129" w:lineRule="exact"/>
              <w:rPr>
                <w:rFonts w:ascii="Times New Roman" w:cs="Times New Roman" w:eastAsia="Times New Roman" w:hAnsi="Times New Roman"/>
                <w:sz w:val="14"/>
                <w:szCs w:val="14"/>
                <w:color w:val="0000EE"/>
              </w:rPr>
            </w:pPr>
            <w:hyperlink w:anchor="page76">
              <w:r>
                <w:rPr>
                  <w:rFonts w:ascii="Times New Roman" w:cs="Times New Roman" w:eastAsia="Times New Roman" w:hAnsi="Times New Roman"/>
                  <w:sz w:val="14"/>
                  <w:szCs w:val="14"/>
                  <w:color w:val="0000EE"/>
                </w:rPr>
                <w:t>the Securities Exchange Act of 1934, as Adopted Pursuant to Section 302 of the Sarbanes-</w:t>
              </w:r>
            </w:hyperlink>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top w:val="single" w:sz="8" w:color="0000EE"/>
              <w:bottom w:val="single" w:sz="8" w:color="0000EE"/>
            </w:tcBorders>
          </w:tcPr>
          <w:p>
            <w:pPr>
              <w:spacing w:after="0" w:line="129" w:lineRule="exact"/>
              <w:rPr>
                <w:rFonts w:ascii="Times New Roman" w:cs="Times New Roman" w:eastAsia="Times New Roman" w:hAnsi="Times New Roman"/>
                <w:sz w:val="14"/>
                <w:szCs w:val="14"/>
                <w:color w:val="0000EE"/>
              </w:rPr>
            </w:pPr>
            <w:hyperlink w:anchor="page76">
              <w:r>
                <w:rPr>
                  <w:rFonts w:ascii="Times New Roman" w:cs="Times New Roman" w:eastAsia="Times New Roman" w:hAnsi="Times New Roman"/>
                  <w:sz w:val="14"/>
                  <w:szCs w:val="14"/>
                  <w:color w:val="0000EE"/>
                </w:rPr>
                <w:t>Oxley Act of 2002.</w:t>
              </w:r>
            </w:hyperlink>
          </w:p>
        </w:tc>
        <w:tc>
          <w:tcPr>
            <w:tcW w:w="4100" w:type="dxa"/>
            <w:vAlign w:val="bottom"/>
            <w:tcBorders>
              <w:top w:val="single" w:sz="8" w:color="0000EE"/>
            </w:tcBorders>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40" w:type="dxa"/>
            <w:vAlign w:val="bottom"/>
          </w:tcPr>
          <w:p>
            <w:pPr>
              <w:spacing w:after="0"/>
              <w:rPr>
                <w:sz w:val="24"/>
                <w:szCs w:val="24"/>
                <w:color w:val="auto"/>
              </w:rPr>
            </w:pPr>
          </w:p>
        </w:tc>
        <w:tc>
          <w:tcPr>
            <w:tcW w:w="5460" w:type="dxa"/>
            <w:vAlign w:val="bottom"/>
            <w:gridSpan w:val="9"/>
          </w:tcPr>
          <w:p>
            <w:pPr>
              <w:spacing w:after="0"/>
              <w:rPr>
                <w:rFonts w:ascii="Times New Roman" w:cs="Times New Roman" w:eastAsia="Times New Roman" w:hAnsi="Times New Roman"/>
                <w:sz w:val="14"/>
                <w:szCs w:val="14"/>
                <w:color w:val="0000EE"/>
              </w:rPr>
            </w:pPr>
            <w:hyperlink w:anchor="page77">
              <w:r>
                <w:rPr>
                  <w:rFonts w:ascii="Times New Roman" w:cs="Times New Roman" w:eastAsia="Times New Roman" w:hAnsi="Times New Roman"/>
                  <w:sz w:val="14"/>
                  <w:szCs w:val="14"/>
                  <w:color w:val="0000EE"/>
                </w:rPr>
                <w:t>Certification of Principal Financial Officer Pursuant to Rules 13a-14(a) and 15d-14(a) under</w:t>
              </w:r>
            </w:hyperlink>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340" w:type="dxa"/>
            <w:vAlign w:val="bottom"/>
            <w:tcBorders>
              <w:top w:val="single" w:sz="8" w:color="0000EE"/>
            </w:tcBorders>
            <w:gridSpan w:val="7"/>
          </w:tcPr>
          <w:p>
            <w:pPr>
              <w:spacing w:after="0" w:line="129" w:lineRule="exact"/>
              <w:rPr>
                <w:rFonts w:ascii="Times New Roman" w:cs="Times New Roman" w:eastAsia="Times New Roman" w:hAnsi="Times New Roman"/>
                <w:sz w:val="14"/>
                <w:szCs w:val="14"/>
                <w:color w:val="0000EE"/>
              </w:rPr>
            </w:pPr>
            <w:hyperlink w:anchor="page77">
              <w:r>
                <w:rPr>
                  <w:rFonts w:ascii="Times New Roman" w:cs="Times New Roman" w:eastAsia="Times New Roman" w:hAnsi="Times New Roman"/>
                  <w:sz w:val="14"/>
                  <w:szCs w:val="14"/>
                  <w:color w:val="0000EE"/>
                </w:rPr>
                <w:t>the Securities Exchange Act of 1934, as Adopted Pursuant to Section 302 of the Sarbanes-</w:t>
              </w:r>
            </w:hyperlink>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top w:val="single" w:sz="8" w:color="0000EE"/>
              <w:bottom w:val="single" w:sz="8" w:color="0000EE"/>
            </w:tcBorders>
          </w:tcPr>
          <w:p>
            <w:pPr>
              <w:spacing w:after="0" w:line="129" w:lineRule="exact"/>
              <w:rPr>
                <w:rFonts w:ascii="Times New Roman" w:cs="Times New Roman" w:eastAsia="Times New Roman" w:hAnsi="Times New Roman"/>
                <w:sz w:val="14"/>
                <w:szCs w:val="14"/>
                <w:color w:val="0000EE"/>
              </w:rPr>
            </w:pPr>
            <w:hyperlink w:anchor="page77">
              <w:r>
                <w:rPr>
                  <w:rFonts w:ascii="Times New Roman" w:cs="Times New Roman" w:eastAsia="Times New Roman" w:hAnsi="Times New Roman"/>
                  <w:sz w:val="14"/>
                  <w:szCs w:val="14"/>
                  <w:color w:val="0000EE"/>
                </w:rPr>
                <w:t>Oxley Act of 2002.</w:t>
              </w:r>
            </w:hyperlink>
          </w:p>
        </w:tc>
        <w:tc>
          <w:tcPr>
            <w:tcW w:w="4100" w:type="dxa"/>
            <w:vAlign w:val="bottom"/>
            <w:tcBorders>
              <w:top w:val="single" w:sz="8" w:color="0000EE"/>
            </w:tcBorders>
            <w:gridSpan w:val="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32.1†</w:t>
            </w:r>
          </w:p>
        </w:tc>
        <w:tc>
          <w:tcPr>
            <w:tcW w:w="5460" w:type="dxa"/>
            <w:vAlign w:val="bottom"/>
            <w:gridSpan w:val="9"/>
          </w:tcPr>
          <w:p>
            <w:pPr>
              <w:spacing w:after="0"/>
              <w:rPr>
                <w:rFonts w:ascii="Times New Roman" w:cs="Times New Roman" w:eastAsia="Times New Roman" w:hAnsi="Times New Roman"/>
                <w:sz w:val="14"/>
                <w:szCs w:val="14"/>
                <w:color w:val="0000EE"/>
              </w:rPr>
            </w:pPr>
            <w:hyperlink w:anchor="page78">
              <w:r>
                <w:rPr>
                  <w:rFonts w:ascii="Times New Roman" w:cs="Times New Roman" w:eastAsia="Times New Roman" w:hAnsi="Times New Roman"/>
                  <w:sz w:val="14"/>
                  <w:szCs w:val="14"/>
                  <w:color w:val="0000EE"/>
                </w:rPr>
                <w:t>Certification of Principal Executive Officer Pursuant to 18 U.S.C. Section 1350, as Adopted</w:t>
              </w:r>
            </w:hyperlink>
          </w:p>
        </w:tc>
        <w:tc>
          <w:tcPr>
            <w:tcW w:w="0" w:type="dxa"/>
            <w:vAlign w:val="bottom"/>
          </w:tcPr>
          <w:p>
            <w:pPr>
              <w:spacing w:after="0"/>
              <w:rPr>
                <w:sz w:val="1"/>
                <w:szCs w:val="1"/>
                <w:color w:val="auto"/>
              </w:rPr>
            </w:pPr>
          </w:p>
        </w:tc>
      </w:tr>
      <w:tr>
        <w:trPr>
          <w:trHeight w:val="128"/>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80" w:type="dxa"/>
            <w:vAlign w:val="bottom"/>
            <w:tcBorders>
              <w:top w:val="single" w:sz="8" w:color="0000EE"/>
              <w:bottom w:val="single" w:sz="8" w:color="0000EE"/>
            </w:tcBorders>
            <w:gridSpan w:val="3"/>
          </w:tcPr>
          <w:p>
            <w:pPr>
              <w:spacing w:after="0" w:line="129" w:lineRule="exact"/>
              <w:rPr>
                <w:rFonts w:ascii="Times New Roman" w:cs="Times New Roman" w:eastAsia="Times New Roman" w:hAnsi="Times New Roman"/>
                <w:sz w:val="14"/>
                <w:szCs w:val="14"/>
                <w:color w:val="0000EE"/>
              </w:rPr>
            </w:pPr>
            <w:hyperlink w:anchor="page78">
              <w:r>
                <w:rPr>
                  <w:rFonts w:ascii="Times New Roman" w:cs="Times New Roman" w:eastAsia="Times New Roman" w:hAnsi="Times New Roman"/>
                  <w:sz w:val="14"/>
                  <w:szCs w:val="14"/>
                  <w:color w:val="0000EE"/>
                </w:rPr>
                <w:t>Pursuant to Section 906 of the Sarbanes-Oxley Act of 2002.</w:t>
              </w:r>
            </w:hyperlink>
          </w:p>
        </w:tc>
        <w:tc>
          <w:tcPr>
            <w:tcW w:w="1840" w:type="dxa"/>
            <w:vAlign w:val="bottom"/>
            <w:tcBorders>
              <w:top w:val="single" w:sz="8" w:color="0000EE"/>
            </w:tcBorders>
            <w:gridSpan w:val="3"/>
          </w:tcPr>
          <w:p>
            <w:pPr>
              <w:spacing w:after="0"/>
              <w:rPr>
                <w:sz w:val="11"/>
                <w:szCs w:val="11"/>
                <w:color w:val="auto"/>
              </w:rPr>
            </w:pPr>
          </w:p>
        </w:tc>
        <w:tc>
          <w:tcPr>
            <w:tcW w:w="1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32.2†</w:t>
            </w:r>
          </w:p>
        </w:tc>
        <w:tc>
          <w:tcPr>
            <w:tcW w:w="5460" w:type="dxa"/>
            <w:vAlign w:val="bottom"/>
            <w:gridSpan w:val="9"/>
          </w:tcPr>
          <w:p>
            <w:pPr>
              <w:spacing w:after="0"/>
              <w:rPr>
                <w:rFonts w:ascii="Times New Roman" w:cs="Times New Roman" w:eastAsia="Times New Roman" w:hAnsi="Times New Roman"/>
                <w:sz w:val="14"/>
                <w:szCs w:val="14"/>
                <w:color w:val="0000EE"/>
              </w:rPr>
            </w:pPr>
            <w:hyperlink w:anchor="page79">
              <w:r>
                <w:rPr>
                  <w:rFonts w:ascii="Times New Roman" w:cs="Times New Roman" w:eastAsia="Times New Roman" w:hAnsi="Times New Roman"/>
                  <w:sz w:val="14"/>
                  <w:szCs w:val="14"/>
                  <w:color w:val="0000EE"/>
                </w:rPr>
                <w:t>Certification of Principal Financial Officer Pursuant to 18 U.S.C. Section 1350, as Adopted</w:t>
              </w:r>
            </w:hyperlink>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80" w:type="dxa"/>
            <w:vAlign w:val="bottom"/>
            <w:tcBorders>
              <w:top w:val="single" w:sz="8" w:color="0000EE"/>
            </w:tcBorders>
            <w:gridSpan w:val="5"/>
          </w:tcPr>
          <w:p>
            <w:pPr>
              <w:spacing w:after="0" w:line="129" w:lineRule="exact"/>
              <w:rPr>
                <w:rFonts w:ascii="Times New Roman" w:cs="Times New Roman" w:eastAsia="Times New Roman" w:hAnsi="Times New Roman"/>
                <w:sz w:val="14"/>
                <w:szCs w:val="14"/>
                <w:color w:val="0000EE"/>
              </w:rPr>
            </w:pPr>
            <w:hyperlink w:anchor="page79">
              <w:r>
                <w:rPr>
                  <w:rFonts w:ascii="Times New Roman" w:cs="Times New Roman" w:eastAsia="Times New Roman" w:hAnsi="Times New Roman"/>
                  <w:sz w:val="14"/>
                  <w:szCs w:val="14"/>
                  <w:color w:val="0000EE"/>
                </w:rPr>
                <w:t>Pursuant to Section 906 of the Sarbanes-Oxley Act of 2002.</w:t>
              </w:r>
            </w:hyperlink>
          </w:p>
        </w:tc>
        <w:tc>
          <w:tcPr>
            <w:tcW w:w="1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34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20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54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29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54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29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54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29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54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297"/>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54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9512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9057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9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001-38943</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June 24, 2019</w:t>
            </w:r>
          </w:p>
        </w:tc>
      </w:tr>
      <w:tr>
        <w:trPr>
          <w:trHeight w:val="297"/>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001-38943</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June 24, 2019</w:t>
            </w:r>
          </w:p>
        </w:tc>
      </w:tr>
    </w:tbl>
    <w:p>
      <w:pPr>
        <w:spacing w:after="0" w:line="4023" w:lineRule="exact"/>
        <w:rPr>
          <w:sz w:val="20"/>
          <w:szCs w:val="20"/>
          <w:color w:val="auto"/>
        </w:rPr>
      </w:pPr>
    </w:p>
    <w:p>
      <w:pPr>
        <w:sectPr>
          <w:pgSz w:w="11900" w:h="16838" w:orient="portrait"/>
          <w:cols w:equalWidth="0" w:num="2">
            <w:col w:w="6620" w:space="40"/>
            <w:col w:w="4580"/>
          </w:cols>
          <w:pgMar w:left="320" w:top="333" w:right="339" w:bottom="1440" w:gutter="0" w:footer="0" w:header="0"/>
          <w:type w:val="continuous"/>
        </w:sectPr>
      </w:pPr>
    </w:p>
    <w:p>
      <w:pPr>
        <w:ind w:left="500" w:hanging="49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8" w:lineRule="exact"/>
        <w:rPr>
          <w:sz w:val="20"/>
          <w:szCs w:val="20"/>
          <w:color w:val="auto"/>
        </w:rPr>
      </w:pPr>
    </w:p>
    <w:p>
      <w:pPr>
        <w:jc w:val="both"/>
        <w:ind w:left="500" w:hanging="492"/>
        <w:spacing w:after="0" w:line="241" w:lineRule="auto"/>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November 5, 2020</w:t>
      </w:r>
      <w:r>
        <w:rPr>
          <w:sz w:val="20"/>
          <w:szCs w:val="20"/>
          <w:color w:val="auto"/>
        </w:rPr>
        <w:tab/>
      </w:r>
      <w:r>
        <w:rPr>
          <w:rFonts w:ascii="Times New Roman" w:cs="Times New Roman" w:eastAsia="Times New Roman" w:hAnsi="Times New Roman"/>
          <w:sz w:val="17"/>
          <w:szCs w:val="17"/>
          <w:color w:val="auto"/>
        </w:rPr>
        <w:t>Personalis, Inc.</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Aaron Tachibana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(Duly Authorized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33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West, certify that:</w:t>
      </w:r>
    </w:p>
    <w:p>
      <w:pPr>
        <w:spacing w:after="0" w:line="225"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Personalis,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48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36" w:lineRule="exact"/>
        <w:rPr>
          <w:sz w:val="20"/>
          <w:szCs w:val="20"/>
          <w:color w:val="auto"/>
        </w:rPr>
      </w:pPr>
    </w:p>
    <w:p>
      <w:pPr>
        <w:ind w:left="55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John West</w:t>
      </w:r>
    </w:p>
    <w:p>
      <w:pPr>
        <w:spacing w:after="0" w:line="5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-127635</wp:posOffset>
            </wp:positionV>
            <wp:extent cx="32829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4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Tachibana, certify that:</w:t>
      </w:r>
    </w:p>
    <w:p>
      <w:pPr>
        <w:spacing w:after="0" w:line="225"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Personalis,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48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36" w:lineRule="exact"/>
        <w:rPr>
          <w:sz w:val="20"/>
          <w:szCs w:val="20"/>
          <w:color w:val="auto"/>
        </w:rPr>
      </w:pPr>
    </w:p>
    <w:p>
      <w:pPr>
        <w:ind w:left="55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Aaron Tachibana</w:t>
      </w:r>
    </w:p>
    <w:p>
      <w:pPr>
        <w:spacing w:after="0" w:line="5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-127635</wp:posOffset>
            </wp:positionV>
            <wp:extent cx="32829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34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Personalis, Inc. (the “Company”) on Form 10-Q for the period ending September 30, 2020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John West</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4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Personalis, Inc. (the “Company”) on Form 10-Q for the period ending September 30, 2020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429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Aaron Tachibana</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01" Type="http://schemas.openxmlformats.org/officeDocument/2006/relationships/hyperlink" Target="http://www.sec.gov/Archives/edgar/data/0001527753/000119312519180246/d750323dex31.htm" TargetMode="External"/><Relationship Id="rId102" Type="http://schemas.openxmlformats.org/officeDocument/2006/relationships/hyperlink" Target="http://www.sec.gov/Archives/edgar/data/0001527753/000119312519180246/d75032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2020-11-05T16:35:12Z</dcterms:created>
  <dcterms:modified xsi:type="dcterms:W3CDTF">2020-11-05T16:35:12Z</dcterms:modified>
</cp:coreProperties>
</file>