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5"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45085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72390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0" w:lineRule="exact"/>
        <w:rPr>
          <w:sz w:val="24"/>
          <w:szCs w:val="24"/>
          <w:color w:val="auto"/>
        </w:rPr>
      </w:pPr>
    </w:p>
    <w:p>
      <w:pPr>
        <w:ind w:left="4000" w:right="2880" w:hanging="3992"/>
        <w:spacing w:after="0" w:line="303" w:lineRule="auto"/>
        <w:tabs>
          <w:tab w:leader="none" w:pos="3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26" w:lineRule="exact"/>
        <w:rPr>
          <w:sz w:val="24"/>
          <w:szCs w:val="24"/>
          <w:color w:val="auto"/>
        </w:rPr>
      </w:pPr>
    </w:p>
    <w:p>
      <w:pPr>
        <w:ind w:left="3800" w:right="1640" w:hanging="2869"/>
        <w:spacing w:after="0" w:line="290" w:lineRule="auto"/>
        <w:tabs>
          <w:tab w:leader="none" w:pos="129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 to _______.</w:t>
      </w:r>
    </w:p>
    <w:p>
      <w:pPr>
        <w:ind w:left="430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31750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Personalis, Inc.</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8"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Delaware</w:t>
            </w:r>
          </w:p>
        </w:tc>
        <w:tc>
          <w:tcPr>
            <w:tcW w:w="3540" w:type="dxa"/>
            <w:vAlign w:val="bottom"/>
          </w:tcPr>
          <w:p>
            <w:pPr>
              <w:jc w:val="right"/>
              <w:ind w:right="648"/>
              <w:spacing w:after="0"/>
              <w:rPr>
                <w:sz w:val="20"/>
                <w:szCs w:val="20"/>
                <w:color w:val="auto"/>
              </w:rPr>
            </w:pPr>
            <w:r>
              <w:rPr>
                <w:rFonts w:ascii="Arial" w:cs="Arial" w:eastAsia="Arial" w:hAnsi="Arial"/>
                <w:sz w:val="14"/>
                <w:szCs w:val="14"/>
                <w:b w:val="1"/>
                <w:bCs w:val="1"/>
                <w:color w:val="auto"/>
              </w:rPr>
              <w:t>27-5411038</w:t>
            </w:r>
          </w:p>
        </w:tc>
      </w:tr>
      <w:tr>
        <w:trPr>
          <w:trHeight w:val="188"/>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175"/>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212529"/>
              </w:rPr>
              <w:t>6600 Dumbarton Circle</w:t>
            </w:r>
          </w:p>
        </w:tc>
        <w:tc>
          <w:tcPr>
            <w:tcW w:w="3540" w:type="dxa"/>
            <w:vAlign w:val="bottom"/>
          </w:tcPr>
          <w:p>
            <w:pPr>
              <w:spacing w:after="0"/>
              <w:rPr>
                <w:sz w:val="15"/>
                <w:szCs w:val="15"/>
                <w:color w:val="auto"/>
              </w:rPr>
            </w:pPr>
          </w:p>
        </w:tc>
      </w:tr>
      <w:tr>
        <w:trPr>
          <w:trHeight w:val="190"/>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Fremont, California</w:t>
            </w:r>
          </w:p>
        </w:tc>
        <w:tc>
          <w:tcPr>
            <w:tcW w:w="3540" w:type="dxa"/>
            <w:vAlign w:val="bottom"/>
          </w:tcPr>
          <w:p>
            <w:pPr>
              <w:jc w:val="right"/>
              <w:ind w:right="828"/>
              <w:spacing w:after="0"/>
              <w:rPr>
                <w:sz w:val="20"/>
                <w:szCs w:val="20"/>
                <w:color w:val="auto"/>
              </w:rPr>
            </w:pPr>
            <w:r>
              <w:rPr>
                <w:rFonts w:ascii="Arial" w:cs="Arial" w:eastAsia="Arial" w:hAnsi="Arial"/>
                <w:sz w:val="14"/>
                <w:szCs w:val="14"/>
                <w:b w:val="1"/>
                <w:bCs w:val="1"/>
                <w:color w:val="auto"/>
              </w:rPr>
              <w:t>94555</w:t>
            </w:r>
          </w:p>
        </w:tc>
      </w:tr>
      <w:tr>
        <w:trPr>
          <w:trHeight w:val="189"/>
        </w:trPr>
        <w:tc>
          <w:tcPr>
            <w:tcW w:w="5040" w:type="dxa"/>
            <w:vAlign w:val="bottom"/>
          </w:tcPr>
          <w:p>
            <w:pPr>
              <w:jc w:val="center"/>
              <w:ind w:right="126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68"/>
              <w:spacing w:after="0"/>
              <w:rPr>
                <w:sz w:val="20"/>
                <w:szCs w:val="20"/>
                <w:color w:val="auto"/>
              </w:rPr>
            </w:pPr>
            <w:r>
              <w:rPr>
                <w:rFonts w:ascii="Arial" w:cs="Arial" w:eastAsia="Arial" w:hAnsi="Arial"/>
                <w:sz w:val="14"/>
                <w:szCs w:val="14"/>
                <w:color w:val="auto"/>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19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Symbol(s)</w:t>
            </w:r>
          </w:p>
        </w:tc>
        <w:tc>
          <w:tcPr>
            <w:tcW w:w="120" w:type="dxa"/>
            <w:vAlign w:val="bottom"/>
          </w:tcPr>
          <w:p>
            <w:pPr>
              <w:spacing w:after="0"/>
              <w:rPr>
                <w:sz w:val="17"/>
                <w:szCs w:val="17"/>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1"/>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PSNL</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Market</w:t>
            </w:r>
          </w:p>
        </w:tc>
      </w:tr>
    </w:tbl>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45" w:lineRule="exact"/>
        <w:rPr>
          <w:sz w:val="24"/>
          <w:szCs w:val="24"/>
          <w:color w:val="auto"/>
        </w:rPr>
      </w:pPr>
    </w:p>
    <w:p>
      <w:pPr>
        <w:ind w:right="290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p>
      <w:pPr>
        <w:ind w:left="20"/>
        <w:spacing w:after="0" w:line="161" w:lineRule="exact"/>
        <w:tabs>
          <w:tab w:leader="none" w:pos="1820" w:val="left"/>
          <w:tab w:leader="none" w:pos="2260" w:val="left"/>
          <w:tab w:leader="none" w:pos="3640" w:val="left"/>
          <w:tab w:leader="none" w:pos="4100" w:val="left"/>
          <w:tab w:leader="none" w:pos="5780" w:val="left"/>
          <w:tab w:leader="none" w:pos="6220" w:val="left"/>
          <w:tab w:leader="none" w:pos="8340" w:val="left"/>
          <w:tab w:leader="none" w:pos="8920" w:val="left"/>
          <w:tab w:leader="none" w:pos="11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6"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8" w:lineRule="exact"/>
        <w:rPr>
          <w:sz w:val="24"/>
          <w:szCs w:val="24"/>
          <w:color w:val="auto"/>
        </w:rPr>
      </w:pPr>
    </w:p>
    <w:p>
      <w:pPr>
        <w:ind w:right="560"/>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5" w:lineRule="exact"/>
        <w:rPr>
          <w:sz w:val="24"/>
          <w:szCs w:val="24"/>
          <w:color w:val="auto"/>
        </w:rPr>
      </w:pPr>
    </w:p>
    <w:p>
      <w:pPr>
        <w:ind w:right="460"/>
        <w:spacing w:after="0" w:line="17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right="240"/>
        <w:spacing w:after="0" w:line="258"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as of June 30, 2022, the last business day of the Registrant’s most recently completed second fiscal quarter, was approximately $156,000,000 based on the closing price reported for such date on the Nasdaq Global Market.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46,736,830 shares of common stock were issued and outstanding as of February 14, 2023.</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Portions of the Registrant's definitive proxy statement relating to its 2023 annual meeting of shareholders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79" w:lineRule="exact"/>
        <w:rPr>
          <w:sz w:val="24"/>
          <w:szCs w:val="24"/>
          <w:color w:val="auto"/>
        </w:rPr>
      </w:pPr>
    </w:p>
    <w:p>
      <w:pPr>
        <w:ind w:left="100"/>
        <w:spacing w:after="0"/>
        <w:tabs>
          <w:tab w:leader="none" w:pos="3860" w:val="left"/>
          <w:tab w:leader="none" w:pos="7500" w:val="left"/>
        </w:tabs>
        <w:rPr>
          <w:sz w:val="20"/>
          <w:szCs w:val="20"/>
          <w:color w:val="auto"/>
        </w:rPr>
      </w:pPr>
      <w:r>
        <w:rPr>
          <w:rFonts w:ascii="Arial" w:cs="Arial" w:eastAsia="Arial" w:hAnsi="Arial"/>
          <w:sz w:val="14"/>
          <w:szCs w:val="14"/>
          <w:color w:val="auto"/>
        </w:rPr>
        <w:t>Auditor Firm ID: 34</w:t>
      </w:r>
      <w:r>
        <w:rPr>
          <w:sz w:val="20"/>
          <w:szCs w:val="20"/>
          <w:color w:val="auto"/>
        </w:rPr>
        <w:tab/>
      </w:r>
      <w:r>
        <w:rPr>
          <w:rFonts w:ascii="Arial" w:cs="Arial" w:eastAsia="Arial" w:hAnsi="Arial"/>
          <w:sz w:val="14"/>
          <w:szCs w:val="14"/>
          <w:color w:val="auto"/>
        </w:rPr>
        <w:t>Auditor Name: Deloitte &amp; Touche LLP</w:t>
      </w:r>
      <w:r>
        <w:rPr>
          <w:sz w:val="20"/>
          <w:szCs w:val="20"/>
          <w:color w:val="auto"/>
        </w:rPr>
        <w:tab/>
      </w:r>
      <w:r>
        <w:rPr>
          <w:rFonts w:ascii="Arial" w:cs="Arial" w:eastAsia="Arial" w:hAnsi="Arial"/>
          <w:sz w:val="14"/>
          <w:szCs w:val="14"/>
          <w:color w:val="auto"/>
        </w:rPr>
        <w:t>Auditor Location: Austin, Texas,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 w:name="page2"/>
    <w:bookmarkEnd w:id="1"/>
    <w:p>
      <w:pPr>
        <w:ind w:left="4800"/>
        <w:spacing w:after="0"/>
        <w:rPr>
          <w:sz w:val="20"/>
          <w:szCs w:val="20"/>
          <w:color w:val="auto"/>
        </w:rPr>
      </w:pPr>
      <w:r>
        <w:rPr>
          <w:rFonts w:ascii="Arial" w:cs="Arial" w:eastAsia="Arial" w:hAnsi="Arial"/>
          <w:sz w:val="18"/>
          <w:szCs w:val="18"/>
          <w:b w:val="1"/>
          <w:bCs w:val="1"/>
          <w:color w:val="auto"/>
        </w:rPr>
        <w:t>PERSONALIS, INC.</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Page</w:t>
            </w:r>
          </w:p>
        </w:tc>
      </w:tr>
      <w:tr>
        <w:trPr>
          <w:trHeight w:val="179"/>
        </w:trPr>
        <w:tc>
          <w:tcPr>
            <w:tcW w:w="980" w:type="dxa"/>
            <w:vAlign w:val="bottom"/>
            <w:shd w:val="clear" w:color="auto" w:fill="CFF0FC"/>
          </w:tcPr>
          <w:p>
            <w:pPr>
              <w:spacing w:after="0"/>
              <w:rPr>
                <w:sz w:val="15"/>
                <w:szCs w:val="15"/>
                <w:color w:val="auto"/>
              </w:rPr>
            </w:pPr>
          </w:p>
        </w:tc>
        <w:tc>
          <w:tcPr>
            <w:tcW w:w="9700" w:type="dxa"/>
            <w:vAlign w:val="bottom"/>
            <w:gridSpan w:val="31"/>
            <w:shd w:val="clear" w:color="auto" w:fill="CFF0FC"/>
          </w:tcPr>
          <w:p>
            <w:pPr>
              <w:spacing w:after="0" w:line="158" w:lineRule="exact"/>
              <w:rPr>
                <w:sz w:val="20"/>
                <w:szCs w:val="20"/>
                <w:color w:val="auto"/>
              </w:rPr>
            </w:pPr>
            <w:r>
              <w:rPr>
                <w:rFonts w:ascii="Arial" w:cs="Arial" w:eastAsia="Arial" w:hAnsi="Arial"/>
                <w:sz w:val="16"/>
                <w:szCs w:val="16"/>
                <w:color w:val="0000FF"/>
              </w:rPr>
              <w:t>Note Regarding Forward-Looking Statements</w:t>
            </w:r>
          </w:p>
        </w:tc>
        <w:tc>
          <w:tcPr>
            <w:tcW w:w="560" w:type="dxa"/>
            <w:vAlign w:val="bottom"/>
            <w:shd w:val="clear" w:color="auto" w:fill="CFF0FC"/>
          </w:tcPr>
          <w:p>
            <w:pPr>
              <w:jc w:val="center"/>
              <w:spacing w:after="0" w:line="158" w:lineRule="exact"/>
              <w:rPr>
                <w:sz w:val="20"/>
                <w:szCs w:val="20"/>
                <w:color w:val="auto"/>
              </w:rPr>
            </w:pPr>
            <w:r>
              <w:rPr>
                <w:rFonts w:ascii="Arial" w:cs="Arial" w:eastAsia="Arial" w:hAnsi="Arial"/>
                <w:sz w:val="16"/>
                <w:szCs w:val="16"/>
                <w:color w:val="auto"/>
                <w:w w:val="89"/>
              </w:rPr>
              <w:t>3</w:t>
            </w:r>
          </w:p>
        </w:tc>
      </w:tr>
      <w:tr>
        <w:trPr>
          <w:trHeight w:val="203"/>
        </w:trPr>
        <w:tc>
          <w:tcPr>
            <w:tcW w:w="980" w:type="dxa"/>
            <w:vAlign w:val="bottom"/>
            <w:tcBorders>
              <w:top w:val="single" w:sz="8" w:color="CFF0FC"/>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r>
      <w:tr>
        <w:trPr>
          <w:trHeight w:val="183"/>
        </w:trPr>
        <w:tc>
          <w:tcPr>
            <w:tcW w:w="9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320" w:type="dxa"/>
            <w:vAlign w:val="bottom"/>
            <w:gridSpan w:val="11"/>
            <w:shd w:val="clear" w:color="auto" w:fill="CFF0FC"/>
          </w:tcPr>
          <w:p>
            <w:pPr>
              <w:jc w:val="center"/>
              <w:ind w:right="4800"/>
              <w:spacing w:after="0" w:line="162" w:lineRule="exact"/>
              <w:rPr>
                <w:sz w:val="20"/>
                <w:szCs w:val="20"/>
                <w:color w:val="auto"/>
              </w:rPr>
            </w:pPr>
            <w:r>
              <w:rPr>
                <w:rFonts w:ascii="Arial" w:cs="Arial" w:eastAsia="Arial" w:hAnsi="Arial"/>
                <w:sz w:val="16"/>
                <w:szCs w:val="16"/>
                <w:b w:val="1"/>
                <w:bCs w:val="1"/>
                <w:color w:val="0000FF"/>
                <w:w w:val="99"/>
              </w:rPr>
              <w:t>PART I</w:t>
            </w:r>
          </w:p>
        </w:tc>
        <w:tc>
          <w:tcPr>
            <w:tcW w:w="560" w:type="dxa"/>
            <w:vAlign w:val="bottom"/>
            <w:shd w:val="clear" w:color="auto" w:fill="CFF0FC"/>
          </w:tcPr>
          <w:p>
            <w:pPr>
              <w:spacing w:after="0"/>
              <w:rPr>
                <w:sz w:val="15"/>
                <w:szCs w:val="15"/>
                <w:color w:val="auto"/>
              </w:rPr>
            </w:pP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w:t>
            </w:r>
          </w:p>
        </w:tc>
        <w:tc>
          <w:tcPr>
            <w:tcW w:w="4380" w:type="dxa"/>
            <w:vAlign w:val="bottom"/>
            <w:tcBorders>
              <w:top w:val="single" w:sz="8" w:color="CFF0FC"/>
            </w:tcBorders>
            <w:gridSpan w:val="20"/>
          </w:tcPr>
          <w:p>
            <w:pPr>
              <w:spacing w:after="0" w:line="162" w:lineRule="exact"/>
              <w:rPr>
                <w:sz w:val="20"/>
                <w:szCs w:val="20"/>
                <w:color w:val="auto"/>
              </w:rPr>
            </w:pPr>
            <w:r>
              <w:rPr>
                <w:rFonts w:ascii="Arial" w:cs="Arial" w:eastAsia="Arial" w:hAnsi="Arial"/>
                <w:sz w:val="16"/>
                <w:szCs w:val="16"/>
                <w:color w:val="0000FF"/>
              </w:rPr>
              <w:t>Business</w:t>
            </w:r>
          </w:p>
        </w:tc>
        <w:tc>
          <w:tcPr>
            <w:tcW w:w="520" w:type="dxa"/>
            <w:vAlign w:val="bottom"/>
            <w:tcBorders>
              <w:top w:val="single" w:sz="8" w:color="0000FF"/>
            </w:tcBorders>
            <w:gridSpan w:val="2"/>
          </w:tcPr>
          <w:p>
            <w:pPr>
              <w:spacing w:after="0"/>
              <w:rPr>
                <w:sz w:val="14"/>
                <w:szCs w:val="14"/>
                <w:color w:val="auto"/>
              </w:rPr>
            </w:pPr>
          </w:p>
        </w:tc>
        <w:tc>
          <w:tcPr>
            <w:tcW w:w="4800" w:type="dxa"/>
            <w:vAlign w:val="bottom"/>
            <w:tcBorders>
              <w:top w:val="single" w:sz="8" w:color="CFF0FC"/>
            </w:tcBorders>
            <w:gridSpan w:val="9"/>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w w:val="89"/>
              </w:rPr>
              <w:t>4</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5"/>
            <w:shd w:val="clear" w:color="auto" w:fill="CFF0FC"/>
          </w:tcPr>
          <w:p>
            <w:pPr>
              <w:spacing w:after="0" w:line="162" w:lineRule="exact"/>
              <w:rPr>
                <w:sz w:val="20"/>
                <w:szCs w:val="20"/>
                <w:color w:val="auto"/>
              </w:rPr>
            </w:pPr>
            <w:r>
              <w:rPr>
                <w:rFonts w:ascii="Arial" w:cs="Arial" w:eastAsia="Arial" w:hAnsi="Arial"/>
                <w:sz w:val="16"/>
                <w:szCs w:val="16"/>
                <w:color w:val="0000FF"/>
                <w:w w:val="98"/>
              </w:rPr>
              <w:t>Risk Factors</w:t>
            </w:r>
          </w:p>
        </w:tc>
        <w:tc>
          <w:tcPr>
            <w:tcW w:w="8800" w:type="dxa"/>
            <w:vAlign w:val="bottom"/>
            <w:tcBorders>
              <w:bottom w:val="single" w:sz="8" w:color="CFF0FC"/>
            </w:tcBorders>
            <w:gridSpan w:val="26"/>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21</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1B.</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Unresolved Staff Comments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60</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740" w:type="dxa"/>
            <w:vAlign w:val="bottom"/>
            <w:tcBorders>
              <w:bottom w:val="single" w:sz="8" w:color="0000FF"/>
            </w:tcBorders>
            <w:gridSpan w:val="2"/>
            <w:shd w:val="clear" w:color="auto" w:fill="CFF0FC"/>
          </w:tcPr>
          <w:p>
            <w:pPr>
              <w:spacing w:after="0" w:line="162" w:lineRule="exact"/>
              <w:rPr>
                <w:sz w:val="20"/>
                <w:szCs w:val="20"/>
                <w:color w:val="auto"/>
              </w:rPr>
            </w:pPr>
            <w:r>
              <w:rPr>
                <w:rFonts w:ascii="Arial" w:cs="Arial" w:eastAsia="Arial" w:hAnsi="Arial"/>
                <w:sz w:val="16"/>
                <w:szCs w:val="16"/>
                <w:color w:val="0000FF"/>
                <w:w w:val="98"/>
              </w:rPr>
              <w:t>Properties</w:t>
            </w:r>
          </w:p>
        </w:tc>
        <w:tc>
          <w:tcPr>
            <w:tcW w:w="8960" w:type="dxa"/>
            <w:vAlign w:val="bottom"/>
            <w:tcBorders>
              <w:bottom w:val="single" w:sz="8" w:color="CFF0FC"/>
            </w:tcBorders>
            <w:gridSpan w:val="29"/>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60</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3.</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Legal Proceedings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60</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60</w:t>
            </w:r>
          </w:p>
        </w:tc>
      </w:tr>
      <w:tr>
        <w:trPr>
          <w:trHeight w:val="203"/>
        </w:trPr>
        <w:tc>
          <w:tcPr>
            <w:tcW w:w="980" w:type="dxa"/>
            <w:vAlign w:val="bottom"/>
            <w:tcBorders>
              <w:top w:val="single" w:sz="8" w:color="CFF0FC"/>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r>
      <w:tr>
        <w:trPr>
          <w:trHeight w:val="162"/>
        </w:trPr>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340" w:type="dxa"/>
            <w:vAlign w:val="bottom"/>
            <w:gridSpan w:val="12"/>
            <w:shd w:val="clear" w:color="auto" w:fill="CFF0FC"/>
          </w:tcPr>
          <w:p>
            <w:pPr>
              <w:jc w:val="center"/>
              <w:ind w:right="4780"/>
              <w:spacing w:after="0" w:line="162" w:lineRule="exact"/>
              <w:rPr>
                <w:sz w:val="20"/>
                <w:szCs w:val="20"/>
                <w:color w:val="auto"/>
              </w:rPr>
            </w:pPr>
            <w:r>
              <w:rPr>
                <w:rFonts w:ascii="Arial" w:cs="Arial" w:eastAsia="Arial" w:hAnsi="Arial"/>
                <w:sz w:val="16"/>
                <w:szCs w:val="16"/>
                <w:b w:val="1"/>
                <w:bCs w:val="1"/>
                <w:color w:val="0000FF"/>
                <w:w w:val="98"/>
              </w:rPr>
              <w:t>PART II</w:t>
            </w:r>
          </w:p>
        </w:tc>
        <w:tc>
          <w:tcPr>
            <w:tcW w:w="560" w:type="dxa"/>
            <w:vAlign w:val="bottom"/>
            <w:shd w:val="clear" w:color="auto" w:fill="CFF0FC"/>
          </w:tcPr>
          <w:p>
            <w:pPr>
              <w:spacing w:after="0"/>
              <w:rPr>
                <w:sz w:val="14"/>
                <w:szCs w:val="14"/>
                <w:color w:val="auto"/>
              </w:rPr>
            </w:pP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5.</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61</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800" w:type="dxa"/>
            <w:vAlign w:val="bottom"/>
            <w:tcBorders>
              <w:bottom w:val="single" w:sz="8" w:color="0000FF"/>
            </w:tcBorders>
            <w:gridSpan w:val="4"/>
            <w:shd w:val="clear" w:color="auto" w:fill="CFF0FC"/>
          </w:tcPr>
          <w:p>
            <w:pPr>
              <w:spacing w:after="0" w:line="162" w:lineRule="exact"/>
              <w:rPr>
                <w:sz w:val="20"/>
                <w:szCs w:val="20"/>
                <w:color w:val="auto"/>
              </w:rPr>
            </w:pPr>
            <w:r>
              <w:rPr>
                <w:rFonts w:ascii="Arial" w:cs="Arial" w:eastAsia="Arial" w:hAnsi="Arial"/>
                <w:sz w:val="16"/>
                <w:szCs w:val="16"/>
                <w:color w:val="0000FF"/>
              </w:rPr>
              <w:t>[Reserved]</w:t>
            </w:r>
          </w:p>
        </w:tc>
        <w:tc>
          <w:tcPr>
            <w:tcW w:w="8900" w:type="dxa"/>
            <w:vAlign w:val="bottom"/>
            <w:tcBorders>
              <w:bottom w:val="single" w:sz="8" w:color="CFF0FC"/>
            </w:tcBorders>
            <w:gridSpan w:val="27"/>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61</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7.</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62</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7A.</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8.</w:t>
            </w:r>
          </w:p>
        </w:tc>
        <w:tc>
          <w:tcPr>
            <w:tcW w:w="4240" w:type="dxa"/>
            <w:vAlign w:val="bottom"/>
            <w:tcBorders>
              <w:top w:val="single" w:sz="8" w:color="0000FF"/>
            </w:tcBorders>
            <w:gridSpan w:val="17"/>
          </w:tcPr>
          <w:p>
            <w:pPr>
              <w:spacing w:after="0" w:line="162" w:lineRule="exact"/>
              <w:rPr>
                <w:sz w:val="20"/>
                <w:szCs w:val="20"/>
                <w:color w:val="auto"/>
              </w:rPr>
            </w:pPr>
            <w:r>
              <w:rPr>
                <w:rFonts w:ascii="Arial" w:cs="Arial" w:eastAsia="Arial" w:hAnsi="Arial"/>
                <w:sz w:val="16"/>
                <w:szCs w:val="16"/>
                <w:color w:val="0000FF"/>
              </w:rPr>
              <w:t>Financial Statements and Supplementary Data</w:t>
            </w:r>
          </w:p>
        </w:tc>
        <w:tc>
          <w:tcPr>
            <w:tcW w:w="5460" w:type="dxa"/>
            <w:vAlign w:val="bottom"/>
            <w:tcBorders>
              <w:top w:val="single" w:sz="8" w:color="CFF0FC"/>
            </w:tcBorders>
            <w:gridSpan w:val="14"/>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FF"/>
            </w:tcBorders>
            <w:gridSpan w:val="28"/>
            <w:shd w:val="clear" w:color="auto" w:fill="CFF0FC"/>
          </w:tcPr>
          <w:p>
            <w:pPr>
              <w:spacing w:after="0" w:line="162" w:lineRule="exact"/>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3280" w:type="dxa"/>
            <w:vAlign w:val="bottom"/>
            <w:tcBorders>
              <w:bottom w:val="single" w:sz="8" w:color="CFF0FC"/>
            </w:tcBorders>
            <w:gridSpan w:val="3"/>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9A.</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Controls and Procedures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9B.</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Other Information</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21"/>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9C.</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Disclosure Regarding Foreign Jurisdictions that Prevent Inspections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162"/>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3"/>
          </w:tcPr>
          <w:p>
            <w:pPr>
              <w:jc w:val="center"/>
              <w:ind w:right="4760"/>
              <w:spacing w:after="0" w:line="162" w:lineRule="exact"/>
              <w:rPr>
                <w:sz w:val="20"/>
                <w:szCs w:val="20"/>
                <w:color w:val="auto"/>
              </w:rPr>
            </w:pPr>
            <w:r>
              <w:rPr>
                <w:rFonts w:ascii="Arial" w:cs="Arial" w:eastAsia="Arial" w:hAnsi="Arial"/>
                <w:sz w:val="16"/>
                <w:szCs w:val="16"/>
                <w:b w:val="1"/>
                <w:bCs w:val="1"/>
                <w:color w:val="0000FF"/>
                <w:w w:val="97"/>
              </w:rPr>
              <w:t>PART III</w:t>
            </w:r>
          </w:p>
        </w:tc>
        <w:tc>
          <w:tcPr>
            <w:tcW w:w="560" w:type="dxa"/>
            <w:vAlign w:val="bottom"/>
          </w:tcPr>
          <w:p>
            <w:pPr>
              <w:spacing w:after="0"/>
              <w:rPr>
                <w:sz w:val="14"/>
                <w:szCs w:val="14"/>
                <w:color w:val="auto"/>
              </w:rPr>
            </w:pPr>
          </w:p>
        </w:tc>
      </w:tr>
      <w:tr>
        <w:trPr>
          <w:trHeight w:val="21"/>
        </w:trPr>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10.</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Directors, Executive Officers and Corporate Governance</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97</w:t>
            </w: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16"/>
          </w:tcPr>
          <w:p>
            <w:pPr>
              <w:spacing w:after="0" w:line="162" w:lineRule="exact"/>
              <w:rPr>
                <w:sz w:val="20"/>
                <w:szCs w:val="20"/>
                <w:color w:val="auto"/>
              </w:rPr>
            </w:pPr>
            <w:r>
              <w:rPr>
                <w:rFonts w:ascii="Arial" w:cs="Arial" w:eastAsia="Arial" w:hAnsi="Arial"/>
                <w:sz w:val="16"/>
                <w:szCs w:val="16"/>
                <w:color w:val="0000FF"/>
              </w:rPr>
              <w:t>Executive Compensation</w:t>
            </w:r>
          </w:p>
        </w:tc>
        <w:tc>
          <w:tcPr>
            <w:tcW w:w="5660" w:type="dxa"/>
            <w:vAlign w:val="bottom"/>
            <w:tcBorders>
              <w:top w:val="single" w:sz="8" w:color="CFF0FC"/>
            </w:tcBorders>
            <w:gridSpan w:val="15"/>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99</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FF"/>
            </w:tcBorders>
            <w:gridSpan w:val="29"/>
            <w:shd w:val="clear" w:color="auto" w:fill="CFF0FC"/>
          </w:tcPr>
          <w:p>
            <w:pPr>
              <w:spacing w:after="0" w:line="162" w:lineRule="exact"/>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2480" w:type="dxa"/>
            <w:vAlign w:val="bottom"/>
            <w:tcBorders>
              <w:bottom w:val="single" w:sz="8" w:color="CFF0FC"/>
            </w:tcBorders>
            <w:gridSpan w:val="2"/>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99</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13.</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Certain Relationships and Related Transactions, and Director Independence</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99</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14.</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Principal Accountant Fees and Services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99</w:t>
            </w:r>
          </w:p>
        </w:tc>
      </w:tr>
      <w:tr>
        <w:trPr>
          <w:trHeight w:val="203"/>
        </w:trPr>
        <w:tc>
          <w:tcPr>
            <w:tcW w:w="980" w:type="dxa"/>
            <w:vAlign w:val="bottom"/>
            <w:tcBorders>
              <w:top w:val="single" w:sz="8" w:color="CFF0FC"/>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r>
      <w:tr>
        <w:trPr>
          <w:trHeight w:val="183"/>
        </w:trPr>
        <w:tc>
          <w:tcPr>
            <w:tcW w:w="9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0000FF"/>
            </w:tcBorders>
            <w:gridSpan w:val="7"/>
            <w:shd w:val="clear" w:color="auto" w:fill="CFF0FC"/>
          </w:tcPr>
          <w:p>
            <w:pPr>
              <w:jc w:val="center"/>
              <w:spacing w:after="0" w:line="162" w:lineRule="exact"/>
              <w:rPr>
                <w:sz w:val="20"/>
                <w:szCs w:val="20"/>
                <w:color w:val="auto"/>
              </w:rPr>
            </w:pPr>
            <w:r>
              <w:rPr>
                <w:rFonts w:ascii="Arial" w:cs="Arial" w:eastAsia="Arial" w:hAnsi="Arial"/>
                <w:sz w:val="16"/>
                <w:szCs w:val="16"/>
                <w:b w:val="1"/>
                <w:bCs w:val="1"/>
                <w:color w:val="0000FF"/>
                <w:w w:val="98"/>
              </w:rPr>
              <w:t>PART IV</w:t>
            </w:r>
          </w:p>
        </w:tc>
        <w:tc>
          <w:tcPr>
            <w:tcW w:w="4740" w:type="dxa"/>
            <w:vAlign w:val="bottom"/>
            <w:tcBorders>
              <w:bottom w:val="single" w:sz="8" w:color="CFF0FC"/>
            </w:tcBorders>
            <w:gridSpan w:val="6"/>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15.</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Exhibits, Financial Statement Schedules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16.</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Form 10-K Summary</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102</w:t>
            </w:r>
          </w:p>
        </w:tc>
      </w:tr>
      <w:tr>
        <w:trPr>
          <w:trHeight w:val="162"/>
        </w:trPr>
        <w:tc>
          <w:tcPr>
            <w:tcW w:w="980" w:type="dxa"/>
            <w:vAlign w:val="bottom"/>
            <w:tcBorders>
              <w:top w:val="single" w:sz="8" w:color="CFF0FC"/>
            </w:tcBorders>
          </w:tcPr>
          <w:p>
            <w:pPr>
              <w:spacing w:after="0"/>
              <w:rPr>
                <w:sz w:val="14"/>
                <w:szCs w:val="14"/>
                <w:color w:val="auto"/>
              </w:rPr>
            </w:pPr>
          </w:p>
        </w:tc>
        <w:tc>
          <w:tcPr>
            <w:tcW w:w="780" w:type="dxa"/>
            <w:vAlign w:val="bottom"/>
            <w:tcBorders>
              <w:top w:val="single" w:sz="8" w:color="0000FF"/>
              <w:bottom w:val="single" w:sz="8" w:color="0000FF"/>
            </w:tcBorders>
            <w:gridSpan w:val="3"/>
          </w:tcPr>
          <w:p>
            <w:pPr>
              <w:spacing w:after="0" w:line="162" w:lineRule="exact"/>
              <w:rPr>
                <w:sz w:val="20"/>
                <w:szCs w:val="20"/>
                <w:color w:val="auto"/>
              </w:rPr>
            </w:pPr>
            <w:r>
              <w:rPr>
                <w:rFonts w:ascii="Arial" w:cs="Arial" w:eastAsia="Arial" w:hAnsi="Arial"/>
                <w:sz w:val="16"/>
                <w:szCs w:val="16"/>
                <w:color w:val="0000FF"/>
                <w:w w:val="99"/>
              </w:rPr>
              <w:t>Signatures</w:t>
            </w:r>
          </w:p>
        </w:tc>
        <w:tc>
          <w:tcPr>
            <w:tcW w:w="720" w:type="dxa"/>
            <w:vAlign w:val="bottom"/>
            <w:tcBorders>
              <w:top w:val="single" w:sz="8" w:color="0000FF"/>
            </w:tcBorders>
            <w:gridSpan w:val="5"/>
          </w:tcPr>
          <w:p>
            <w:pPr>
              <w:spacing w:after="0"/>
              <w:rPr>
                <w:sz w:val="14"/>
                <w:szCs w:val="14"/>
                <w:color w:val="auto"/>
              </w:rPr>
            </w:pPr>
          </w:p>
        </w:tc>
        <w:tc>
          <w:tcPr>
            <w:tcW w:w="8200" w:type="dxa"/>
            <w:vAlign w:val="bottom"/>
            <w:tcBorders>
              <w:top w:val="single" w:sz="8" w:color="CFF0FC"/>
            </w:tcBorders>
            <w:gridSpan w:val="23"/>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103</w:t>
            </w:r>
          </w:p>
        </w:tc>
      </w:tr>
      <w:tr>
        <w:trPr>
          <w:trHeight w:val="663"/>
        </w:trPr>
        <w:tc>
          <w:tcPr>
            <w:tcW w:w="980" w:type="dxa"/>
            <w:vAlign w:val="bottom"/>
          </w:tcPr>
          <w:p>
            <w:pPr>
              <w:spacing w:after="0"/>
              <w:rPr>
                <w:sz w:val="24"/>
                <w:szCs w:val="24"/>
                <w:color w:val="auto"/>
              </w:rPr>
            </w:pPr>
          </w:p>
        </w:tc>
        <w:tc>
          <w:tcPr>
            <w:tcW w:w="4860" w:type="dxa"/>
            <w:vAlign w:val="bottom"/>
            <w:gridSpan w:val="21"/>
          </w:tcPr>
          <w:p>
            <w:pPr>
              <w:jc w:val="center"/>
              <w:ind w:left="4339"/>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2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97"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18" w:lineRule="exact"/>
        <w:rPr>
          <w:rFonts w:ascii="Arial" w:cs="Arial" w:eastAsia="Arial" w:hAnsi="Arial"/>
          <w:sz w:val="16"/>
          <w:szCs w:val="16"/>
          <w:color w:val="auto"/>
        </w:rPr>
      </w:pPr>
    </w:p>
    <w:p>
      <w:pPr>
        <w:ind w:left="1140" w:hanging="383"/>
        <w:spacing w:after="0" w:line="246"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reimbursement and reimbursement rulings;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our collaboration agreements and key opinion leaders may have on the broader use of our platform in the future;</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impact of a public health crisis on our business, our customers’ and suppliers’ businesses and the general economy;</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40" w:right="20" w:hanging="383"/>
        <w:spacing w:after="0" w:line="246"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completion of our move of our Clinical Laboratory Improvement Amendments of 1988-certified and College of American Pathologists-accredited laboratory to our Fremont facility and the timing thereof;</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 to discontinue our commercialization efforts and operations in China;</w:t>
      </w:r>
    </w:p>
    <w:p>
      <w:pPr>
        <w:spacing w:after="0" w:line="18" w:lineRule="exact"/>
        <w:rPr>
          <w:rFonts w:ascii="Arial" w:cs="Arial" w:eastAsia="Arial" w:hAnsi="Arial"/>
          <w:sz w:val="16"/>
          <w:szCs w:val="16"/>
          <w:color w:val="auto"/>
        </w:rPr>
      </w:pPr>
    </w:p>
    <w:p>
      <w:pPr>
        <w:ind w:left="1140" w:hanging="383"/>
        <w:spacing w:after="0" w:line="246"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when needed;</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business with the U.S. Department of Veterans Affairs’ Million Veteran Program and Natera, Inc.; and</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6"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the “company,” “Personalis,” “we,” “us” and “our” refer to Personalis,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strive to develop some of the most comprehensive and actionable cancer genomic tests in the world to help patients live better and longer lives. We believe we have one of the most discerning technologies to both characterize and monitor cancer – with the aim of driving a new paradigm for cancer management and guiding care from biopsy through the life of the patient. Our assays combine tumor-and-normal profiling with proprietary algorithms to deliver advanced insights even as cancer evolves over time. Our products are designed to detect recurrence at the earliest timepoints, enable selection of targeted therapies based on ultra-comprehensive genomic profiling, and enhance biomarker strategy for drug development.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Today, our platforms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are preparing for future expansion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part of one of our new strategies for 2023 and beyond, we are working with a growing number of leading cancer centers and world-class academic research institutions to build and publish the clinical evidence-base to support our products and our key indications. Specifically, because of the high sensitivity of our technology, we aim to focus on three indications in the next 2-3 years: immunotherapy (IO) monitoring, breast cancer, and lung cancer. We have announced collaborations with BC Cancer, Duke University, UCSF, Criterium, and Academic Breast Cancer Consortium that will focus on building the evidence-base for our technology and these indications. If the key opinion leaders ("KOLs") we are collaborating with have a positive experience using our platform, we are optimistic this will support broader use of our platform by other KOLS, as well as clinicians in the future.</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300,000 human samples, of which more than 160,000 were whole human genomes.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October 2022, we relocated our corporate headquarters from Menlo Park, California to a new facility in Fremont, California. We signed a 13.5-year lease that extends to 2036 for the 100,000 square foot facility, which is approximately triple the amount of space than our Menlo Park location. The new facility allows for expansion of our laboratory for testing to support pharmaceutical customers and clinical diagnostic testing. In addition, the new space is intended to support the expansion of research and development efforts to bring leading edge products and services to the marketplace. Our Menlo Park office currently continues to house our Clinical Laboratory Improvement Amendments of 1988 (“CLIA”)-certified and College of American Pathologists (“CAP”)-accredited laboratory and we expect to move our laboratory operations from Menlo Park to the new facility in 2023.</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were incorporated under the laws of the state of Delaware in February 2011 under the name Personalis, Inc. Our customers include pharmaceutical companies, biopharmaceutical companies, diagnostics companies, healthcare providers, universities, non-profits, and government entities.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estimated the potential future annual U.S. market opportunity for our current and planned products to be approximately $38 billion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61" w:lineRule="exact"/>
        <w:rPr>
          <w:sz w:val="20"/>
          <w:szCs w:val="20"/>
          <w:color w:val="auto"/>
        </w:rPr>
      </w:pPr>
    </w:p>
    <w:p>
      <w:pPr>
        <w:jc w:val="both"/>
        <w:ind w:left="1140" w:hanging="383"/>
        <w:spacing w:after="0" w:line="256"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Therapy Selection and Monitoring: </w:t>
      </w:r>
      <w:r>
        <w:rPr>
          <w:rFonts w:ascii="Arial" w:cs="Arial" w:eastAsia="Arial" w:hAnsi="Arial"/>
          <w:sz w:val="16"/>
          <w:szCs w:val="16"/>
          <w:color w:val="auto"/>
        </w:rPr>
        <w:t>According to the American Cancer Society’s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more than 16.9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cancer survivors were alive on January 1, 2019 in the United States. Based on data from </w:t>
      </w:r>
      <w:r>
        <w:rPr>
          <w:rFonts w:ascii="Arial" w:cs="Arial" w:eastAsia="Arial" w:hAnsi="Arial"/>
          <w:sz w:val="16"/>
          <w:szCs w:val="16"/>
          <w:i w:val="1"/>
          <w:iCs w:val="1"/>
          <w:color w:val="auto"/>
        </w:rPr>
        <w:t>Cancer Treatment and Survivorship Statistics, 2019</w:t>
      </w:r>
      <w:r>
        <w:rPr>
          <w:rFonts w:ascii="Arial" w:cs="Arial" w:eastAsia="Arial" w:hAnsi="Arial"/>
          <w:sz w:val="16"/>
          <w:szCs w:val="16"/>
          <w:color w:val="auto"/>
        </w:rPr>
        <w:t xml:space="preserve"> and </w:t>
      </w:r>
      <w:r>
        <w:rPr>
          <w:rFonts w:ascii="Arial" w:cs="Arial" w:eastAsia="Arial" w:hAnsi="Arial"/>
          <w:sz w:val="16"/>
          <w:szCs w:val="16"/>
          <w:i w:val="1"/>
          <w:iCs w:val="1"/>
          <w:color w:val="auto"/>
        </w:rPr>
        <w:t>Cancer Statistics, 2019,</w:t>
      </w:r>
      <w:r>
        <w:rPr>
          <w:rFonts w:ascii="Arial" w:cs="Arial" w:eastAsia="Arial" w:hAnsi="Arial"/>
          <w:sz w:val="16"/>
          <w:szCs w:val="16"/>
          <w:color w:val="auto"/>
        </w:rPr>
        <w:t xml:space="preserve"> we estimated that approximately 2.2 million of these cancer survivors were diagnosed within the last two years. Over time, the likelihood that the original cancer will reoccur can decline below the baseline likelihood of a new, genetically independent cancer emerging. Therefore, we limited our market size estimates to patients within the period of two years from their initial cancer diagnosis.</w:t>
      </w:r>
    </w:p>
    <w:p>
      <w:pPr>
        <w:spacing w:after="0" w:line="156" w:lineRule="exact"/>
        <w:rPr>
          <w:rFonts w:ascii="Arial" w:cs="Arial" w:eastAsia="Arial" w:hAnsi="Arial"/>
          <w:sz w:val="16"/>
          <w:szCs w:val="16"/>
          <w:color w:val="auto"/>
        </w:rPr>
      </w:pPr>
    </w:p>
    <w:p>
      <w:pPr>
        <w:jc w:val="both"/>
        <w:ind w:left="114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Of these 2.2 million patients, about 200,000 enroll in pharmaceutical clinical trials according to data from the </w:t>
      </w:r>
      <w:r>
        <w:rPr>
          <w:rFonts w:ascii="Arial" w:cs="Arial" w:eastAsia="Arial" w:hAnsi="Arial"/>
          <w:sz w:val="16"/>
          <w:szCs w:val="16"/>
          <w:i w:val="1"/>
          <w:iCs w:val="1"/>
          <w:color w:val="auto"/>
        </w:rPr>
        <w:t>U.S. National Library of</w:t>
      </w:r>
      <w:r>
        <w:rPr>
          <w:rFonts w:ascii="Arial" w:cs="Arial" w:eastAsia="Arial" w:hAnsi="Arial"/>
          <w:sz w:val="16"/>
          <w:szCs w:val="16"/>
          <w:color w:val="auto"/>
        </w:rPr>
        <w:t xml:space="preserve"> </w:t>
      </w:r>
      <w:r>
        <w:rPr>
          <w:rFonts w:ascii="Arial" w:cs="Arial" w:eastAsia="Arial" w:hAnsi="Arial"/>
          <w:sz w:val="16"/>
          <w:szCs w:val="16"/>
          <w:i w:val="1"/>
          <w:iCs w:val="1"/>
          <w:color w:val="auto"/>
        </w:rPr>
        <w:t>Medicine, ClincalTrials.gov, January 2019</w:t>
      </w:r>
      <w:r>
        <w:rPr>
          <w:rFonts w:ascii="Arial" w:cs="Arial" w:eastAsia="Arial" w:hAnsi="Arial"/>
          <w:sz w:val="16"/>
          <w:szCs w:val="16"/>
          <w:color w:val="auto"/>
        </w:rPr>
        <w:t>, with the assumption that the remaining cancer patients undergo standard clinical care.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that standard care, we assumed that these patients go through therapy selection and eventual monitoring. For therapy selection, we estimated that each of the approximately 2.0 million cancer patients undergoing standard clinical care will have a tissue biopsy sequenced and tested at a cost of approximately $3,000, which is the approved Centers for Medicare &amp; Medicaid Services ("CMS") reimbursement rate, which results in an estimated potential market opportunity of $6 billion per year.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left="1140"/>
        <w:spacing w:after="0" w:line="250" w:lineRule="auto"/>
        <w:rPr>
          <w:sz w:val="20"/>
          <w:szCs w:val="20"/>
          <w:color w:val="auto"/>
        </w:rPr>
      </w:pPr>
      <w:r>
        <w:rPr>
          <w:rFonts w:ascii="Arial" w:cs="Arial" w:eastAsia="Arial" w:hAnsi="Arial"/>
          <w:sz w:val="16"/>
          <w:szCs w:val="16"/>
          <w:color w:val="auto"/>
        </w:rPr>
        <w:t>Cancer mutations identified in this initial tissue-biopsy based test can then be used for subsequent monitoring using cell-free DNA ("cfDNA"). For monitoring, we estimated that each patient has a liquid biopsy sequenced and tested four times per year at an estimated cost of $2,840 per test, based on publicly-available data on comparable tests. Our NeXT Dx offering addresses the market for tissue biopsy testing while our NeXT Personal Dx offering is expected to address the liquid-biopsy based monitoring opportunity. Our estimates have led us to project approximately a $22.7 billion potential market opportunity per year for monitoring.</w:t>
      </w:r>
    </w:p>
    <w:p>
      <w:pPr>
        <w:spacing w:after="0" w:line="156" w:lineRule="exact"/>
        <w:rPr>
          <w:sz w:val="20"/>
          <w:szCs w:val="20"/>
          <w:color w:val="auto"/>
        </w:rPr>
      </w:pPr>
    </w:p>
    <w:p>
      <w:pPr>
        <w:jc w:val="both"/>
        <w:ind w:left="1140" w:hanging="383"/>
        <w:spacing w:after="0" w:line="254"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Clinical Trial Patients: </w:t>
      </w:r>
      <w:r>
        <w:rPr>
          <w:rFonts w:ascii="Arial" w:cs="Arial" w:eastAsia="Arial" w:hAnsi="Arial"/>
          <w:sz w:val="16"/>
          <w:szCs w:val="16"/>
          <w:color w:val="auto"/>
        </w:rPr>
        <w:t>For each of the 200,000 pharmaceutical clinical trial patients, we estimated that an initial tissue sample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sequenced at least once at a cost of $3,000, which is the approved CMS reimbursement rate, with liquid biopsy sample testing then occurring at least eight different time-points per year for monitoring, at an estimated cost of $4,000 per sequencing test, based on the frequency of monitoring in a recent immuno-oncology drug trial and our historical standard pricing for tissue samples and anticipated pricing for liquid biopsy samples. Based on this, we estimated the potential market opportunity to be approximately $7 billion per year for tissue- and liquid-based sequencing of these clinical trial patients.</w:t>
      </w:r>
    </w:p>
    <w:p>
      <w:pPr>
        <w:spacing w:after="0" w:line="141" w:lineRule="exact"/>
        <w:rPr>
          <w:rFonts w:ascii="Arial" w:cs="Arial" w:eastAsia="Arial" w:hAnsi="Arial"/>
          <w:sz w:val="16"/>
          <w:szCs w:val="16"/>
          <w:color w:val="auto"/>
        </w:rPr>
      </w:pPr>
    </w:p>
    <w:p>
      <w:pPr>
        <w:ind w:left="1140" w:hanging="383"/>
        <w:spacing w:after="0" w:line="286"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According to publicly-available industry information and presentations, we estimated the potential market for</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sequencing services is over $2 billion per year. Our WGS products address this potential market opportunity.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Services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most advanced cancer genomic tests are powered by our NeXT Platform. Our research-focused products, including exome sequencing, transcriptome sequencing, and targeted cancer panels, are powered by our ACE Platform, the predecessor to NeXT. In addition, we offer WGS for various research applications and population sequencing projects.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NeXT Platform</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NeXT is the first platform to enable the comprehensive analysis of both a tumor and its microenvironment from a single sample. Our NeXT Platform is a high-accuracy, next-generation sequencing and analysis platform. We have created an ecosystem of products and capabilities built on the NeXT Platform that synergize to drive value for our customers: ImmunoID NeXT (comprehensive tumor profiling from tissue), NeXT Liquid Biopsy (comprehensive tumor profiling from plasma), NeXT Dx (highly-personalized comprehensive genomic cancer profiling test to optimize therapy selection and match patients to clinical trials), and NeXT Personal (highly-sensitive, tumor-informed liquid biopsy offering for personalized tumor tracking and monitoring). Additionally, the platform offers neoantigen prediction capabilities with Systematic HLA Epitope Ranking Pan Algorithm ("SHERPA"), our pan-predictive machine learning model. Accurate neoantigen prediction with SHERPA is expected to enable the determination of candidate neoantigens for rapid development of personalized cancer therapies, as well as facilitation of the generation of neoantigen burden-based composite biomarkers such as our NEOantigen Presentation Score ("NEOPS") that can potentially better predict response to immunotherapies.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is designed to provide comprehensive analysis of both a tumor and its immune microenvironment from a single limited tissue or plasma sample. Our platform covers the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Given the practical challenges in obtaining high-quality tumor samples via biopsy, we have developed our platform to work with a limited tumor tissue sample. Biopharmaceutical companies, for example,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sequencing approach, validated with orthogonal technologies, allows us to run multiple analyses on a single sample. Our platform is composed of multiple proprietary technologies, many of which we have developed from the ground up. The breadth of the assays that we have integrated into our platform, our proprietary sample preparation process, and the comprehensiveness of our platform allow us to maximize the utility of often limited tumor tissue samples that our customers have from their clinical trials.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can analyze cfDNA obtained from blood plasma, also known as a liquid biopsy. As with a tissue biopsy, we analyze all of the approximately 20,000 human genes in each plasma sample, in contrast to currently marketed liquid biopsy panels, which only analyze roughly 50 to 500 genes. This cfDNA may be obtained by a blood draw concurrently with a tissue sample. Together, the two samples can be used to provide a more comprehensive initial characterization of the tumor. Additionally, our NeXT Personal offering can monitor changes in tumor genetics that arise in response to therapy through serial measurements using cfDNA samples collected across multiple time-points.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overview of key liquid biopsy capabilities follows.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Liquid biopsy approaches look at cfDNA in plasma samples derived from the blood. cfDNA is DNA that is released into circulation by cells, including tumor cells, most commonly as a result of cell death. This cfDNA can be obtained by a blood draw and can be used to monitor changes in tumor genetics. Circulating tumor DNA ("ctDNA") is a type of cfDNA that derives from tumor cells.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believe tumor biopsy and liquid biopsy approaches to tumor molecular profiling will provide complementary information for each patient. Tumor biopsies provide tumor immune microenvironment and tumor gene expression information that current liquid biopsy panels do not provide. Liquid biopsies can be useful for providing additional DNA mutation information, especially for monitoring therapy response across different time-points when tumor biopsies are not feasible.</w:t>
      </w:r>
    </w:p>
    <w:p>
      <w:pPr>
        <w:spacing w:after="0" w:line="20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NeXT Personal is an advanced, tumor-informed liquid biopsy assay developed to deliver industry-leading minimal residual disease ("MRD") sensitivity in the range of 1-3 parts per million, representing a 10- to 100-fold improvement over other, previously available methods. NeXT Personal is sample sparing, requiring only a single tube of blood, along with a tumor tissue sample. The use of ctDNA as a predictive biomarker for MRD following treatment for solid tumors is rapidly being integrated into clinical trial design, translational research studies, and is on the verge of use in routine clinical care. While other detection methods for ctDNA have rapidly advanced, the limited sensitivity of these detection methods reduce their utility for diagnosing MRD across a variety of clinical applications. Standard-of-care (“SOC”) radiological-based technologies, including CT, PET and MRI scans, also remain limited in their ability to detect residual disease during or after surgical or systemic therapy due to the minimum tumor volume required. Therefore, reliable, sensitive detection and quantification of MRD remains a key challenge, particularly in early-stage cancers, where timely detection of small micrometastatic lesions may enable treatment that prevents progression to advanced metastatic, incurable disease. We believe that NeXT Personal addresses these challenges. In the biopharma setting, MRD is rapidly emerging as a key biomarker in therapy development, whereby more sensitive detection and quantification of MRD may provide substantial benefits versus less sensitive methods through the reduction of false negative detection of cancer.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NeXT makes comprehensive tumor molecular profiling practical for cancer patients at scale</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deliver a comprehensive immune-genomic assessment of a tumor, we invested substantial resources to engineer NeXT to provide data and analysis that would otherwise be unavailable or require many individual technologies, which collectively present significant costs and logistical impracticalities. With NeXT, we built a proprietary platform that is comprehensive, cost-effective, and scalable and enables a short turnaround time, making it practical to profile cancer patients at scale. This has required innovation on a number of fronts.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Revenue from our NeXT Platform products has grown rapidly in recent years. Excluding population sequencing revenue, revenue from our NeXT Platform products accounted for only a minimal proportion of revenue prior to 2020 but for over two-thirds of revenue in the year ended December 31, 2021 and nearly four-fifths of revenue in the year ended December 31, 2022. Revenue in connection with our ACE Platform products (described below) account for the remainder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ACE Platform</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ACE Platform is the predecessor to our NeXT Platform. To address the limitations of typical NGS-based assay, we developed our patented Accuracy and Content Enhanced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 Our ACE Platform powers multiple products and services to our customers including: exome sequencing, transcriptome sequencing, and targeted cancer panels.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ACE technology provides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 Genome Sequencing</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 declining cost of NGS has resulted in the increased use of broad genomic characterization approaches, including WGS, for various research applications. This cost reduction has coincided with researchers’ need for more comprehensive molecular information in the disease areas of cardiology, endocrinology, rare disease, autoimmunity, and ever-increasingly, cancer. WGS is an attractive option for many researchers due to its ability to provide insights into non-coding variation as well as its unrivaled resolution of genome-wide structural variation, the impact of which is becoming more pronounced in many disease states, especially cancer. Personalis is one of the largest processors of human whole genome sequences in the world today.</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most significant customer of our WGS is the VA MVP. Since 2012, we have been contracted to provide DNA sequencing and data analysis services to the VA MVP. The VA MVP began collecting samples in 2011 and is a landmark research effort aimed at better understanding how genetic variations affect health. The VA MVP is one of the largest population sequencing efforts in the U.S. In September 2017, we entered into a one-year contract with three one-year renewal option periods with the VA for the VA MVP, and received orders under this contract in September 2017, 2018, 2019, 2020 and 2021. In September 2022, we entered into a new contract with the VA MVP for a base period of one year, with four one-year renewal option periods that may be exercised upon discretion of the VA MVP. We concurrently received an initial task order with a value of up to $10.0 million, subject to the receipt of samples from the VA MVP. The cumulative value of orders received from the VA MVP since inception is $195.7 million, of which we have recognized all but $9.1 million as revenue as of December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All of our population sequencing revenue to date has been derived from the VA MVP. The VA MVP has accounted for a significant amount of our revenue in recent years: 13% in 2022, 53% in 2021, and 71% in 2020. To date, we have delivered WGS data sets to the VA MVP for over 155,000 veterans. This relationship with the VA MVP has enabled us to scale our operational infrastructure and achieve greater efficiencies in our lab. It has also supported our development of industry-leading, large-scale cancer genomic testing. The substantial experience that we have developed in WGS also optimally positions us for what we anticipate to be the longer-term strategic direction of the cancer genomics industry, which may include WGS of tumors.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Personalis: The Genomics Engine for Next-Generation Cancer Therapies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Pharmaceutical customers use our comprehensive platform across a diverse set of therapeutic approaches to cancer. We generate and analyze data from patients who participated in clinical trials, which we believe will enable these customers to develop more effective therapies. The information we generate is important to our customers developing three major classes of next-generation therapeutics: immunotherapies, targeted therapies, and personalized cancer therapies.</w:t>
      </w:r>
    </w:p>
    <w:p>
      <w:pPr>
        <w:spacing w:after="0" w:line="142" w:lineRule="exact"/>
        <w:rPr>
          <w:sz w:val="20"/>
          <w:szCs w:val="20"/>
          <w:color w:val="auto"/>
        </w:rPr>
      </w:pPr>
    </w:p>
    <w:p>
      <w:pPr>
        <w:jc w:val="both"/>
        <w:ind w:left="1140" w:hanging="383"/>
        <w:spacing w:after="0" w:line="256"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Immunotherapies: </w:t>
      </w:r>
      <w:r>
        <w:rPr>
          <w:rFonts w:ascii="Arial" w:cs="Arial" w:eastAsia="Arial" w:hAnsi="Arial"/>
          <w:sz w:val="16"/>
          <w:szCs w:val="16"/>
          <w:color w:val="auto"/>
        </w:rPr>
        <w:t>Over the past decade, a number of drugs have emerged based on the discovery that the immune system plays a key</w:t>
      </w:r>
      <w:r>
        <w:rPr>
          <w:rFonts w:ascii="Arial" w:cs="Arial" w:eastAsia="Arial" w:hAnsi="Arial"/>
          <w:sz w:val="16"/>
          <w:szCs w:val="16"/>
          <w:b w:val="1"/>
          <w:bCs w:val="1"/>
          <w:color w:val="auto"/>
        </w:rPr>
        <w:t xml:space="preserve"> </w:t>
      </w:r>
      <w:r>
        <w:rPr>
          <w:rFonts w:ascii="Arial" w:cs="Arial" w:eastAsia="Arial" w:hAnsi="Arial"/>
          <w:sz w:val="16"/>
          <w:szCs w:val="16"/>
          <w:color w:val="auto"/>
        </w:rPr>
        <w:t>role in addressing cancer. Checkpoint inhibitors, a specific type of immunotherapy, have generated substantial commercial success over the past decade; however, the development of new therapies in this category has been challenged by difficulties in understanding the precise interaction between cancer and the immune system. Since our platform provides a broad set of insights on tumor and immune biology, we believe it enables pharmaceutical companies to better understand how therapeutics are working in patients.</w:t>
      </w:r>
    </w:p>
    <w:p>
      <w:pPr>
        <w:spacing w:after="0" w:line="152"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Targeted Therapies: </w:t>
      </w:r>
      <w:r>
        <w:rPr>
          <w:rFonts w:ascii="Arial" w:cs="Arial" w:eastAsia="Arial" w:hAnsi="Arial"/>
          <w:sz w:val="16"/>
          <w:szCs w:val="16"/>
          <w:color w:val="auto"/>
        </w:rPr>
        <w:t>A growing category of successful cancer treatments consists of therapies that target specific genes or molecular</w:t>
      </w:r>
      <w:r>
        <w:rPr>
          <w:rFonts w:ascii="Arial" w:cs="Arial" w:eastAsia="Arial" w:hAnsi="Arial"/>
          <w:sz w:val="16"/>
          <w:szCs w:val="16"/>
          <w:b w:val="1"/>
          <w:bCs w:val="1"/>
          <w:color w:val="auto"/>
        </w:rPr>
        <w:t xml:space="preserve"> </w:t>
      </w:r>
      <w:r>
        <w:rPr>
          <w:rFonts w:ascii="Arial" w:cs="Arial" w:eastAsia="Arial" w:hAnsi="Arial"/>
          <w:sz w:val="16"/>
          <w:szCs w:val="16"/>
          <w:color w:val="auto"/>
        </w:rPr>
        <w:t>mechanisms of cancer.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how a patient may respond to such therapies. We believe that our coverage of all of the approximately 20,000 genes provides us a strong competitive advantage against existing cancer panels that cover roughly only 50 to 500 genes. We believe our company is positioned to become a leading provider of the complex information that we believe will continue to inform the development of targeted cancer therapies.</w:t>
      </w:r>
    </w:p>
    <w:p>
      <w:pPr>
        <w:spacing w:after="0" w:line="140"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Personalized Cancer Therapies: </w:t>
      </w:r>
      <w:r>
        <w:rPr>
          <w:rFonts w:ascii="Arial" w:cs="Arial" w:eastAsia="Arial" w:hAnsi="Arial"/>
          <w:sz w:val="16"/>
          <w:szCs w:val="16"/>
          <w:color w:val="auto"/>
        </w:rPr>
        <w:t>Some pharmaceutical companies are pursuing personalized cancer therapies, which are designed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manufactured individually for each patient based on genomic alterations in a given patient’s tumor. While there are many potential approaches to developing these therapies, including neoantigen-based vaccines and T-cell therapies, all of them could benefit from the data and analytics that our platform can generate about a patient’s tumor. Our customers have leveraged our FDA Device Master Files as a component of their investigational new drug application (“IND”) submissions with the FDA. If drugs that were developed using our platform in clinical trials to form the basis for approval are approved, we may be able to derive additional revenue in connection with the subsequent design of these drugs for cancer patients.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Genes that are involved in the mechanism of action of any of these drugs may develop mutations reducing or eliminating the effectiveness of those drugs. These are called therapy resistance mutations. In many cases, they only become evident after extended treatment of the patient with the drug. When these are detected, it can be an important signal that the patient may benefit from a change to another drug. Thus, it is important not only to test for mutations when a patient is first diagnosed, but periodically to check for the emergence of these potential resistance mutations. Unlike other tumor-informed liquid biopsy tests for MRD, our NeXT Personal liquid biopsy test was designed to also look for the emergence of these potential resistance mutations, which may ultimately help guide decisions about effective therapies for patients.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anticipate that as the clinical utility of our platform is validated, we will have opportunities in connection with diagnostics and the commercialization of cancer therapeutics, which are significantly larger markets than our clinical-trial focused markets. Over time, we expect our pharmaceutical customers and research collaborators to build evidence of the clinical utility of our platform as a diagnostic for advanced cancer therapies.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mission is to transform the active management of cancer through personalized testing. Our strategy to achieve this mission is to:</w:t>
      </w:r>
    </w:p>
    <w:p>
      <w:pPr>
        <w:spacing w:after="0" w:line="73" w:lineRule="exact"/>
        <w:rPr>
          <w:sz w:val="20"/>
          <w:szCs w:val="20"/>
          <w:color w:val="auto"/>
        </w:rPr>
      </w:pPr>
    </w:p>
    <w:p>
      <w:pPr>
        <w:ind w:left="1140" w:hanging="383"/>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Become a leader in MRD detection for active cancer management with our industry-leading MRD test, NeXT Personal.</w:t>
      </w:r>
    </w:p>
    <w:p>
      <w:pPr>
        <w:spacing w:after="0" w:line="59" w:lineRule="exact"/>
        <w:rPr>
          <w:rFonts w:ascii="Arial" w:cs="Arial" w:eastAsia="Arial" w:hAnsi="Arial"/>
          <w:sz w:val="16"/>
          <w:szCs w:val="16"/>
          <w:color w:val="auto"/>
        </w:rPr>
      </w:pPr>
    </w:p>
    <w:p>
      <w:pPr>
        <w:ind w:left="1140" w:hanging="383"/>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Expand strategic partnerships, in which our products power commercial offerings from other companies.</w:t>
      </w:r>
    </w:p>
    <w:p>
      <w:pPr>
        <w:spacing w:after="0" w:line="59" w:lineRule="exact"/>
        <w:rPr>
          <w:rFonts w:ascii="Arial" w:cs="Arial" w:eastAsia="Arial" w:hAnsi="Arial"/>
          <w:sz w:val="16"/>
          <w:szCs w:val="16"/>
          <w:color w:val="auto"/>
        </w:rPr>
      </w:pPr>
    </w:p>
    <w:p>
      <w:pPr>
        <w:ind w:left="1140" w:hanging="383"/>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Become the solution-of-choice for biopharmaceutical companies developing oncology therapies.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Proprietary Software and Robust Operational Infrastructure</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processes, ensures consistency across all components used for the duration of each clinical trial, is traceable for compliance purposes, and allows us to scale while maintaining rapid turnaround times.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(“LIMS”)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3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300,000 human samples, of which more than 160,000 were whole human genomes.</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rely on a limited number of suppliers for sequencers and other equipment and raw materials that we use in our laboratory operations. For example, we rely on Illumina, Inc. (“Illumina”) as the sole supplier of sequencers and various associated reagents, and as the sole provider of maintenance and repair services for these sequencers. We have certain agreements and purchase arrangements in place with Illumina to satisfy the projected needs of our laboratory operations.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our platform is well positioned to scale rapidly and substantially as the field of personalized cancer therapies matures. We believe our platform could be essential to the design of personalized cancer therapies developed using our platform. Furthermore, we expect that patients would be tested at multiple time-points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was developed using our NeXT Platform achieves regulatory approval, we believe that our commercial opportunity may increase substantially.</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leverage our proprietary software, laboratory automation and protocols, and other operational and technological know-how to power our NeXT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Platform.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Over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(Battelle Technology Partnership Practice, </w:t>
      </w:r>
      <w:r>
        <w:rPr>
          <w:rFonts w:ascii="Arial" w:cs="Arial" w:eastAsia="Arial" w:hAnsi="Arial"/>
          <w:sz w:val="16"/>
          <w:szCs w:val="16"/>
          <w:i w:val="1"/>
          <w:iCs w:val="1"/>
          <w:color w:val="auto"/>
        </w:rPr>
        <w:t>Biopharmaceutical Industry-Sponsored Clinical Trials: Impact on State Economies</w:t>
      </w:r>
      <w:r>
        <w:rPr>
          <w:rFonts w:ascii="Arial" w:cs="Arial" w:eastAsia="Arial" w:hAnsi="Arial"/>
          <w:sz w:val="16"/>
          <w:szCs w:val="16"/>
          <w:color w:val="auto"/>
        </w:rPr>
        <w:t>, March 2015). While tumor molecular profiling technologies have enhanced research and development efforts, most current tumor biopsy and liquid biopsy tests analyze a relatively narrow set of roughly only 50 to 500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platforms help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 analytics. The NeXT Platform represents the next step of our ACE Platform, allowing customers to move up the value chain by gaining more information from a single sample. We believe that our platforms have the potential to enable a research, development, and treatment paradigm that is dynamic and adaptive to the evolving genomic and immune system landscape of patients’ tumors over time. We believe our technology will drive this evolving paradigm, which we believe will ultimately enable our customers to develop safer and more efficacious therapeutics (see Figure 1). As the clinical utility of our platforms increases, we expect to grow our diagnostic capabilities, including the ability to guide therapy based on a patient’s changing tumor and immune system, and supporting the commercialization of therapeutics developed by our biopharmaceutical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Figure 1. Personalis NeXT Platform addresses the increasingly complex understanding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209550</wp:posOffset>
            </wp:positionV>
            <wp:extent cx="4663440" cy="3008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Despite the large sums invested in research and despite new treatments, cancer remains a major challenge for modern medicine and a source of high unmet medical need. According to the American Cancer Society’s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as of January 1, 2019, there were more than 16.9 million people in the United States who were suffering from cancer or who had previously suffered from cancer. Cancer prevalence is increasing globally as well. The World Health Organization (“WHO”) predicted in its September 2018 estimates on the global prevalence of cancer that there would be 18.1 million new cancer cases and nearly 10 million cancer deaths globally in 2018. According to the WHO, the total economic impact of healthcare expenditure and loss of productivity resulting from cancer worldwide was approximately $1.2 trillion in 2010.</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Improving Cancer Treatment is Increasingly About Leveraging Molecular Data</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Despite the rapid evolution of cancer therapies, the current research and development paradigm in oncology is beset by significant inefficiencies and costs. Cancer therapeutics have one of the lowest clinical trial success rates of all major diseases. According to a study of 7,455 drug development programs during 2006 to 2015, the overall likelihood of FDA approval from Phase I clinical trial for oncology developmental candidates was 5.1% (BIO Industry Analysis, </w:t>
      </w:r>
      <w:r>
        <w:rPr>
          <w:rFonts w:ascii="Arial" w:cs="Arial" w:eastAsia="Arial" w:hAnsi="Arial"/>
          <w:sz w:val="16"/>
          <w:szCs w:val="16"/>
          <w:i w:val="1"/>
          <w:iCs w:val="1"/>
          <w:color w:val="auto"/>
        </w:rPr>
        <w:t>Clinical Development Success Rates 2006-2015</w:t>
      </w:r>
      <w:r>
        <w:rPr>
          <w:rFonts w:ascii="Arial" w:cs="Arial" w:eastAsia="Arial" w:hAnsi="Arial"/>
          <w:sz w:val="16"/>
          <w:szCs w:val="16"/>
          <w:color w:val="auto"/>
        </w:rPr>
        <w:t>, June 2016). The majority of currently available cancer therapeutics have serious limitations, including efficacy only in certain subsets of patients, limited long-term survival rates, and significant toxicities. The mechanisms underlying the success or failure of clinical trials are often poorly understood. To develop more efficacious cancer treatments, the biopharmaceutical community is faced with multiple key questions for a given therapeutic approach:</w:t>
      </w:r>
    </w:p>
    <w:p>
      <w:pPr>
        <w:spacing w:after="0" w:line="181"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Why do some patients respond to treatment and others do not?</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What are the underlying mechanisms of treatment resistance?</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Are there additional therapeutic targets or alternative pathways that can improve outcomes?</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What therapeutic combinations can improve outcomes?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Are there ways to increase patient response through personalized therapeutics?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Are there ways to reduce toxicity?</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There is a growing recognition that there is a tremendous amount of untapped molecular data that can be derived from analyzing tumors from large numbers of cancer patients, whether in cancer clinical trials or post-commercialization, that can help answer some of these seminal questions and accelerate therapeutic development. According to BIO Industry Analysis, </w:t>
      </w:r>
      <w:r>
        <w:rPr>
          <w:rFonts w:ascii="Arial" w:cs="Arial" w:eastAsia="Arial" w:hAnsi="Arial"/>
          <w:sz w:val="16"/>
          <w:szCs w:val="16"/>
          <w:i w:val="1"/>
          <w:iCs w:val="1"/>
          <w:color w:val="auto"/>
        </w:rPr>
        <w:t>Clinical Development Success Rates 2006-2015</w:t>
      </w:r>
      <w:r>
        <w:rPr>
          <w:rFonts w:ascii="Arial" w:cs="Arial" w:eastAsia="Arial" w:hAnsi="Arial"/>
          <w:sz w:val="16"/>
          <w:szCs w:val="16"/>
          <w:color w:val="auto"/>
        </w:rPr>
        <w:t>, June 2016, there is a threefold increase in probability of FDA approval from Phase I clinical trial for therapies with biomarkers across all diseases and therapeutic types, which provides an indication of the benefits of leveraging molecular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Solutions Have Not Kept Pace with New Cancer Therapies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Biopharmaceutical companies are increasingly turning to tumor molecular profiling across large cohorts of patients to generate the data needed to answer these questions. Unfortunately, many current tumor molecular profiling methods have not kept pace with new therapy development and overlook crucial elements of our evolving understanding of cancer biology.</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Falls Short for New Cancer Immunotherapies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Currently, the most widely-used tumor molecular profiling panels were designed with a focus on targeted therapies, which, along with chemotherapy, have been used for cancer treatment for the past several decades. Targeted therapies treat cancers based on the specific genomic alterations driving their growth. Some targeted therapies have been developed to target specific molecules that are overexpressed or mutated in cancer cells. Because targeted therapies focus on cancer driver genes, the vast majority of tumor molecular profiling performed today, whether tissue or liquid biopsy based, typically sequences the DNA of between 50 to 500 genes, just a small fraction of the approximately 20,000 human genes.</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Recently, however, transformational new approaches to cancer therapy that have been developed to harness the patient’s own immune system have changed the treatment paradigm and our understanding of cancer biology. These new immunotherapies have dramatically improved the treatment of certain tumors that have previously been difficult to treat. Among these new immunotherapies, checkpoint inhibitors of the CTLA-4 and PD-1/PD-L1 genes are particularly effective. These therapies help “take the brakes off” the immune system and elicit a stronger immune response against the tumor. Patients can also be treated by adoptive cell therapy, in which the patient’s immune system is supplemented with cytotoxic cells that have been programmed to attack cells expressing specific antigens on their tumors. There are also new opportunities for personalized cancer therapies where a new therapeutic vaccine or cell therapy is developed for each patient. Despite early success, the majority of patients today still do not respond to immunotherapy, underscoring the importance of gathering data that can help biopharmaceutical companies understand factors governing response and resistance to therapy.</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With these new immunotherapies and our rapidly evolving understanding of cancer biology, we believe the data needed to inform therapeutic development goes far beyond the typical 50 to 500 genes on the current most widely used tumor molecular profiling panels. The paradigm has shifted from the need to understand mechanisms behind a single gene target to a dynamic, systems biology view involving complex interactions between thousands of genes in the tumor and the immune system in the pathogenesis of cancer and cancer drug response.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Information about all of the approximately 20,000 human genes allows deeper insight into the biology of cancer, identifying novel or patient-specific therapeutic targets, including neoantigens, and predictive biomarkers of response to therapy. Understanding the immune cell signatures in the tumor microenvironment and immune repertoire changes is critical for understanding drug response. In addition to DNA, comprehensive RNA expression information from the tumor is needed to analyze complex pathways that may be activated in the tumor. It is important to identify the increasingly complex mechanisms of tumor response and resistance to cancer therapy, such as neoantigen burden, tumor antigens, deficient antigen presentation, oncogenic pathways, immune evasion pathways, HLA mutations, T-cell clonality, immune infiltration, and others. Table 1 describes some of the biological gaps in current panels. Most of these elements go beyond the capabilities of today’s tumor molecular profiling panels.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Table 1. Most current tumor tissue and liquid biopsy profiling panels miss critical tumor and immune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132080</wp:posOffset>
            </wp:positionV>
            <wp:extent cx="3865880" cy="3686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588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Fragmented Tumor Molecular Profiling Approaches Result in a Fragmented View of Biology and Limited Insights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With the lack of a comprehensive profiling solution, biopharmaceutical companies often turn to fragmented, piecemeal approaches to tumor molecular profiling as a stopgap measure. Those fragmented tumor molecular profiling approaches lead to major problems for therapeutic development. Limitations in available tumor samples, including liquid biopsies, force scientists to pick and choose which profiling platforms to include and which to omit, resulting in a fragmented picture of the biology. Fragmented profiling solutions also result in inconsistent profiling from patient to patient, and clinical trial to clinical trial. This results in data heterogeneity that makes it difficult to mine for new biological insights across cohorts of patients in trials. Finally, these piecemeal approaches to tumor molecular profiling result in solutions that often are difficult to use at scale in a clinical or therapeutic setting where logistical simplicity, cost, turnaround time, and validation are important.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Panels Can Become Antiquated with Evolving Science</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With the explosion of immunotherapy and advances in our understanding of cancer, new insights into the underlying mechanisms of response and resistance have emerged. New putative genetic or immune biomarkers of response are regularly identified for different therapies in the context of different cancers. For instance, new biomarkers have been identified including tumor mutational burden, neoantigens, HLA type, B2M mutations, TGFß, JAK1/JAK2 mutations, expression signatures, cytotoxicity signatures, and T-cell clonality, among others. A recent Nature Medicine review identified 18 different categories of biomarkers correlating with immunotherapy response spanning tumor, immune cells, and the tumor microenvironment. The limited coverage of the current most widely-used cancer panels may miss these new biomarkers. We believe this problem will continue as research uncovers new insights into cancer.</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Sequencing Quality and Coverage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Next generation sequencing (“NGS”) is the technological basis for many tumor molecular profiling platforms today. NGS rapidly sequences nucleic acids and then uses a computationally intensive process to reconstruct gene sequences from millions of short sequence segments. These segments are processed in parallel, an approach that greatly increases the speed that the sequence data can be generated. However, because the segments come from random locations in the genome, reassembling the original sequence is both a technically and computationally challenging process. A key objective is to ensure that every portion of the genes being sequenced is covered by at least one sequence segment. The average number of sequence segments representing a gene is referred to as the sequence depth. The deeper the coverage, the greater fraction of the gene is likely to be covered and the higher confidence that low-frequency variants can be found.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However, even when sequenced to high depth, typical NGS approaches can leave uneven, poor coverage in genes with mutations linked to cancer and cancer therapy. Many of these regions cannot be fully covered by simply sequencing to higher depth because their sequencing coverage deficits are due to inherent limitations of the NGS platform. Regions of high guanine-cytosine (“GC”) content or repetitive sequence regions are two such examples of regions that are difficult to cover with standard NGS assays. This can leave gaps in coverage of therapeutically important genes. This is particularly problematic in cancer, where there can be significant heterogeneity in the tumor samples that can make it even harder to see mutations in regions of poor coverage.</w:t>
      </w:r>
    </w:p>
    <w:p>
      <w:pPr>
        <w:spacing w:after="0" w:line="38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address the limitations of typical NGS-based assay, we have developed our patented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uses our ACE technology to provide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Commercialization Strategy</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commercialize our products primarily in the United States and Europe through a targeted sales organization. In June 2020, we entered into a partnership with a clinical genomics and life sciences company headquartered in China as a means to expand business operations into China in the near term. Our first wholly-owned subsidiary was formed in Shanghai in October 2020. However, we recently decided to not pursue commercialization of our products in China and to close our operations in China as expeditiously as possible in 2023.</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2022, we derived 91% of our revenue from customers in the U.S. Our sales representatives have extensive experience in enterprise/consultative selling in the genomics space. We augment this team with Ph.D.-level Field Application Specialists that provide deep understanding and expertise in the areas of oncology and genomics applications, ensuring top-quality pre- and post-sales customer support. Our commercial efforts are focused on demonstrating the value proposition of the NeXT Platform to biopharmaceutical customers with the goal of both increasing utilization of the product at existing accounts and to drive adoption in new targeted accounts. Our entire commercial organization promotes our ability to support biopharmaceutical customers across several application areas including biomarker discovery, new target discovery, therapy development, and treatment monitoring.</w:t>
      </w:r>
    </w:p>
    <w:p>
      <w:pPr>
        <w:spacing w:after="0" w:line="3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anticipate that patients in clinical trials for cancer therapies will increasingly be tested pre-treatment and periodically afterwards to understand response to treatment in deep molecular detail, as their tumors evolve under therapeutic pressure. Although the majority of our revenue comes from single time-point testing, we believe our revenue from multiple time-point testing will continue to grow. We also derive revenue from analysis of multiple customer samples from the same patient and time point to assess genetic differences between the primary tumor and metastases. Given the value of comprehensive genomic information from multiple time points or samples, we anticipate that our revenue, and the available market, will continue to grow.</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developed a highly sensitive MRD test (Next Personal) and are focused on launching it to doctors for patient use in 2023 while developing clinical evidence to justify its use. Our focus is on breast and lung cancer and immuno-therapy monitoring as we believe the performance of our MRD test will be particularly valuable in those clinical indications. Additionally, we believe that there is an opportunity to partner with other diagnostic companies to provide our Next Personal testing service for additional clinical indications through their sales and marketing channels and are pursuing those relationships.</w:t>
      </w:r>
    </w:p>
    <w:p>
      <w:pPr>
        <w:spacing w:after="0" w:line="36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we build the evidence around our Next Personal products, we are simultaneously focused on developing the use of our Next Dx product and winning early reimbursement. The focus on commercial efforts in 2023 on Next Dx by our sales, medical affairs, billing and reimbursement teams could accelerate uptake and revenue growth from our clinical laboratory business.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cancer genomic services are sold primarily to pharmaceutical companies, biopharmaceutical companies, diagnostic testing companies, biotechnology companies, healthcare providers, universities, non-profits, and government entities, while services for population sequencing initiatives are sold primarily to the VA MVP, which is a government entity. Our customers include a majority of the top ten oncology-focused pharmaceutical companies, as measured by annual revenue.</w:t>
      </w:r>
    </w:p>
    <w:p>
      <w:pPr>
        <w:spacing w:after="0" w:line="17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2022, we had three customers account for 10% or more of our revenue: Natera, Inc. (“Natera”) at 41%, VA MVP at 13% and Merck &amp; Co., Inc. at 11%. In 2021, we had two customers account for 10% or more of our revenue: VA MVP at 53% and Natera at 10%. In 2020, VA MVP accounted for 71% of our revenue and no other customer accounted for 10% or more.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companies offer services that implement various technological approaches including next-generation sequencing and microarray analyses. Some of our present or potential competitors include Adaptive Biotechnologies Corporation, Adela, Inc., ArcherDx, Inc., which was acquired by Invitae Corporation in October 2020, BillionToOne, Inc., BostonGene Corporation, C2i Genomics, Inc., Caris Life Sciences, Inc., Covance Inc., which was acquired by Laboratory Corporation of America Holdings in February 2015, Foresight Diagnostics Inc. (“Foresight”),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Natera, NeoGenomics, Inc., Personal Genome Diagnostics, Inc., Predicine, Inc., Roche Molecular Systems, Inc., Strata Oncology, Inc., and Tempus, Inc.</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several companies develop next-generation sequencing platforms that can be used for genomic profiling for biopharmaceutical research and development applications. These include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that we compete favorably because of the high sensitivity and comprehensiveness of the data generated by our NeXT Platform.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patent strategy is focused on seeking coverage for our core technology, our NeXT Platform, including applications and implementations for enhancing sequencing coverage of certain genomic regions, identifying neoantigens, analyzing cell-free nucleic acids, and creating personalized cancer recurrence detection assays. In addition, we file for patent protection on our ongoing research and development efforts, particularly related to other novel assay technologies which may be applicable to the diagnosis and treatment of cancer and other diseases.</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Notwithstanding these efforts, we cannot be sure that patents will be granted with respect to any patent applications we have filed or may license or file in the future, and we cannot be sure that any patents we have or may be licensed or granted to us in the future, will not be challenged, invalidated, or circumvented, or that such patents will be commercially useful in protecting our technology. Moreover, we rely, in part, on trade secrets to protect aspects of our business that are not amenable to, or that we do not consider appropriate for, patent protection. However, trade secrets can be difficult to protect. While we take steps to protect and preserve our trade secrets, including by entering into confidentiality agreements with our employees, consultants, scientific advisors, and contractors, conducting an annual training for our employees to increase awareness of cybersecurity threats, and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Factors—Intellectual Property Risks.”</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portfolio is comprised of patents and patent applications owned by the company. These patents and patent applications generally fall into five broad categories:</w:t>
      </w:r>
    </w:p>
    <w:p>
      <w:pPr>
        <w:spacing w:after="0" w:line="155" w:lineRule="exact"/>
        <w:rPr>
          <w:sz w:val="20"/>
          <w:szCs w:val="20"/>
          <w:color w:val="auto"/>
        </w:rPr>
      </w:pPr>
    </w:p>
    <w:p>
      <w:pPr>
        <w:jc w:val="both"/>
        <w:ind w:left="1140" w:hanging="383"/>
        <w:spacing w:after="0" w:line="253"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ACE assay and NeXT Platform technology, including claims directed to methods for enriching nucleic acids from a sample based on differences in various genomic features, such as GC-content, molecular size, presence of genetic variations or rearrangements, identification of biomedically interpretable variants, epigenetic modifications, and/or species-origin (e.g., human and non-human);</w:t>
      </w:r>
    </w:p>
    <w:p>
      <w:pPr>
        <w:spacing w:after="0" w:line="17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hybrid exome-genome technologies, including claims directed to methods for combining exome and/or whole genome sequencing data generated from a sample, along with the identification of other variants to identify or detect disease;</w:t>
      </w:r>
    </w:p>
    <w:p>
      <w:pPr>
        <w:spacing w:after="0" w:line="154"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liquid biopsy methods, including claims directed to methods of analyzing sequenced nucleic acids obtained from a patient sample in comparison with nucleic acids representing the reference genome, obtained from a blood sample, to identify disease, or recommend a drug treatment;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left="1140" w:hanging="383"/>
        <w:spacing w:after="0" w:line="253"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clinical interpretation and neoantigen identification and prediction methods, including claims directed to methods of ranking genes associated with a phenotype and inheritance pattern or identifying neoantigens expressed in a disease sample that may be used for targeted treatments; and</w:t>
      </w:r>
    </w:p>
    <w:p>
      <w:pPr>
        <w:spacing w:after="0" w:line="174"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personalized genetic testing assays, including claims directed to methods for using sequencing data to create a personalized genetic test to monitor cancer progression, identify neoantigen candidates for personalized cancer vaccine treatment, or detect the recurrence of disease at the earliest possible timepoint.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December 31, 2022, we own 18 issued U.S. patents and 7 issued foreign patents. Issued U.S. patents in our portfolio of company-owned patents are expected to expire between 2033 and 2038, excluding any additional term for patent term adjustments or patent term extensions. If patents are issued on our pending patent applications, the resulting patents are projected to expire on dates ranging from 2033 to 2042.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 Additionally, the coverage and reimbursement status of newly-approved or cleared laboratory tests, including our NeXT Dx offering, is uncertain. If we decide to seek reimbursement for our NeXT Dx offering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Laboratory Licensing Requirements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Under the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Because we are a CAP accredited laboratory, the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including Maryland, Pennsylvania, Rhode Island, and New York. Other states may currently have or adopt similar licensure requirements in the future, which may require us to modify, delay, or stop its operations in those states.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Regulatory framework for medical devices in the United States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its authority under the Federal Food, Drug and Cosmetic Act (“FDC Act”), the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premarket approval application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(“PMA”). Both the 510(k) clearance and PMA processes can be resource intensive, expensive, and lengthy, and require payment of significant user fees.</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market our diagnostic test based on the NeXT Platform as an LDT. As a result, we believe our diagnostic services are not currently subject to the FDA’s enforcement of its medical device regulations and the applicable FDC Act provisions. Despite the FDA’s historic enforcement discretion policy with respect to LDTs, if the FDA determines that our tests are subject to enforcement as medical devices, we could be subject to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which may be as companion diagnostic medical devices.</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35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80" w:lineRule="exact"/>
        <w:rPr>
          <w:sz w:val="20"/>
          <w:szCs w:val="20"/>
          <w:color w:val="auto"/>
        </w:rPr>
      </w:pPr>
    </w:p>
    <w:p>
      <w:pPr>
        <w:jc w:val="both"/>
        <w:ind w:firstLine="812"/>
        <w:spacing w:after="0" w:line="25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284" w:lineRule="exact"/>
        <w:rPr>
          <w:sz w:val="20"/>
          <w:szCs w:val="20"/>
          <w:color w:val="auto"/>
        </w:rPr>
      </w:pPr>
    </w:p>
    <w:p>
      <w:pPr>
        <w:ind w:left="1140" w:hanging="383"/>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02" w:lineRule="exact"/>
        <w:rPr>
          <w:sz w:val="20"/>
          <w:szCs w:val="20"/>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Fraud and Abuse Laws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Stark Law and similar state laws, including California’s Physician Ownership and Referral Act,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payers, including private insurers.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Eliminating Kickbacks in Recovery Act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Eliminating Kickbacks in Recovery Act of 2018 (“EKRA”)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Federal and State Healthcare Laws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to the requirements discussed above, several other healthcare laws could have an effect on our business. For example, the Health Insurance Portability and Accountability Act of 1996 (“HIPAA”) fraud and abuse provisions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 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federal Physician Payments Sunshine Act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“Anti-Markup Rule” and similar state laws prohibit, among other things,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“14-Day Rule,” also known as the Medicare Date of Service Rule,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State client billing laws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7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we may be subject to 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HIPAA and HITECH</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Under the administrative simplification provisions of HIPAA, as amended by the Health Information Technology for Economic and Clinical Health Act (“HITECH”), the U.S. Department of Health and Human Services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HIPAA and HITECH include privacy and security rules, breach notification requirements, and electronic transaction standards.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U.S. Healthcare Reform</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payers and government payers,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have been executive, judicial and Congressional challenges to certain aspects of the ACA. Since January 2017, former President Trump signed two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any such challenges and the health reform measures of the Biden administration will impact the ACA.</w:t>
      </w:r>
    </w:p>
    <w:p>
      <w:pPr>
        <w:spacing w:after="0" w:line="37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until 2031, unless additional Congressional action is taken. Under current legislation, the actual reduction in Medicare payments will vary from 1% in 2022 to up to 4%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(“APMs”), and the Merit-based Incentive Payment System (“MIPS”). In November 2019, CMS issued a final rule finalizing the changes to the Quality Payment Program. At this time, it is unclear how the introduction of the Quality Payment Program will continue to impact physician reimbursement under the Medicare program. Any reduction in reimbursement from Medicare or other government programs may result in a similar reduction in payments from private payors.</w:t>
      </w:r>
    </w:p>
    <w:p>
      <w:pPr>
        <w:spacing w:after="0" w:line="17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CLFS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 MVP Agreements</w:t>
      </w:r>
    </w:p>
    <w:p>
      <w:pPr>
        <w:spacing w:after="0" w:line="201"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In September 2017, we entered into a contract with the VA for the VA MVP to provide them with a combination of WGS services (the "2017 VA MVP Agreement"). The 2017 VA MVP Agreement was a one-year contract with three one-year renewal option periods, all of which were exercised by the VA MVP. In September 2022, we entered into a new contract with the VA MVP (the "2022 VA MVP Agreement" and together with the 2017 VA MVP Agreement, the "VA MVP Agreements") for a base period of one year, with four one-year renewal option periods that may be exercised upon discretion of the VA MVP. Each task order issued against one of the VA MVP Agreements has a separate period of performance and is subject to the terms and conditions of the applicable VA MVP Agreement. Funds are obligated by the VA MVP under each task order based on actual needs. Concurrent with the execution of the 2022 VA MVP Agreement, we received an initial task order with a value of up to $10.0 million, subject to the receipt of samples from the VA MVP. The cumulative value of orders received pursuant to VA MVP Agreements since the beginning of our relationship with the VA is $195.7 million, of which we have recognized all but $9.1 million as revenue as of December 31, 2022.</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All materials and samples utilized during the course of the VA MVP Agreements and all data first produced or delivered under the VA MVP Agreements are the sole property of the VA MVP. Under the VA MVP Agreements, we are subject to confidentiality and security obligations, as well as various obligations upon events of default.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VA MVP may terminate the VA MVP Agreements, or any part thereof, at its sole convenience. Subject to the terms of the VA MVP Agreements, we shall be paid a percentage of the contract price reflecting the percentage of the work performed prior to the notice of termination, plus reasonable charges that we can demonstrate have resulted from the termination.</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terminate the VA MVP Agreements, or any part thereof, for cause in the event of any default by us, or if we fail to comply with any contract terms and conditions, or fail to provide the VA MVP, upon request, with adequate assurances of future performance. In the event of termination for cause, the VA MVP shall not be liable to us for any amount for supplies or services not accepted, and we shall be liable to the VA MVP for any and all rights and remedies provided by law. If it is determined that the VA MVP improperly terminated this contract for default, such termination shall be deemed a termination for convenience.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Illumina Agreements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connection with the 2017 VA MVP Agreement, we entered into two agreements with Illumina. One agreement was a master services subcontract agreement entered into in November 2017 for Illumina to perform certain genotyping services on our behalf (the 2022 VA MVP Agreement does not require genotyping services) and the other agreement was a pricing agreement entered into in March 2019 that provided pricing terms for NovaSeq™ reagent kits. Each of these agreements expired with the expiration of the term of the 2017 VA MVP Agreement.</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December 2022, we received a quotation from Illumina against which we can issue purchase orders for promotional pricing for NovaSeq™ 6000 S4 Reagent Kits (each, a “Kit”) to be used exclusively in connection with the 2022 VA MVP Agreement. The promotional pricing is contingent on us remaining in good standing with the VA to perform high-throughput sequencing of veterans' samples for the VA MVP project, issuing a related purchase order prior to the quotation expiration date, and only using such purchased Kits for purposes of performing services as part of the VA MVP project. We issued a purchase order against the quotation in December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 within Our Company</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recognize that our employees are both our most valuable asset and our most important investment. The success of our organization is reliant upon each individual’s significant contribution to our corporate culture and goals. Following is a list of our core company values:</w:t>
      </w:r>
    </w:p>
    <w:p>
      <w:pPr>
        <w:spacing w:after="0" w:line="155"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Integrity</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Trust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Respect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Teamwork and collaboration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02" w:lineRule="exact"/>
        <w:rPr>
          <w:sz w:val="20"/>
          <w:szCs w:val="20"/>
          <w:color w:val="auto"/>
        </w:rPr>
      </w:pPr>
    </w:p>
    <w:p>
      <w:pPr>
        <w:ind w:left="1140" w:hanging="383"/>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Commitment to scientific excellence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Dedication to discovery and innovation</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Passion</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At a foundational level, employees receive training related to workplace safety and emergency preparedness, awareness and expectations of inclusion and diversity, required data protection, and other regulatory matters. We offer competitive total rewards programs, ongoing training and development, and a commitment to the safety and health of our employees. We also practice a commitment to diversity by including broader outreach and sourcing for candidates for new roles as well as education and a visible commitment to diversity and inclusion internally. For example, we established a Diversity Committee in 2020 with its mission to promote a sense of belonging for all our employees.</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 engaged workforce with skills specific to our needs is critical for our successful growth in a competitive market and sector. We regularly benchmark our compensation and benefits by geography, industry (life sciences), and by role to ensure we maintain our status as an employer of choice in these areas. Our turnover rates over the last three years have been consistent with such benchmarks. Reports of our position relative to the benchmarks are reported to management and the compensation committee of our board of directors on a periodic basis.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December 31, 2022, we had 399 employees, of which 395 were full-time employees. Of these full-time employees, 166 were in research and development, 94 in laboratory operations, 71 in commercial operations and 64 in general and administrative functions. 377 of our full-time employees were located in the United States, 6 were located in Europe and 12 were located in China. As of December 31, 2022, more than 45% of our employees had completed a Ph.D. or other advanced science or medical degree.</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and we have not experienced any work stoppages. We consider our relations with our employees to be good. The use of independent contractors is not a material part of our workforce strategy.</w:t>
      </w:r>
    </w:p>
    <w:p>
      <w:pPr>
        <w:spacing w:after="0" w:line="16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 January 2023, our Board of Directors approved a reduction in our workforce by up to approximately 30% to reduce operating costs and improve operating efficiency. The reduction in workforce is expected to be completed by March 2023.</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we are in compliance with the regulations established by the state of California Division of Occupational Safety and Health Requirements and California Environmental Protection Agency applicable to our operations in Menlo Park and Fremont, California. This includes, but is not limited to, having an Injury and Illness Prevention Program, a Hazard Communication Program, an Emergency Action Plan, a Chemical Hygiene Plan and an Exposure Control Plan, which are captured in written standard operating procedures (“SOPs”). We provide training to our employees on these SOPs. We are committed to evaluate our compliance to such regulations on a recurring basis.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We also use the investor relations page on our website as a channel of distribution for important company information, including press releases, analyst coverage and financial information regarding us, as well as corporate governance information. Information on our website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8"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33" w:lineRule="exact"/>
        <w:rPr>
          <w:sz w:val="20"/>
          <w:szCs w:val="20"/>
          <w:color w:val="auto"/>
        </w:rPr>
      </w:pPr>
    </w:p>
    <w:p>
      <w:pPr>
        <w:ind w:left="760" w:right="2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87" w:lineRule="exact"/>
        <w:rPr>
          <w:rFonts w:ascii="Arial" w:cs="Arial" w:eastAsia="Arial" w:hAnsi="Arial"/>
          <w:sz w:val="16"/>
          <w:szCs w:val="16"/>
          <w:color w:val="auto"/>
        </w:rPr>
      </w:pPr>
    </w:p>
    <w:p>
      <w:pPr>
        <w:jc w:val="both"/>
        <w:ind w:left="760" w:hanging="378"/>
        <w:spacing w:after="0" w:line="25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93" w:lineRule="exact"/>
        <w:rPr>
          <w:rFonts w:ascii="Arial" w:cs="Arial" w:eastAsia="Arial" w:hAnsi="Arial"/>
          <w:sz w:val="16"/>
          <w:szCs w:val="16"/>
          <w:color w:val="auto"/>
        </w:rPr>
      </w:pPr>
    </w:p>
    <w:p>
      <w:pPr>
        <w:jc w:val="both"/>
        <w:ind w:left="760" w:hanging="378"/>
        <w:spacing w:after="0" w:line="25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93"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87" w:lineRule="exact"/>
        <w:rPr>
          <w:rFonts w:ascii="Arial" w:cs="Arial" w:eastAsia="Arial" w:hAnsi="Arial"/>
          <w:sz w:val="16"/>
          <w:szCs w:val="16"/>
          <w:color w:val="auto"/>
        </w:rPr>
      </w:pPr>
    </w:p>
    <w:p>
      <w:pPr>
        <w:jc w:val="both"/>
        <w:ind w:left="760" w:hanging="378"/>
        <w:spacing w:after="0" w:line="25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93"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6"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33" w:lineRule="exact"/>
        <w:rPr>
          <w:sz w:val="20"/>
          <w:szCs w:val="20"/>
          <w:color w:val="auto"/>
        </w:rPr>
      </w:pPr>
    </w:p>
    <w:p>
      <w:pPr>
        <w:ind w:left="760" w:hanging="378"/>
        <w:spacing w:after="0" w:line="260"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87"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87" w:lineRule="exact"/>
        <w:rPr>
          <w:rFonts w:ascii="Arial" w:cs="Arial" w:eastAsia="Arial" w:hAnsi="Arial"/>
          <w:sz w:val="16"/>
          <w:szCs w:val="16"/>
          <w:color w:val="auto"/>
        </w:rPr>
      </w:pPr>
    </w:p>
    <w:p>
      <w:pPr>
        <w:jc w:val="both"/>
        <w:ind w:left="760" w:hanging="378"/>
        <w:spacing w:after="0" w:line="251"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94" w:lineRule="exact"/>
        <w:rPr>
          <w:rFonts w:ascii="Arial" w:cs="Arial" w:eastAsia="Arial" w:hAnsi="Arial"/>
          <w:sz w:val="16"/>
          <w:szCs w:val="16"/>
          <w:color w:val="auto"/>
        </w:rPr>
      </w:pPr>
    </w:p>
    <w:p>
      <w:pPr>
        <w:jc w:val="both"/>
        <w:ind w:left="760" w:hanging="378"/>
        <w:spacing w:after="0" w:line="257"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80"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87"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further regulatory divergence and require us to incur additional expenses in order to develop, manufacture, and commercialize our products and services.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33" w:lineRule="exact"/>
        <w:rPr>
          <w:sz w:val="20"/>
          <w:szCs w:val="20"/>
          <w:color w:val="auto"/>
        </w:rPr>
      </w:pPr>
    </w:p>
    <w:p>
      <w:pPr>
        <w:ind w:left="760" w:hanging="378"/>
        <w:spacing w:after="0" w:line="260"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6" w:lineRule="exact"/>
        <w:rPr>
          <w:rFonts w:ascii="Arial" w:cs="Arial" w:eastAsia="Arial" w:hAnsi="Arial"/>
          <w:sz w:val="16"/>
          <w:szCs w:val="16"/>
          <w:color w:val="auto"/>
        </w:rPr>
      </w:pPr>
    </w:p>
    <w:p>
      <w:pPr>
        <w:jc w:val="both"/>
        <w:ind w:left="760" w:hanging="378"/>
        <w:spacing w:after="0" w:line="253"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93"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6"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87"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33" w:lineRule="exact"/>
        <w:rPr>
          <w:sz w:val="20"/>
          <w:szCs w:val="20"/>
          <w:color w:val="auto"/>
        </w:rPr>
      </w:pPr>
    </w:p>
    <w:p>
      <w:pPr>
        <w:ind w:left="760" w:hanging="378"/>
        <w:spacing w:after="0" w:line="26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87"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26"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126" w:lineRule="exact"/>
        <w:rPr>
          <w:rFonts w:ascii="Arial" w:cs="Arial" w:eastAsia="Arial" w:hAnsi="Arial"/>
          <w:sz w:val="16"/>
          <w:szCs w:val="16"/>
          <w:color w:val="auto"/>
        </w:rPr>
      </w:pPr>
    </w:p>
    <w:p>
      <w:pPr>
        <w:jc w:val="both"/>
        <w:ind w:left="760" w:hanging="378"/>
        <w:spacing w:after="0" w:line="251"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9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2022, 2021, and 2020 we had net losses of $113.3 million, $65.2 million, and $41.3 million, respectively. As of December 31, 2022, we had an accumulated deficit of $360.4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60"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time-points;</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9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BillionToOne, Inc., BostonGene Corporation, C2i Genomics, Inc., Caris Life Sciences, Inc., Covance Inc., which was acquired by Laboratory Corporation of America Holdings in February 2015, Foresight Diagnostics Inc. (“Foresight”),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Natera, NeoGenomics, Inc., Personal Genome Diagnostics, Inc., Predicine, Inc., Roche Molecular Systems, Inc., Strata Oncology,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2022, revenue under our agreement accounted for 41%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For example, in August 2021, Illumina announced it completed its acquisition of GRAIL, a company focused on early cancer detection and potentially other forms of cancer analysis using next-generation sequencing technology, which we view as a potential competitor. Illumina is also one of our significant suppliers. See “—We rely on a limited number of suppliers, or in some cases, a sole supplier, for some of our laboratory instruments and materials, and we may not be able to find replacements or immediately transition to alternative suppliers should we need to do so.”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6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never developed an FDA-approved companion diagnostic, and may be unable to successfully compete against companies with more experience developing and commercializing companion diagnostics.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5"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13%, 53% and 71% of our revenue for the years ended December 31, 2022, 2021 and 2020, respectively. Revenue from Natera accounted for 41% and 10% of our revenue for the years ended December 31, 2022 and 2021, respectively. Our top five customers, including the VA MVP and Natera, accounted for 76%, 84% and 87% of our revenue for the years ended December 31, 2022, 2021 and 2020,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including Natera,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2022, revenue under our agreement accounted for 41%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353"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That contract did not include a renewal option. 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subject to the receipt of samples from the VA MVP.</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and 2022 had values of $9.7 million and $10.0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COVID-19 or another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3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such as COVID-19.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resurgence of COVID-19 or another health epidemic or pandemic may negatively impact the value of any potential new VA MVP contract or order.</w:t>
      </w:r>
    </w:p>
    <w:p>
      <w:pPr>
        <w:spacing w:after="0" w:line="15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newly-approved or cleared laboratory tests, including our NeXT Dx offering, is uncertain. We are seeking reimbursement for our NeXT Dx offering and other in vitro diagnostic tests we may develop, and if such tests are inadequately covered by insurance or ineligible for such reimbursement, this could limit our ability to derive revenue from any such future tests. The commercial success of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In August 2021, Illumina completed its acquisition of GRAIL, a company focused on early cancer detection and potentially other forms of cancer analysis using next-generation sequencing technology. Any disruption in Illumina’s operations, or our inability to negotiate pricing with Illumina on acceptable terms, or at all, or any competitive pressure resulting from Illumina’s acquisition of GRAIL, could negatively impact our supply chain and laboratory operations and our ability to conduct our business and generate revenue. Additionally, COVID-19 previously disrupted Illumina’s ability to fulfill our purchase orders for reagents or other materials in a timely manner and a resurgence of COVID-19 or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order to execute our business model, we need to invest in scaling our infrastructure, including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facilities are our facilities in Menlo Park, California, and Fremont, California and the facilities that we plan to discontinue in Shanghai, China. Our facilities and equipment could be harmed or rendered inoperable by natural or man-made disasters, including fires, earthquakes, flooding, and power outages, which may render it difficult or impossible for us to sell or perform our services for some period of time. See “—Our planned opening of our new laboratory facilities in Fremont, California has diverted and could continue to divert management’s attention and has disrupted and could continue to disrupt our ongoing business.” Northern California has recently experienced serious fires and storms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access to our laboratory facilities was limited during the COVID-19 pandemic, which resulted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In some cases, these samples are difficult to obtain. If the parts of our laboratory facilities where we store these biological samples were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damaged or compromised, our ability to pursue our research and development projects or provide our services, as well as our reputation, could be jeopardized.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7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4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7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Effective December 31, 2022, John West retired from his role as our Chief Executive Officer and Aaron Tachibana, our Chief Financial Officer, was appointed to serve as our interim Chief Executive Officer and Christopher Hall, our SVP and Head, Diagnostics Business, was appointed to serve as our President. As with any change in leadership,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6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0"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Our planned opening of our new laboratory facilities in Fremont, California has diverted and could continue to divert management’s attention and has disrupted and could continue to disrupt our ongoing business.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have relocated our corporate headquarters to Fremont, California. We also plan to move our laboratory operations to our Fremont facility in 2023. These efforts have involved, and will continue to involve,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delayed our previously planned move-in date. In addition, since January 20, 2023, we have experienced substantial disruption to our use of the Fremont facility due to a failure of a bus duct serving the facility. Since that time, we have been using, and we may need to continue using, backup generators to power our laboratories and emergency lights at the facility, and we have been, and may continue to be, unable to use the office and manufacturing portions of the facility, or use the facility’s heating, ventilation and air conditioning system. We have incurred, and may continue to incur, costs in maintaining temporary power to the facility and in attempting to permanently remedy the problem, including obtaining additional backup generators, equipment, and back up batteries, and purchasing fuel for the generators on a daily basis. While the bus duct and related electrical main equipment are the landlord’s responsibility under our lease for the facility, and we expect the landlord to reimburse our costs incurred in connection with remedying the electrical failure, there is no guarantee we will be successful in obtaining such reimbursement within a reasonable timeframe or at all. Although we are still able to conduct most or all of our laboratory operations from our facility in Menlo Park, California, if we are unable to restore permanent power to our Fremont facility within a reasonable time, it could further delay the completion of our move to the Fremont facility,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new facility in Fremont, California), laboratory operations, quality control, customer service, marketing and sales, and management. We may not be able to maintain the quality of or expected turnaround times for our tests, or satisfy customer demand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55"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BC Cancer, Duke University, UCSF, and Criterium (d/b/a Academic Breast Cancer Consortium)) or may enter into may not be successful. The success of our collaboration arrangements will depend heavily on the efforts and activities of our collaborators. Collaborations are subject to numerous risks, which include that:</w:t>
      </w:r>
    </w:p>
    <w:p>
      <w:pPr>
        <w:spacing w:after="0" w:line="94" w:lineRule="exact"/>
        <w:rPr>
          <w:sz w:val="20"/>
          <w:szCs w:val="20"/>
          <w:color w:val="auto"/>
        </w:rPr>
      </w:pPr>
    </w:p>
    <w:p>
      <w:pPr>
        <w:jc w:val="both"/>
        <w:ind w:left="1140" w:right="20" w:hanging="383"/>
        <w:spacing w:after="0" w:line="253"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93"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6" w:lineRule="exact"/>
        <w:rPr>
          <w:rFonts w:ascii="Arial" w:cs="Arial" w:eastAsia="Arial" w:hAnsi="Arial"/>
          <w:sz w:val="16"/>
          <w:szCs w:val="16"/>
          <w:color w:val="auto"/>
        </w:rPr>
      </w:pPr>
    </w:p>
    <w:p>
      <w:pPr>
        <w:jc w:val="both"/>
        <w:ind w:left="1140" w:hanging="383"/>
        <w:spacing w:after="0" w:line="251"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9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02" w:lineRule="exact"/>
        <w:rPr>
          <w:sz w:val="20"/>
          <w:szCs w:val="20"/>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87"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3"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87" w:lineRule="exact"/>
        <w:rPr>
          <w:rFonts w:ascii="Arial" w:cs="Arial" w:eastAsia="Arial" w:hAnsi="Arial"/>
          <w:sz w:val="16"/>
          <w:szCs w:val="16"/>
          <w:color w:val="auto"/>
        </w:rPr>
      </w:pPr>
    </w:p>
    <w:p>
      <w:pPr>
        <w:ind w:left="1140" w:right="2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COVID-19 or another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a resurgence of COVID-19 or the emergence of another health epidemic or pandemic.</w:t>
      </w:r>
    </w:p>
    <w:p>
      <w:pPr>
        <w:spacing w:after="0" w:line="17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Act (the “VALID Act”) would clarify and enhance FDA’s authority to regulate LDTs, including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pre-market review of non-exempted tests.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7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48"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94"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service or product marketing;</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withdrawal or recall of services or products from the market;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02" w:lineRule="exact"/>
        <w:rPr>
          <w:sz w:val="20"/>
          <w:szCs w:val="20"/>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6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Because we are a CAP-accredited laboratory, the CMS does not perform this survey and inspection and relies on our CAP survey and inspection. We also may be subject to additional unannounced inspections. To operate our laboratory in the new Fremont facility, we will need to transfer our existing certification.</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will need to transfer our existing state licenses to continue our current laboratory operation in the new Fremont facility.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in Ukraine,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spacing w:after="0" w:line="1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natural disasters, terrorism, and other similar threats. In particular, severe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spacing w:after="0" w:line="16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6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may require us to notify relevant stakeholders and other individuals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HIPAA, as amended by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our compliance costs and potential liability with respect to other personal information we maintain about California residents. In addition, the California Privacy Rights Act of 2020 expands the CCPA’s requirements, including by adding a new right for individuals to correct their personal information and establishing a new regulatory agency to implement and enforce the law. Other states, such as Virginia, Colorado, Connecticut and Utah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Outside the U.S., an increasing number of laws, regulations, and industry standards may govern data privacy and security. For example, the General Data Protection Regulation 2016/679 (“EU GDPR”), the United Kingdom’s GDPR (“UK GDPR”), Brazil’s General Data Protection Law (Lei Geral de Proteção de Dados Pessoais) (Law No. 13,709/2018), and China’s Personal Information Protection Law (“PIPL”) impose strict requirements for processing personal information. Under the EU GDPR, companies may face temporary or definitive bans on data processing and other corrective actions; fines of up to 20 million Euros or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applies to our operations. We also receive personal information from customers in Asia and may be subject to new and emerging data privacy and security regimes in Asia, including Japan’s Act on the Protection of Personal Information.</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 and UK’s standard contractual clauses, these mechanisms are subject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3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57"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p>
    <w:p>
      <w:pPr>
        <w:spacing w:after="0" w:line="14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5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13" w:lineRule="exact"/>
        <w:rPr>
          <w:sz w:val="20"/>
          <w:szCs w:val="20"/>
          <w:color w:val="auto"/>
        </w:rPr>
      </w:pPr>
    </w:p>
    <w:p>
      <w:pPr>
        <w:jc w:val="both"/>
        <w:ind w:left="1140" w:hanging="383"/>
        <w:spacing w:after="0" w:line="249"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96" w:lineRule="exact"/>
        <w:rPr>
          <w:rFonts w:ascii="Arial" w:cs="Arial" w:eastAsia="Arial" w:hAnsi="Arial"/>
          <w:sz w:val="16"/>
          <w:szCs w:val="16"/>
          <w:color w:val="auto"/>
        </w:rPr>
      </w:pPr>
    </w:p>
    <w:p>
      <w:pPr>
        <w:jc w:val="both"/>
        <w:ind w:left="1140" w:hanging="383"/>
        <w:spacing w:after="0" w:line="250"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94" w:lineRule="exact"/>
        <w:rPr>
          <w:rFonts w:ascii="Arial" w:cs="Arial" w:eastAsia="Arial" w:hAnsi="Arial"/>
          <w:sz w:val="16"/>
          <w:szCs w:val="16"/>
          <w:color w:val="auto"/>
        </w:rPr>
      </w:pPr>
    </w:p>
    <w:p>
      <w:pPr>
        <w:jc w:val="both"/>
        <w:ind w:left="1140" w:hanging="383"/>
        <w:spacing w:after="0" w:line="250"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94" w:lineRule="exact"/>
        <w:rPr>
          <w:rFonts w:ascii="Arial" w:cs="Arial" w:eastAsia="Arial" w:hAnsi="Arial"/>
          <w:sz w:val="16"/>
          <w:szCs w:val="16"/>
          <w:color w:val="auto"/>
        </w:rPr>
      </w:pPr>
    </w:p>
    <w:p>
      <w:pPr>
        <w:jc w:val="both"/>
        <w:ind w:left="1140" w:hanging="383"/>
        <w:spacing w:after="0" w:line="251"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94" w:lineRule="exact"/>
        <w:rPr>
          <w:rFonts w:ascii="Arial" w:cs="Arial" w:eastAsia="Arial" w:hAnsi="Arial"/>
          <w:sz w:val="16"/>
          <w:szCs w:val="16"/>
          <w:color w:val="auto"/>
        </w:rPr>
      </w:pPr>
    </w:p>
    <w:p>
      <w:pPr>
        <w:jc w:val="both"/>
        <w:ind w:left="1140" w:hanging="383"/>
        <w:spacing w:after="0" w:line="247"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292" w:lineRule="exact"/>
        <w:rPr>
          <w:rFonts w:ascii="Arial" w:cs="Arial" w:eastAsia="Arial" w:hAnsi="Arial"/>
          <w:sz w:val="16"/>
          <w:szCs w:val="16"/>
          <w:color w:val="auto"/>
        </w:rPr>
      </w:pPr>
    </w:p>
    <w:p>
      <w:pPr>
        <w:jc w:val="both"/>
        <w:ind w:left="1140" w:hanging="383"/>
        <w:spacing w:after="0" w:line="249"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287"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3"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the Centers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02" w:lineRule="exact"/>
        <w:rPr>
          <w:sz w:val="20"/>
          <w:szCs w:val="20"/>
          <w:color w:val="auto"/>
        </w:rPr>
      </w:pPr>
    </w:p>
    <w:p>
      <w:pPr>
        <w:jc w:val="both"/>
        <w:ind w:left="1140"/>
        <w:spacing w:after="0" w:line="253" w:lineRule="auto"/>
        <w:rPr>
          <w:sz w:val="20"/>
          <w:szCs w:val="20"/>
          <w:color w:val="auto"/>
        </w:rPr>
      </w:pPr>
      <w:r>
        <w:rPr>
          <w:rFonts w:ascii="Arial" w:cs="Arial" w:eastAsia="Arial" w:hAnsi="Arial"/>
          <w:sz w:val="16"/>
          <w:szCs w:val="16"/>
          <w:color w:val="auto"/>
        </w:rPr>
        <w:t>for Medicare &amp; Medicaid Services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93" w:lineRule="exact"/>
        <w:rPr>
          <w:sz w:val="20"/>
          <w:szCs w:val="20"/>
          <w:color w:val="auto"/>
        </w:rPr>
      </w:pPr>
    </w:p>
    <w:p>
      <w:pPr>
        <w:jc w:val="both"/>
        <w:ind w:left="1140" w:hanging="383"/>
        <w:spacing w:after="0" w:line="250"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94" w:lineRule="exact"/>
        <w:rPr>
          <w:rFonts w:ascii="Arial" w:cs="Arial" w:eastAsia="Arial" w:hAnsi="Arial"/>
          <w:sz w:val="16"/>
          <w:szCs w:val="16"/>
          <w:color w:val="auto"/>
        </w:rPr>
      </w:pPr>
    </w:p>
    <w:p>
      <w:pPr>
        <w:jc w:val="both"/>
        <w:ind w:left="1140" w:hanging="383"/>
        <w:spacing w:after="0" w:line="248"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00" w:lineRule="exact"/>
        <w:rPr>
          <w:rFonts w:ascii="Arial" w:cs="Arial" w:eastAsia="Arial" w:hAnsi="Arial"/>
          <w:sz w:val="16"/>
          <w:szCs w:val="16"/>
          <w:color w:val="auto"/>
        </w:rPr>
      </w:pPr>
    </w:p>
    <w:p>
      <w:pPr>
        <w:jc w:val="both"/>
        <w:ind w:left="1140" w:hanging="383"/>
        <w:spacing w:after="0" w:line="248"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96"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93" w:lineRule="exact"/>
        <w:rPr>
          <w:rFonts w:ascii="Arial" w:cs="Arial" w:eastAsia="Arial" w:hAnsi="Arial"/>
          <w:sz w:val="16"/>
          <w:szCs w:val="16"/>
          <w:color w:val="auto"/>
        </w:rPr>
      </w:pPr>
    </w:p>
    <w:p>
      <w:pPr>
        <w:ind w:left="1140" w:right="20" w:hanging="383"/>
        <w:spacing w:after="0" w:line="260"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87" w:lineRule="exact"/>
        <w:rPr>
          <w:rFonts w:ascii="Arial" w:cs="Arial" w:eastAsia="Arial" w:hAnsi="Arial"/>
          <w:sz w:val="16"/>
          <w:szCs w:val="16"/>
          <w:color w:val="auto"/>
        </w:rPr>
      </w:pPr>
    </w:p>
    <w:p>
      <w:pPr>
        <w:jc w:val="both"/>
        <w:ind w:left="1140" w:hanging="383"/>
        <w:spacing w:after="0" w:line="250"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286"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13" w:lineRule="exact"/>
        <w:rPr>
          <w:sz w:val="20"/>
          <w:szCs w:val="20"/>
          <w:color w:val="auto"/>
        </w:rPr>
      </w:pPr>
    </w:p>
    <w:p>
      <w:pPr>
        <w:jc w:val="both"/>
        <w:ind w:left="1140" w:hanging="383"/>
        <w:spacing w:after="0" w:line="253"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93"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2031 unless additional Congressional action is taken. Under current legislation, the actual reduction in Medicate payments will vary from 1% in 2022 to up to 4%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In November 2019, CMS issued a final rule finalizing the changes to the Quality Payment Program. At this time, it is unclear how the introduction of the Quality Payment Program will continue to impact physician reimbursement under the Medicare program. Any reduction in reimbursement from Medicare or other government programs may result in a similar reduction in payments from private payors.</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5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the EU-U.K. Trade and Cooperation Agreement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It is anticipated that CE Marks will, at least in the short term, continue to be recognized in G.B. for medical devices until June 30, 2024, however, all medical devices and IVDs must be registered with the MHRA, in order to be placed on the G.B. market. The EU legal framework, including the IVDR, remains applicable in Northern Ireland (any products placed on the market in the NI must be compliant with EU law). From July 1, 2024, in principle, a UKCA mark will be required in order to place a device on the G.B. market.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9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55"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4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60"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5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97" w:lineRule="exact"/>
        <w:rPr>
          <w:sz w:val="20"/>
          <w:szCs w:val="20"/>
          <w:color w:val="auto"/>
        </w:rPr>
      </w:pPr>
    </w:p>
    <w:p>
      <w:pPr>
        <w:ind w:left="1140" w:hanging="383"/>
        <w:spacing w:after="0" w:line="260"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52"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an amended complaint in the U.S. District Court for the District of Colorado against Foresight for patent infringement and in October 2022 Foresight filed its answer and counterclaims (see the section titled “Contingencies” in Note 9 to our consolidated financial statements). Further, Foresight has filed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in an effort to invalidate the patents that we are asserting against Foresight in our patent infringement action. The USPTO has yet to issue a decision regarding whether it will institute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0"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process with uncertain outcomes. Accordingly, we may choose not to seek patent protection in certain countries, and we will not have the benefit of patent protection in such countries.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2"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Russia-initiated military action against Ukraine).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1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87" w:lineRule="exact"/>
        <w:rPr>
          <w:sz w:val="20"/>
          <w:szCs w:val="20"/>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and Natera, as our largest customers;</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87"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2022, we had 46,707,084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December 31, 2022 will become eligible for sale in the public market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5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of December 31, 2022, we had federal and state net operating loss carryforwards of approximately $249.1 million and approximately $229.7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93" w:lineRule="exact"/>
        <w:rPr>
          <w:sz w:val="20"/>
          <w:szCs w:val="20"/>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6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87" w:lineRule="exact"/>
        <w:rPr>
          <w:sz w:val="20"/>
          <w:szCs w:val="20"/>
          <w:color w:val="auto"/>
        </w:rPr>
      </w:pPr>
    </w:p>
    <w:p>
      <w:pPr>
        <w:ind w:left="1140" w:hanging="383"/>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2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87" w:lineRule="exact"/>
        <w:rPr>
          <w:rFonts w:ascii="Arial" w:cs="Arial" w:eastAsia="Arial" w:hAnsi="Arial"/>
          <w:sz w:val="16"/>
          <w:szCs w:val="16"/>
          <w:color w:val="auto"/>
        </w:rPr>
      </w:pPr>
    </w:p>
    <w:p>
      <w:pPr>
        <w:ind w:left="1140" w:hanging="383"/>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34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corporate headquarters are located in Fremont, California, and comprise 100,000 square feet of space, pursuant to a lease that expires in 2036. The lease includes two options to extend the term for a period of five-years per option, at prevailing market rates. This facility is used for corporate functions and research and development. We intend to move our laboratory operations from Menlo Park, California to the Fremont, California facility in 2023.</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also lease 31,280 square feet of space in Menlo Park, California, pursuant to a lease that expires in 2027. The lease includes an option to extend the term for a period of three years, at prevailing market rates. This facility was previously used as our corporate headquarters. Our CLIA-certified and CAP-accredited laboratory is currently located in the facility.</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that our facilities are sufficient to meet our current and foreseeable future needs. We also believe we will be able to obtain additional space, as needed, on commercially reasonable terms.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disclosure under the heading "Contingencies" in Note 9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40"/>
        <w:spacing w:after="0" w:line="497"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Information</w:t>
      </w:r>
    </w:p>
    <w:p>
      <w:pPr>
        <w:jc w:val="both"/>
        <w:ind w:firstLine="749"/>
        <w:spacing w:after="0" w:line="260" w:lineRule="auto"/>
        <w:rPr>
          <w:sz w:val="20"/>
          <w:szCs w:val="20"/>
          <w:color w:val="auto"/>
        </w:rPr>
      </w:pPr>
      <w:r>
        <w:rPr>
          <w:rFonts w:ascii="Arial" w:cs="Arial" w:eastAsia="Arial" w:hAnsi="Arial"/>
          <w:sz w:val="16"/>
          <w:szCs w:val="16"/>
          <w:color w:val="auto"/>
        </w:rPr>
        <w:t>Our common stock has been listed on The Nasdaq Global Market under the symbol “PSNL” since June 20, 2019. Prior to our initial public offering, there was no public market for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As of February 14, 2023, there were approximately 65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accompanying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elsewhere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strive to develop some of the most comprehensive and actionable cancer genomic tests in the world to help patients live better and longer lives. We believe we have one of the most discerning technologies to both characterize and monitor cancer – with the aim of driving a new paradigm for cancer management and guiding care from biopsy through the life of the patient. Our assays combine tumor-and-normal profiling with proprietary algorithms to deliver advanced insights even as cancer evolves over time. Our products are designed to detect recurrence at the earliest timepoints, enable selection of targeted therapies based on ultra-comprehensive genomic profiling, and enhance biomarker strategy for drug development.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Today, our platforms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are preparing for future expansion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3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part of one of our new strategies for 2023 and beyond, we are working with a growing number of leading cancer centers and world-class academic research institutions to build and publish the clinical evidence-base to support our products and our key indications. Specifically, because of the high sensitivity of our technology, we aim to focus on three indications in the next 2-3 years: immunotherapy (IO) monitoring, breast cancer, and lung cancer. We have announced collaborations with BC Cancer, Duke University, UCSF, Criterium, and Academic Breast Cancer Consortium that will focus on building the evidence-base for our technology and these indications. If the key opinion leaders ("KOLs") we are collaborating with have a positive experience using our platform, we are optimistic this will support broader use of our platform by other KOLS, as well as clinicians in the future.</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300,000 human samples, of which more than 160,000 were whole human genomes.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October 2022, we relocated our corporate headquarters from Menlo Park, California to a new facility in Fremont, California. We signed a 13.5-year lease that extends to 2036 for the 100,000 square foot facility, which is approximately triple the amount of space than our Menlo Park location. The new facility allows for expansion of our laboratory for testing to support pharmaceutical customers and clinical diagnostic testing. In addition, the new space is intended to support the expansion of research and development efforts to bring leading edge products and services to the marketplace. Our Menlo Park office currently continues to house our Clinical Laboratory Improvement Amendments of 1988 (“CLIA”)-certified and College of American Pathologists (“CAP”)-accredited laboratory and we expect to move our laboratory operations from Menlo Park to the new facility in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Highlights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Total revenue decreased 24%, or $20.4 million, during 2022 compared to 2021, due primarily to expected lower population sequencing revenue from the VA MVP. Revenue from pharma tests, enterprise, and other customers was $56.6 million in 2022 compared to $39.8 million in 2021, an increase of 42%, driven by higher sales to Natera under our partnership to provide advanced tumor analysis for use in Natera's MRD testing offerings. Revenue from population sequencing was $8.4 million in 2022 compared to $45.7 million in 2021, due to a reduction in the value of annual task orders received from the VA MVP in the past two years.</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announce new product offerings, business developments, and research collaborations at various times during the year. Significant announcements during 2022 included the following: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First Quarter 2022:</w:t>
      </w:r>
    </w:p>
    <w:p>
      <w:pPr>
        <w:spacing w:after="0" w:line="181" w:lineRule="exact"/>
        <w:rPr>
          <w:sz w:val="20"/>
          <w:szCs w:val="20"/>
          <w:color w:val="auto"/>
        </w:rPr>
      </w:pPr>
    </w:p>
    <w:p>
      <w:pPr>
        <w:ind w:left="1140" w:hanging="383"/>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Received our first customer order for NeXT Personal from a large global pharmaceutical customer and processed samples for initial order.</w:t>
      </w:r>
    </w:p>
    <w:p>
      <w:pPr>
        <w:spacing w:after="0" w:line="19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Announced a collaboration with the Moores Cancer Center at UC San Diego Health, a National Cancer Institute-designated Comprehensive Cancer Center, to support clinical diagnostic testing in patients with advanced solid tumors and hematological malignancies.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2022:</w:t>
      </w:r>
    </w:p>
    <w:p>
      <w:pPr>
        <w:spacing w:after="0" w:line="194" w:lineRule="exact"/>
        <w:rPr>
          <w:sz w:val="20"/>
          <w:szCs w:val="20"/>
          <w:color w:val="auto"/>
        </w:rPr>
      </w:pPr>
    </w:p>
    <w:p>
      <w:pPr>
        <w:jc w:val="both"/>
        <w:ind w:left="1140" w:hanging="383"/>
        <w:spacing w:after="0" w:line="253"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Received a new US patent relating to NeXT Personal, signifying its unique place among MRD assays as it combines a highly sensitive measurement of tumor burden with the ability to simultaneously track thousands of tumor variants, both tumor-informed and prespecified, in a single panel.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Third Quarter 2022:</w:t>
      </w:r>
    </w:p>
    <w:p>
      <w:pPr>
        <w:spacing w:after="0" w:line="181" w:lineRule="exact"/>
        <w:rPr>
          <w:sz w:val="20"/>
          <w:szCs w:val="20"/>
          <w:color w:val="auto"/>
        </w:rPr>
      </w:pPr>
    </w:p>
    <w:p>
      <w:pPr>
        <w:ind w:left="1140" w:hanging="383"/>
        <w:spacing w:after="0" w:line="260"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Launched a research collaboration with BC Cancer using NeXT Personal to determine the optimal time for ctDNA sampling for MRD detection in colorectal and pancreatic cancers, with the aim of identifying cancer progression before current standard of care tests.</w:t>
      </w:r>
    </w:p>
    <w:p>
      <w:pPr>
        <w:spacing w:after="0" w:line="168"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Announced a research collaboration with Duke University, deploying NeXT Personal to profile and accurately track MRD in patients with advanced gastroesophageal cancer over the course of therapy with the aim of better predicting a patient’s immune response to therapy.</w:t>
      </w:r>
    </w:p>
    <w:p>
      <w:pPr>
        <w:spacing w:after="0" w:line="154"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Added two additional patents to our MRD-related IP portfolio, both with priority to January 2013; the new patents describe the detection of cancer and its recurrence by using WGS of a patient’s tumor to identify variants for a subsequently used personalized liquid biopsy assay as well as the design of the liquid biopsy assay.</w:t>
      </w:r>
    </w:p>
    <w:p>
      <w:pPr>
        <w:spacing w:after="0" w:line="160" w:lineRule="exact"/>
        <w:rPr>
          <w:rFonts w:ascii="Arial" w:cs="Arial" w:eastAsia="Arial" w:hAnsi="Arial"/>
          <w:sz w:val="16"/>
          <w:szCs w:val="16"/>
          <w:color w:val="auto"/>
        </w:rPr>
      </w:pPr>
    </w:p>
    <w:p>
      <w:pPr>
        <w:jc w:val="both"/>
        <w:ind w:left="1140" w:hanging="383"/>
        <w:spacing w:after="0" w:line="257"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Appointed Christopher Hall as SVP (subsequently promoted to President) who will lead the company’s diagnostic business, bringing 20 years of experience including leading the commercial organization at Veracyte and growing its business to nearly $100M in diagnostic revenue.</w:t>
      </w:r>
    </w:p>
    <w:p>
      <w:pPr>
        <w:spacing w:after="0" w:line="361"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Launched marketing and sales outreach to oncologists to begin generating demand for NeXT Dx, the company’s tissue-based clinical test that covers the whole exome and transcriptome and assesses genomic alterations in matched tumor and normal specimens to report variants and help oncologists with decision-making for therapy selection.</w:t>
      </w:r>
    </w:p>
    <w:p>
      <w:pPr>
        <w:spacing w:after="0" w:line="160" w:lineRule="exact"/>
        <w:rPr>
          <w:rFonts w:ascii="Arial" w:cs="Arial" w:eastAsia="Arial" w:hAnsi="Arial"/>
          <w:sz w:val="16"/>
          <w:szCs w:val="16"/>
          <w:color w:val="auto"/>
        </w:rPr>
      </w:pPr>
    </w:p>
    <w:p>
      <w:pPr>
        <w:ind w:left="1140" w:hanging="383"/>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Won an exclusive five-year contract and received the initial order from the VA MVP.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2022:</w:t>
      </w:r>
    </w:p>
    <w:p>
      <w:pPr>
        <w:spacing w:after="0" w:line="194" w:lineRule="exact"/>
        <w:rPr>
          <w:sz w:val="20"/>
          <w:szCs w:val="20"/>
          <w:color w:val="auto"/>
        </w:rPr>
      </w:pPr>
    </w:p>
    <w:p>
      <w:pPr>
        <w:jc w:val="both"/>
        <w:ind w:left="1140" w:hanging="383"/>
        <w:spacing w:after="0" w:line="251"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Initiated a research collaboration with University Medical Center Hamburg-Eppendorf ("UKE") and its new Fleur-Hiege Center for Skin Cancer Research, where Dr. Klaus Pantel, Dr. Christoffer Gebhardt, and team are using NeXT Personal to track tumor response to immunotherapy ("IO") in patients with melanoma, with the aim of gathering evidence to advance the use of ultra-sensitive MRD detection in routine clinical practice for IO therapy monitoring.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Events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 January 2023, we announced a headcount reduction of up to 30% to reduce expenses and extend our cash runway. The reduction in workforce is expected to be completed in March 2023.</w:t>
      </w:r>
    </w:p>
    <w:p>
      <w:pPr>
        <w:spacing w:after="0" w:line="16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January 2023, partnered with Criterium and the Academic Breast Cancer Consortium (ABRCC) to conduct a prospective clinical trial to validate the clinical performance of the NeXT Personal assay to evaluate minimal residual disease (MRD) and subsequent recurrence in patients with early-stage, resectable triple negative breast cancer (TNBC).</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 February 2023, we announced a partnership with Moderna to provide genomic testing for its upcoming clinical studies evaluating mRNA-4157/V940, an investigational personalized cancer vaccine, jointly developed by Moderna and Merck.</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February 2023, we made a decision to streamline our international operations by closing our operations in China as expeditiously as possible in 2023. We expect to incur one-time charges in connection with the closure, including noncash impairments of property and equipment and a lease asset. Such charges cannot be estimated at this time, but we do not expect such charges to exceed $1.5 million.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there are several important factors that have impacted, and that we expect will continue to impact, our operating performance and results of operations, including:</w:t>
      </w:r>
    </w:p>
    <w:p>
      <w:pPr>
        <w:sectPr>
          <w:pgSz w:w="11900" w:h="16838" w:orient="portrait"/>
          <w:cols w:equalWidth="0" w:num="1">
            <w:col w:w="11240"/>
          </w:cols>
          <w:pgMar w:left="320" w:top="144" w:right="339" w:bottom="1440" w:gutter="0" w:footer="0" w:header="0"/>
        </w:sectPr>
      </w:pPr>
    </w:p>
    <w:p>
      <w:pPr>
        <w:spacing w:after="0" w:line="135" w:lineRule="exact"/>
        <w:rPr>
          <w:sz w:val="20"/>
          <w:szCs w:val="20"/>
          <w:color w:val="auto"/>
        </w:rPr>
      </w:pPr>
    </w:p>
    <w:p>
      <w:pPr>
        <w:ind w:left="1140" w:hanging="383"/>
        <w:spacing w:after="0" w:line="266"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companies, enterprise customers, and oncologists to continue to seek efficacious cancer therapies.</w:t>
      </w:r>
    </w:p>
    <w:p>
      <w:pPr>
        <w:spacing w:after="0" w:line="1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right"/>
        <w:spacing w:after="0" w:line="260" w:lineRule="auto"/>
        <w:rPr>
          <w:sz w:val="20"/>
          <w:szCs w:val="20"/>
          <w:color w:val="auto"/>
        </w:rPr>
      </w:pPr>
      <w:r>
        <w:rPr>
          <w:rFonts w:ascii="Arial" w:cs="Arial" w:eastAsia="Arial" w:hAnsi="Arial"/>
          <w:sz w:val="16"/>
          <w:szCs w:val="16"/>
          <w:color w:val="auto"/>
        </w:rPr>
        <w:t>Our performance depends on the willingness of pharmaceutical more comprehensive molecular information to develop more</w:t>
      </w:r>
    </w:p>
    <w:p>
      <w:pPr>
        <w:sectPr>
          <w:pgSz w:w="11900" w:h="16838" w:orient="portrait"/>
          <w:cols w:equalWidth="0" w:num="2">
            <w:col w:w="6540" w:space="0"/>
            <w:col w:w="4700"/>
          </w:cols>
          <w:pgMar w:left="320" w:top="144"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jc w:val="both"/>
        <w:ind w:left="1140" w:hanging="383"/>
        <w:spacing w:after="0" w:line="255"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Increasing adoption of our products and solutions by existing customers. </w:t>
      </w:r>
      <w:r>
        <w:rPr>
          <w:rFonts w:ascii="Arial" w:cs="Arial" w:eastAsia="Arial" w:hAnsi="Arial"/>
          <w:sz w:val="16"/>
          <w:szCs w:val="16"/>
          <w:color w:val="auto"/>
        </w:rPr>
        <w:t>Our performance depends on our ability to retain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broaden adoption with existing customers. Because our technology is novel, some customers begin using our platform by initiating pilot studies involving a small number of samples to gain experience with our service. As a result, historically a significant portion of our revenue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345" w:lineRule="exact"/>
        <w:rPr>
          <w:rFonts w:ascii="Arial" w:cs="Arial" w:eastAsia="Arial" w:hAnsi="Arial"/>
          <w:sz w:val="16"/>
          <w:szCs w:val="16"/>
          <w:color w:val="auto"/>
        </w:rPr>
      </w:pPr>
    </w:p>
    <w:p>
      <w:pPr>
        <w:jc w:val="both"/>
        <w:ind w:left="1140" w:hanging="383"/>
        <w:spacing w:after="0" w:line="254"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Adoption of our products and solutions by new customers. </w:t>
      </w:r>
      <w:r>
        <w:rPr>
          <w:rFonts w:ascii="Arial" w:cs="Arial" w:eastAsia="Arial" w:hAnsi="Arial"/>
          <w:sz w:val="16"/>
          <w:szCs w:val="16"/>
          <w:color w:val="auto"/>
        </w:rPr>
        <w:t>While new customers initially may not account for significant revenue,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platform. Accessing these new customers through scientific engagement and marketing to gain initial buy-in is critical to our success and gives us the opportunity to demonstrate the utility of our platform.</w:t>
      </w:r>
    </w:p>
    <w:p>
      <w:pPr>
        <w:spacing w:after="0" w:line="141" w:lineRule="exact"/>
        <w:rPr>
          <w:rFonts w:ascii="Arial" w:cs="Arial" w:eastAsia="Arial" w:hAnsi="Arial"/>
          <w:sz w:val="16"/>
          <w:szCs w:val="16"/>
          <w:color w:val="auto"/>
        </w:rPr>
      </w:pPr>
    </w:p>
    <w:p>
      <w:pPr>
        <w:jc w:val="both"/>
        <w:ind w:left="1140" w:hanging="383"/>
        <w:spacing w:after="0" w:line="254"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Our revenue and cost are affected by the volume of samples we receive from customers from period to period. </w:t>
      </w:r>
      <w:r>
        <w:rPr>
          <w:rFonts w:ascii="Arial" w:cs="Arial" w:eastAsia="Arial" w:hAnsi="Arial"/>
          <w:sz w:val="16"/>
          <w:szCs w:val="16"/>
          <w:color w:val="auto"/>
        </w:rPr>
        <w:t>The timing and size</w:t>
      </w:r>
      <w:r>
        <w:rPr>
          <w:rFonts w:ascii="Arial" w:cs="Arial" w:eastAsia="Arial" w:hAnsi="Arial"/>
          <w:sz w:val="16"/>
          <w:szCs w:val="16"/>
          <w:b w:val="1"/>
          <w:bCs w:val="1"/>
          <w:color w:val="auto"/>
        </w:rPr>
        <w:t xml:space="preserve"> </w:t>
      </w:r>
      <w:r>
        <w:rPr>
          <w:rFonts w:ascii="Arial" w:cs="Arial" w:eastAsia="Arial" w:hAnsi="Arial"/>
          <w:sz w:val="16"/>
          <w:szCs w:val="16"/>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41" w:lineRule="exact"/>
        <w:rPr>
          <w:rFonts w:ascii="Arial" w:cs="Arial" w:eastAsia="Arial" w:hAnsi="Arial"/>
          <w:sz w:val="16"/>
          <w:szCs w:val="16"/>
          <w:color w:val="auto"/>
        </w:rPr>
      </w:pPr>
    </w:p>
    <w:p>
      <w:pPr>
        <w:jc w:val="both"/>
        <w:ind w:left="1140" w:hanging="383"/>
        <w:spacing w:after="0" w:line="256"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Investment in product innovation to support growth. </w:t>
      </w:r>
      <w:r>
        <w:rPr>
          <w:rFonts w:ascii="Arial" w:cs="Arial" w:eastAsia="Arial" w:hAnsi="Arial"/>
          <w:sz w:val="16"/>
          <w:szCs w:val="16"/>
          <w:color w:val="auto"/>
        </w:rPr>
        <w:t>Investment in research and development, including the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capabilities is critical to establish and maintain our leading position. We have invested significantly in our NeXT Platform, introducing new products and additional capabilities. We are also collaborating with key opinion leaders from cancer centers, such as Mayo Clinic and UC San Diego Moores Cancer Center, to support the clinical utility of our platform. We believe this work is critical to gaining customer adoption and expect our investments in these efforts to increase.</w:t>
      </w:r>
    </w:p>
    <w:p>
      <w:pPr>
        <w:spacing w:after="0" w:line="152" w:lineRule="exact"/>
        <w:rPr>
          <w:rFonts w:ascii="Arial" w:cs="Arial" w:eastAsia="Arial" w:hAnsi="Arial"/>
          <w:sz w:val="16"/>
          <w:szCs w:val="16"/>
          <w:color w:val="auto"/>
        </w:rPr>
      </w:pPr>
    </w:p>
    <w:p>
      <w:pPr>
        <w:jc w:val="both"/>
        <w:ind w:left="1140" w:hanging="383"/>
        <w:spacing w:after="0" w:line="266"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operational infrastructure. </w:t>
      </w:r>
      <w:r>
        <w:rPr>
          <w:rFonts w:ascii="Arial" w:cs="Arial" w:eastAsia="Arial" w:hAnsi="Arial"/>
          <w:sz w:val="16"/>
          <w:szCs w:val="16"/>
          <w:color w:val="auto"/>
        </w:rPr>
        <w:t>We have invested significantly in our sample processing capabilities and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With our current operating model and infrastructure, we can increase our production and commercialize new generations of our platform. We expect to grow our revenue and spread our costs over a larger volume of services.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advanced sequencing and analytics to the following four groups of customers:</w:t>
      </w:r>
    </w:p>
    <w:p>
      <w:pPr>
        <w:spacing w:after="0" w:line="161" w:lineRule="exact"/>
        <w:rPr>
          <w:sz w:val="20"/>
          <w:szCs w:val="20"/>
          <w:color w:val="auto"/>
        </w:rPr>
      </w:pPr>
    </w:p>
    <w:p>
      <w:pPr>
        <w:ind w:left="1140" w:hanging="383"/>
        <w:spacing w:after="0" w:line="28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15" w:lineRule="exact"/>
        <w:rPr>
          <w:rFonts w:ascii="Arial" w:cs="Arial" w:eastAsia="Arial" w:hAnsi="Arial"/>
          <w:sz w:val="16"/>
          <w:szCs w:val="16"/>
          <w:color w:val="auto"/>
        </w:rPr>
      </w:pPr>
    </w:p>
    <w:p>
      <w:pPr>
        <w:jc w:val="both"/>
        <w:ind w:left="1140" w:hanging="383"/>
        <w:spacing w:after="0" w:line="26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testing offerings currently makes up substantially all of the revenue in this category.</w:t>
      </w:r>
    </w:p>
    <w:p>
      <w:pPr>
        <w:spacing w:after="0" w:line="144" w:lineRule="exact"/>
        <w:rPr>
          <w:rFonts w:ascii="Arial" w:cs="Arial" w:eastAsia="Arial" w:hAnsi="Arial"/>
          <w:sz w:val="16"/>
          <w:szCs w:val="16"/>
          <w:color w:val="auto"/>
        </w:rPr>
      </w:pPr>
    </w:p>
    <w:p>
      <w:pPr>
        <w:ind w:left="1140" w:hanging="383"/>
        <w:spacing w:after="0" w:line="28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Revenue from our partnership with the VA MVP to provide population sequencing accounts for all of the revenue in this category.</w:t>
      </w:r>
    </w:p>
    <w:p>
      <w:pPr>
        <w:spacing w:after="0" w:line="115" w:lineRule="exact"/>
        <w:rPr>
          <w:rFonts w:ascii="Arial" w:cs="Arial" w:eastAsia="Arial" w:hAnsi="Arial"/>
          <w:sz w:val="16"/>
          <w:szCs w:val="16"/>
          <w:color w:val="auto"/>
        </w:rPr>
      </w:pPr>
    </w:p>
    <w:p>
      <w:pPr>
        <w:ind w:left="1140" w:right="20" w:hanging="383"/>
        <w:spacing w:after="0" w:line="28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This category also includes sales of diagnostics tests</w:t>
      </w:r>
      <w:r>
        <w:rPr>
          <w:rFonts w:ascii="Arial" w:cs="Arial" w:eastAsia="Arial" w:hAnsi="Arial"/>
          <w:sz w:val="16"/>
          <w:szCs w:val="16"/>
          <w:b w:val="1"/>
          <w:bCs w:val="1"/>
          <w:color w:val="auto"/>
        </w:rPr>
        <w:t xml:space="preserve"> </w:t>
      </w:r>
      <w:r>
        <w:rPr>
          <w:rFonts w:ascii="Arial" w:cs="Arial" w:eastAsia="Arial" w:hAnsi="Arial"/>
          <w:sz w:val="16"/>
          <w:szCs w:val="16"/>
          <w:color w:val="auto"/>
        </w:rPr>
        <w:t>ordered by healthcare providers for cancer patients, which was insignificant in 2022.</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and seeking additional partnerships such as ours with Natera. We sell through a small direct sales force. We also anticipate increasing our revenue in the future through entrance into the clinical diagnostics market and have begun building our regulatory, clinical, and reimbursement capabilities, including hiring a national clinical sales force.</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We expect variability in our gross margins over the medium term due to fluctuating population sequencing revenue, investments in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overall as we expand collaborations for clinical validation to secure reimbursement and develop our NeXT Personal test as an LDT for the clinical market, partially offset by cost reductions from our first quarter 2023 reduction in workforce and anticipated savings from our planned discontinuation of operations in China.</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expect our selling, general and administrative expenses to decrease significantly in the medium term as a result of the 2023 reduction in workforce, partially offset by investments in our diagnostic sales outreach efforts.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Our interest income increased significantly during 2022 as a result of the higher interest rate environment after the Federal Reserve began taking measures to curb inflation in 2022.</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expense in 2022 and 2021 is the recognition of imputed interest on noninterest bearing loans.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21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 Financial Information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the notes thereto in Item 8 of Part II, “Financial Statements and Supplementary Data”. Historical results are not necessarily indicative of future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jc w:val="center"/>
              <w:ind w:left="444"/>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2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r>
      <w:tr>
        <w:trPr>
          <w:trHeight w:val="183"/>
        </w:trPr>
        <w:tc>
          <w:tcPr>
            <w:tcW w:w="4740" w:type="dxa"/>
            <w:vAlign w:val="bottom"/>
          </w:tcPr>
          <w:p>
            <w:pPr>
              <w:ind w:left="20"/>
              <w:spacing w:after="0"/>
              <w:rPr>
                <w:sz w:val="20"/>
                <w:szCs w:val="20"/>
                <w:color w:val="auto"/>
              </w:rPr>
            </w:pPr>
            <w:r>
              <w:rPr>
                <w:rFonts w:ascii="Arial" w:cs="Arial" w:eastAsia="Arial" w:hAnsi="Arial"/>
                <w:sz w:val="15"/>
                <w:szCs w:val="15"/>
                <w:b w:val="1"/>
                <w:bCs w:val="1"/>
                <w:color w:val="auto"/>
              </w:rPr>
              <w:t>Consolidated Statements of Operations: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12"/>
          </w:tcPr>
          <w:p>
            <w:pPr>
              <w:jc w:val="center"/>
              <w:ind w:right="304"/>
              <w:spacing w:after="0"/>
              <w:rPr>
                <w:sz w:val="20"/>
                <w:szCs w:val="20"/>
                <w:color w:val="auto"/>
              </w:rPr>
            </w:pPr>
            <w:r>
              <w:rPr>
                <w:rFonts w:ascii="Arial" w:cs="Arial" w:eastAsia="Arial" w:hAnsi="Arial"/>
                <w:sz w:val="14"/>
                <w:szCs w:val="14"/>
                <w:color w:val="auto"/>
              </w:rPr>
              <w:t>(in thousands, except share and per share data)</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65,047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85,494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78,648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65,207</w:t>
            </w:r>
          </w:p>
        </w:tc>
        <w:tc>
          <w:tcPr>
            <w:tcW w:w="380" w:type="dxa"/>
            <w:vAlign w:val="bottom"/>
            <w:gridSpan w:val="4"/>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37,774</w:t>
            </w:r>
          </w:p>
        </w:tc>
      </w:tr>
      <w:tr>
        <w:trPr>
          <w:trHeight w:val="189"/>
        </w:trPr>
        <w:tc>
          <w:tcPr>
            <w:tcW w:w="4740" w:type="dxa"/>
            <w:vAlign w:val="bottom"/>
          </w:tcPr>
          <w:p>
            <w:pPr>
              <w:ind w:left="20"/>
              <w:spacing w:after="0"/>
              <w:rPr>
                <w:sz w:val="20"/>
                <w:szCs w:val="20"/>
                <w:color w:val="auto"/>
              </w:rPr>
            </w:pPr>
            <w:r>
              <w:rPr>
                <w:rFonts w:ascii="Arial" w:cs="Arial" w:eastAsia="Arial" w:hAnsi="Arial"/>
                <w:sz w:val="15"/>
                <w:szCs w:val="15"/>
                <w:color w:val="auto"/>
              </w:rPr>
              <w:t>Costs and expenses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Cost of revenue</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51,697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53,837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58,534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43,127</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25,969</w:t>
            </w:r>
          </w:p>
        </w:tc>
      </w:tr>
      <w:tr>
        <w:trPr>
          <w:trHeight w:val="189"/>
        </w:trPr>
        <w:tc>
          <w:tcPr>
            <w:tcW w:w="4740" w:type="dxa"/>
            <w:vAlign w:val="bottom"/>
          </w:tcPr>
          <w:p>
            <w:pPr>
              <w:ind w:left="20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64,912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49,312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28,568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22,418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14,304</w:t>
            </w:r>
          </w:p>
        </w:tc>
      </w:tr>
      <w:tr>
        <w:trPr>
          <w:trHeight w:val="189"/>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63,969</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47,698</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33,692</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22,080</w:t>
            </w:r>
          </w:p>
        </w:tc>
        <w:tc>
          <w:tcPr>
            <w:tcW w:w="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11,271</w:t>
            </w:r>
          </w:p>
        </w:tc>
      </w:tr>
      <w:tr>
        <w:trPr>
          <w:trHeight w:val="183"/>
        </w:trPr>
        <w:tc>
          <w:tcPr>
            <w:tcW w:w="4740" w:type="dxa"/>
            <w:vAlign w:val="bottom"/>
          </w:tcPr>
          <w:p>
            <w:pPr>
              <w:ind w:left="380"/>
              <w:spacing w:after="0"/>
              <w:rPr>
                <w:sz w:val="20"/>
                <w:szCs w:val="20"/>
                <w:color w:val="auto"/>
              </w:rPr>
            </w:pPr>
            <w:r>
              <w:rPr>
                <w:rFonts w:ascii="Arial" w:cs="Arial" w:eastAsia="Arial" w:hAnsi="Arial"/>
                <w:sz w:val="15"/>
                <w:szCs w:val="15"/>
                <w:color w:val="auto"/>
              </w:rPr>
              <w:t>Total costs and expenses</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180,578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150,847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120,794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87,625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51,544</w:t>
            </w:r>
          </w:p>
        </w:tc>
      </w:tr>
      <w:tr>
        <w:trPr>
          <w:trHeight w:val="183"/>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Loss from operations</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(115,531 )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(65,353 )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(42,146 )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(22,418 )</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(13,770 )</w:t>
            </w:r>
          </w:p>
        </w:tc>
      </w:tr>
      <w:tr>
        <w:trPr>
          <w:trHeight w:val="189"/>
        </w:trPr>
        <w:tc>
          <w:tcPr>
            <w:tcW w:w="47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2,396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367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949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1,620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293</w:t>
            </w:r>
          </w:p>
        </w:tc>
      </w:tr>
      <w:tr>
        <w:trPr>
          <w:trHeight w:val="189"/>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(1,133 )</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(1,894 )</w:t>
            </w:r>
          </w:p>
        </w:tc>
      </w:tr>
      <w:tr>
        <w:trPr>
          <w:trHeight w:val="189"/>
        </w:trPr>
        <w:tc>
          <w:tcPr>
            <w:tcW w:w="4740" w:type="dxa"/>
            <w:vAlign w:val="bottom"/>
          </w:tcPr>
          <w:p>
            <w:pPr>
              <w:ind w:left="20"/>
              <w:spacing w:after="0"/>
              <w:rPr>
                <w:sz w:val="20"/>
                <w:szCs w:val="20"/>
                <w:color w:val="auto"/>
              </w:rPr>
            </w:pPr>
            <w:r>
              <w:rPr>
                <w:rFonts w:ascii="Arial" w:cs="Arial" w:eastAsia="Arial" w:hAnsi="Arial"/>
                <w:sz w:val="15"/>
                <w:szCs w:val="15"/>
                <w:color w:val="auto"/>
              </w:rPr>
              <w:t>Loss on debt extinguishment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(1,704 )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(4,658 )</w:t>
            </w:r>
          </w:p>
        </w:tc>
      </w:tr>
      <w:tr>
        <w:trPr>
          <w:trHeight w:val="18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61</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(42 )</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(24 )</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(1,440 )</w:t>
            </w:r>
          </w:p>
        </w:tc>
        <w:tc>
          <w:tcPr>
            <w:tcW w:w="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150</w:t>
            </w:r>
          </w:p>
        </w:tc>
      </w:tr>
      <w:tr>
        <w:trPr>
          <w:trHeight w:val="183"/>
        </w:trPr>
        <w:tc>
          <w:tcPr>
            <w:tcW w:w="4740" w:type="dxa"/>
            <w:vAlign w:val="bottom"/>
          </w:tcPr>
          <w:p>
            <w:pPr>
              <w:ind w:left="20"/>
              <w:spacing w:after="0"/>
              <w:rPr>
                <w:sz w:val="20"/>
                <w:szCs w:val="20"/>
                <w:color w:val="auto"/>
              </w:rPr>
            </w:pPr>
            <w:r>
              <w:rPr>
                <w:rFonts w:ascii="Arial" w:cs="Arial" w:eastAsia="Arial" w:hAnsi="Arial"/>
                <w:sz w:val="15"/>
                <w:szCs w:val="15"/>
                <w:color w:val="auto"/>
              </w:rPr>
              <w:t>Loss before income taxes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(113,275 )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(65,212 )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(41,223 )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(25,075 )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(19,879 )</w:t>
            </w:r>
          </w:p>
        </w:tc>
      </w:tr>
      <w:tr>
        <w:trPr>
          <w:trHeight w:val="18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40</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57</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9</w:t>
            </w:r>
          </w:p>
        </w:tc>
        <w:tc>
          <w:tcPr>
            <w:tcW w:w="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7</w:t>
            </w:r>
          </w:p>
        </w:tc>
      </w:tr>
      <w:tr>
        <w:trPr>
          <w:trHeight w:val="183"/>
        </w:trPr>
        <w:tc>
          <w:tcPr>
            <w:tcW w:w="4740" w:type="dxa"/>
            <w:vAlign w:val="bottom"/>
          </w:tcPr>
          <w:p>
            <w:pPr>
              <w:ind w:left="560"/>
              <w:spacing w:after="0" w:line="169" w:lineRule="exact"/>
              <w:rPr>
                <w:sz w:val="20"/>
                <w:szCs w:val="20"/>
                <w:color w:val="auto"/>
              </w:rPr>
            </w:pPr>
            <w:r>
              <w:rPr>
                <w:rFonts w:ascii="Arial" w:cs="Arial" w:eastAsia="Arial" w:hAnsi="Arial"/>
                <w:sz w:val="15"/>
                <w:szCs w:val="15"/>
                <w:color w:val="auto"/>
              </w:rPr>
              <w:t>Net loss</w:t>
            </w:r>
          </w:p>
        </w:tc>
        <w:tc>
          <w:tcPr>
            <w:tcW w:w="20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(113,315 )</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(65,226 )</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(41,280 )</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(25,084 )</w:t>
            </w:r>
          </w:p>
        </w:tc>
        <w:tc>
          <w:tcPr>
            <w:tcW w:w="120" w:type="dxa"/>
            <w:vAlign w:val="bottom"/>
            <w:gridSpan w:val="2"/>
          </w:tcPr>
          <w:p>
            <w:pPr>
              <w:spacing w:after="0"/>
              <w:rPr>
                <w:sz w:val="15"/>
                <w:szCs w:val="15"/>
                <w:color w:val="auto"/>
              </w:rPr>
            </w:pPr>
          </w:p>
        </w:tc>
        <w:tc>
          <w:tcPr>
            <w:tcW w:w="26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(19,886 )</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47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Net loss per share, basic and diluted</w:t>
            </w:r>
          </w:p>
        </w:tc>
        <w:tc>
          <w:tcPr>
            <w:tcW w:w="20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(2.48 )</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(1.49 )</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(1.39 )</w:t>
            </w:r>
          </w:p>
        </w:tc>
        <w:tc>
          <w:tcPr>
            <w:tcW w:w="380" w:type="dxa"/>
            <w:vAlign w:val="bottom"/>
            <w:gridSpan w:val="4"/>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(6.49 )</w:t>
            </w:r>
          </w:p>
        </w:tc>
      </w:tr>
      <w:tr>
        <w:trPr>
          <w:trHeight w:val="183"/>
        </w:trPr>
        <w:tc>
          <w:tcPr>
            <w:tcW w:w="4740" w:type="dxa"/>
            <w:vAlign w:val="bottom"/>
            <w:tcBorders>
              <w:top w:val="single" w:sz="8" w:color="CFF0FC"/>
            </w:tcBorders>
          </w:tcPr>
          <w:p>
            <w:pPr>
              <w:ind w:left="20"/>
              <w:spacing w:after="0" w:line="169" w:lineRule="exact"/>
              <w:rPr>
                <w:sz w:val="20"/>
                <w:szCs w:val="20"/>
                <w:color w:val="auto"/>
              </w:rPr>
            </w:pPr>
            <w:r>
              <w:rPr>
                <w:rFonts w:ascii="Arial" w:cs="Arial" w:eastAsia="Arial" w:hAnsi="Arial"/>
                <w:sz w:val="15"/>
                <w:szCs w:val="15"/>
                <w:color w:val="auto"/>
              </w:rPr>
              <w:t>Weighted-average shares outstanding, basic and diluted</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45,704,805</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3"/>
          </w:tcPr>
          <w:p>
            <w:pPr>
              <w:jc w:val="right"/>
              <w:ind w:right="64"/>
              <w:spacing w:after="0" w:line="169" w:lineRule="exact"/>
              <w:rPr>
                <w:sz w:val="20"/>
                <w:szCs w:val="20"/>
                <w:color w:val="auto"/>
              </w:rPr>
            </w:pPr>
            <w:r>
              <w:rPr>
                <w:rFonts w:ascii="Arial" w:cs="Arial" w:eastAsia="Arial" w:hAnsi="Arial"/>
                <w:sz w:val="15"/>
                <w:szCs w:val="15"/>
                <w:color w:val="auto"/>
              </w:rPr>
              <w:t>43,886,730</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3"/>
          </w:tcPr>
          <w:p>
            <w:pPr>
              <w:jc w:val="right"/>
              <w:ind w:right="44"/>
              <w:spacing w:after="0" w:line="169" w:lineRule="exact"/>
              <w:rPr>
                <w:sz w:val="20"/>
                <w:szCs w:val="20"/>
                <w:color w:val="auto"/>
              </w:rPr>
            </w:pPr>
            <w:r>
              <w:rPr>
                <w:rFonts w:ascii="Arial" w:cs="Arial" w:eastAsia="Arial" w:hAnsi="Arial"/>
                <w:sz w:val="15"/>
                <w:szCs w:val="15"/>
                <w:color w:val="auto"/>
              </w:rPr>
              <w:t>34,374,903</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w w:val="98"/>
              </w:rPr>
              <w:t>18,011,470</w:t>
            </w:r>
          </w:p>
        </w:tc>
        <w:tc>
          <w:tcPr>
            <w:tcW w:w="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3,063,157</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8"/>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r>
      <w:tr>
        <w:trPr>
          <w:trHeight w:val="183"/>
        </w:trPr>
        <w:tc>
          <w:tcPr>
            <w:tcW w:w="4740" w:type="dxa"/>
            <w:vAlign w:val="bottom"/>
          </w:tcPr>
          <w:p>
            <w:pPr>
              <w:ind w:left="20"/>
              <w:spacing w:after="0"/>
              <w:rPr>
                <w:sz w:val="20"/>
                <w:szCs w:val="20"/>
                <w:color w:val="auto"/>
              </w:rPr>
            </w:pPr>
            <w:r>
              <w:rPr>
                <w:rFonts w:ascii="Arial" w:cs="Arial" w:eastAsia="Arial" w:hAnsi="Arial"/>
                <w:sz w:val="15"/>
                <w:szCs w:val="15"/>
                <w:b w:val="1"/>
                <w:bCs w:val="1"/>
                <w:color w:val="auto"/>
              </w:rPr>
              <w:t>Consolidated Balance Sheet Data: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Cash and cash equivalents, and short-term investments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167,658</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CFF0FC"/>
          </w:tcPr>
          <w:p>
            <w:pPr>
              <w:jc w:val="right"/>
              <w:ind w:right="44"/>
              <w:spacing w:after="0"/>
              <w:rPr>
                <w:sz w:val="20"/>
                <w:szCs w:val="20"/>
                <w:color w:val="auto"/>
              </w:rPr>
            </w:pPr>
            <w:r>
              <w:rPr>
                <w:rFonts w:ascii="Arial" w:cs="Arial" w:eastAsia="Arial" w:hAnsi="Arial"/>
                <w:sz w:val="15"/>
                <w:szCs w:val="15"/>
                <w:color w:val="auto"/>
              </w:rPr>
              <w:t>287,064</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203,290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128,289</w:t>
            </w:r>
          </w:p>
        </w:tc>
        <w:tc>
          <w:tcPr>
            <w:tcW w:w="380" w:type="dxa"/>
            <w:vAlign w:val="bottom"/>
            <w:gridSpan w:val="4"/>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19,744</w:t>
            </w:r>
          </w:p>
        </w:tc>
      </w:tr>
      <w:tr>
        <w:trPr>
          <w:trHeight w:val="216"/>
        </w:trPr>
        <w:tc>
          <w:tcPr>
            <w:tcW w:w="4740" w:type="dxa"/>
            <w:vAlign w:val="bottom"/>
          </w:tcPr>
          <w:p>
            <w:pPr>
              <w:ind w:left="20"/>
              <w:spacing w:after="0"/>
              <w:rPr>
                <w:sz w:val="20"/>
                <w:szCs w:val="20"/>
                <w:color w:val="auto"/>
              </w:rPr>
            </w:pPr>
            <w:r>
              <w:rPr>
                <w:rFonts w:ascii="Arial" w:cs="Arial" w:eastAsia="Arial" w:hAnsi="Arial"/>
                <w:sz w:val="15"/>
                <w:szCs w:val="15"/>
                <w:color w:val="auto"/>
              </w:rPr>
              <w:t>Working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166,568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4"/>
              <w:spacing w:after="0"/>
              <w:rPr>
                <w:sz w:val="20"/>
                <w:szCs w:val="20"/>
                <w:color w:val="auto"/>
              </w:rPr>
            </w:pPr>
            <w:r>
              <w:rPr>
                <w:rFonts w:ascii="Arial" w:cs="Arial" w:eastAsia="Arial" w:hAnsi="Arial"/>
                <w:sz w:val="15"/>
                <w:szCs w:val="15"/>
                <w:color w:val="auto"/>
              </w:rPr>
              <w:t>286,918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180,083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89,616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(28,291 )</w:t>
            </w: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292,700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44"/>
              <w:spacing w:after="0"/>
              <w:rPr>
                <w:sz w:val="20"/>
                <w:szCs w:val="20"/>
                <w:color w:val="auto"/>
              </w:rPr>
            </w:pPr>
            <w:r>
              <w:rPr>
                <w:rFonts w:ascii="Arial" w:cs="Arial" w:eastAsia="Arial" w:hAnsi="Arial"/>
                <w:sz w:val="15"/>
                <w:szCs w:val="15"/>
                <w:color w:val="auto"/>
              </w:rPr>
              <w:t>396,528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244,842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157,291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41,670</w:t>
            </w:r>
          </w:p>
        </w:tc>
      </w:tr>
      <w:tr>
        <w:trPr>
          <w:trHeight w:val="216"/>
        </w:trPr>
        <w:tc>
          <w:tcPr>
            <w:tcW w:w="4740" w:type="dxa"/>
            <w:vAlign w:val="bottom"/>
          </w:tcPr>
          <w:p>
            <w:pPr>
              <w:ind w:left="20"/>
              <w:spacing w:after="0"/>
              <w:rPr>
                <w:sz w:val="20"/>
                <w:szCs w:val="20"/>
                <w:color w:val="auto"/>
              </w:rPr>
            </w:pPr>
            <w:r>
              <w:rPr>
                <w:rFonts w:ascii="Arial" w:cs="Arial" w:eastAsia="Arial" w:hAnsi="Arial"/>
                <w:sz w:val="15"/>
                <w:szCs w:val="15"/>
                <w:color w:val="auto"/>
              </w:rPr>
              <w:t>Total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4"/>
              <w:spacing w:after="0"/>
              <w:rPr>
                <w:sz w:val="20"/>
                <w:szCs w:val="20"/>
                <w:color w:val="auto"/>
              </w:rPr>
            </w:pPr>
            <w:r>
              <w:rPr>
                <w:rFonts w:ascii="Arial" w:cs="Arial" w:eastAsia="Arial" w:hAnsi="Arial"/>
                <w:sz w:val="15"/>
                <w:szCs w:val="15"/>
                <w:color w:val="auto"/>
              </w:rPr>
              <w:t>3,494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4,996</w:t>
            </w: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Long-term obligations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44"/>
              <w:spacing w:after="0"/>
              <w:rPr>
                <w:sz w:val="20"/>
                <w:szCs w:val="20"/>
                <w:color w:val="auto"/>
              </w:rPr>
            </w:pPr>
            <w:r>
              <w:rPr>
                <w:rFonts w:ascii="Arial" w:cs="Arial" w:eastAsia="Arial" w:hAnsi="Arial"/>
                <w:sz w:val="15"/>
                <w:szCs w:val="15"/>
                <w:color w:val="auto"/>
              </w:rPr>
              <w:t>54,914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9,261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804</w:t>
            </w:r>
          </w:p>
        </w:tc>
      </w:tr>
      <w:tr>
        <w:trPr>
          <w:trHeight w:val="216"/>
        </w:trPr>
        <w:tc>
          <w:tcPr>
            <w:tcW w:w="474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74,561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4"/>
              <w:spacing w:after="0"/>
              <w:rPr>
                <w:sz w:val="20"/>
                <w:szCs w:val="20"/>
                <w:color w:val="auto"/>
              </w:rPr>
            </w:pPr>
            <w:r>
              <w:rPr>
                <w:rFonts w:ascii="Arial" w:cs="Arial" w:eastAsia="Arial" w:hAnsi="Arial"/>
                <w:sz w:val="15"/>
                <w:szCs w:val="15"/>
                <w:color w:val="auto"/>
              </w:rPr>
              <w:t>86,227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49,897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50,601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58,654</w:t>
            </w: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Redeemable convertible preferred stock</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89,404</w:t>
            </w:r>
          </w:p>
        </w:tc>
      </w:tr>
      <w:tr>
        <w:trPr>
          <w:trHeight w:val="221"/>
        </w:trPr>
        <w:tc>
          <w:tcPr>
            <w:tcW w:w="4740" w:type="dxa"/>
            <w:vAlign w:val="bottom"/>
          </w:tcPr>
          <w:p>
            <w:pPr>
              <w:ind w:left="20"/>
              <w:spacing w:after="0"/>
              <w:rPr>
                <w:sz w:val="20"/>
                <w:szCs w:val="20"/>
                <w:color w:val="auto"/>
              </w:rPr>
            </w:pPr>
            <w:r>
              <w:rPr>
                <w:rFonts w:ascii="Arial" w:cs="Arial" w:eastAsia="Arial" w:hAnsi="Arial"/>
                <w:sz w:val="15"/>
                <w:szCs w:val="15"/>
                <w:color w:val="auto"/>
              </w:rPr>
              <w:t>Total stockholders' equity (deficit)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218,139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4"/>
              <w:spacing w:after="0"/>
              <w:rPr>
                <w:sz w:val="20"/>
                <w:szCs w:val="20"/>
                <w:color w:val="auto"/>
              </w:rPr>
            </w:pPr>
            <w:r>
              <w:rPr>
                <w:rFonts w:ascii="Arial" w:cs="Arial" w:eastAsia="Arial" w:hAnsi="Arial"/>
                <w:sz w:val="15"/>
                <w:szCs w:val="15"/>
                <w:color w:val="auto"/>
              </w:rPr>
              <w:t>310,301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194,945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106,690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(106,388 )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-3011805</wp:posOffset>
            </wp:positionV>
            <wp:extent cx="8572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-3011805</wp:posOffset>
            </wp:positionV>
            <wp:extent cx="7747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-3011805</wp:posOffset>
            </wp:positionV>
            <wp:extent cx="7683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-3011805</wp:posOffset>
            </wp:positionV>
            <wp:extent cx="7683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-2274570</wp:posOffset>
            </wp:positionV>
            <wp:extent cx="8572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-2274570</wp:posOffset>
            </wp:positionV>
            <wp:extent cx="7747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-2274570</wp:posOffset>
            </wp:positionV>
            <wp:extent cx="7683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-2274570</wp:posOffset>
            </wp:positionV>
            <wp:extent cx="7683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-2025650</wp:posOffset>
            </wp:positionV>
            <wp:extent cx="8572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-2025650</wp:posOffset>
            </wp:positionV>
            <wp:extent cx="7747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-2025650</wp:posOffset>
            </wp:positionV>
            <wp:extent cx="7683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-2025650</wp:posOffset>
            </wp:positionV>
            <wp:extent cx="7683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-1751330</wp:posOffset>
            </wp:positionV>
            <wp:extent cx="8572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-1751330</wp:posOffset>
            </wp:positionV>
            <wp:extent cx="7747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-1751330</wp:posOffset>
            </wp:positionV>
            <wp:extent cx="7683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-1751330</wp:posOffset>
            </wp:positionV>
            <wp:extent cx="7683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543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This section generally discusses 2022 and 2021 items and year-to-year comparisons between 2022 and 2021. Discussions of 2020 items and year-to-year comparisons between 2021 and 2020 that are not included in this Annual Report on Form 10-K can be found in “Management’s Discussion and Analysis of Financial Condition and Results of Operations” in our Annual Report on Form 10-K for the year ended December 31, 2021, which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83"/>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 vs 2021</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 vs 2020</w:t>
            </w:r>
          </w:p>
        </w:tc>
      </w:tr>
      <w:tr>
        <w:trPr>
          <w:trHeight w:val="210"/>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29,552</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30,282</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21,396</w:t>
            </w:r>
          </w:p>
        </w:tc>
        <w:tc>
          <w:tcPr>
            <w:tcW w:w="122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rPr>
              <w:t>(2%)</w:t>
            </w:r>
          </w:p>
        </w:tc>
        <w:tc>
          <w:tcPr>
            <w:tcW w:w="162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9"/>
              </w:rPr>
              <w:t>42%</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260" w:type="dxa"/>
            <w:vAlign w:val="bottom"/>
          </w:tcPr>
          <w:p>
            <w:pPr>
              <w:spacing w:after="0"/>
              <w:rPr>
                <w:sz w:val="18"/>
                <w:szCs w:val="18"/>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26,641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8,774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479</w:t>
            </w:r>
          </w:p>
        </w:tc>
        <w:tc>
          <w:tcPr>
            <w:tcW w:w="1220" w:type="dxa"/>
            <w:vAlign w:val="bottom"/>
            <w:gridSpan w:val="2"/>
          </w:tcPr>
          <w:p>
            <w:pPr>
              <w:jc w:val="center"/>
              <w:ind w:left="259"/>
              <w:spacing w:after="0"/>
              <w:rPr>
                <w:sz w:val="20"/>
                <w:szCs w:val="20"/>
                <w:color w:val="auto"/>
              </w:rPr>
            </w:pPr>
            <w:r>
              <w:rPr>
                <w:rFonts w:ascii="Arial" w:cs="Arial" w:eastAsia="Arial" w:hAnsi="Arial"/>
                <w:sz w:val="16"/>
                <w:szCs w:val="16"/>
                <w:color w:val="auto"/>
                <w:w w:val="97"/>
              </w:rPr>
              <w:t>204%</w:t>
            </w:r>
          </w:p>
        </w:tc>
        <w:tc>
          <w:tcPr>
            <w:tcW w:w="1620" w:type="dxa"/>
            <w:vAlign w:val="bottom"/>
            <w:gridSpan w:val="3"/>
          </w:tcPr>
          <w:p>
            <w:pPr>
              <w:jc w:val="center"/>
              <w:ind w:left="261"/>
              <w:spacing w:after="0"/>
              <w:rPr>
                <w:sz w:val="20"/>
                <w:szCs w:val="20"/>
                <w:color w:val="auto"/>
              </w:rPr>
            </w:pPr>
            <w:r>
              <w:rPr>
                <w:rFonts w:ascii="Arial" w:cs="Arial" w:eastAsia="Arial" w:hAnsi="Arial"/>
                <w:sz w:val="16"/>
                <w:szCs w:val="16"/>
                <w:color w:val="auto"/>
              </w:rPr>
              <w:t>1,732%</w:t>
            </w:r>
          </w:p>
        </w:tc>
      </w:tr>
      <w:tr>
        <w:trPr>
          <w:trHeight w:val="21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8,443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45,671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56,154</w:t>
            </w:r>
          </w:p>
        </w:tc>
        <w:tc>
          <w:tcPr>
            <w:tcW w:w="1220" w:type="dxa"/>
            <w:vAlign w:val="bottom"/>
            <w:gridSpan w:val="2"/>
            <w:shd w:val="clear" w:color="auto" w:fill="CFF0FC"/>
          </w:tcPr>
          <w:p>
            <w:pPr>
              <w:jc w:val="center"/>
              <w:ind w:left="259"/>
              <w:spacing w:after="0"/>
              <w:rPr>
                <w:sz w:val="20"/>
                <w:szCs w:val="20"/>
                <w:color w:val="auto"/>
              </w:rPr>
            </w:pPr>
            <w:r>
              <w:rPr>
                <w:rFonts w:ascii="Arial" w:cs="Arial" w:eastAsia="Arial" w:hAnsi="Arial"/>
                <w:sz w:val="16"/>
                <w:szCs w:val="16"/>
                <w:color w:val="auto"/>
              </w:rPr>
              <w:t>(82%)</w:t>
            </w:r>
          </w:p>
        </w:tc>
        <w:tc>
          <w:tcPr>
            <w:tcW w:w="162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rPr>
              <w:t>(19%)</w:t>
            </w: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411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619</w:t>
            </w:r>
          </w:p>
        </w:tc>
        <w:tc>
          <w:tcPr>
            <w:tcW w:w="1220" w:type="dxa"/>
            <w:vAlign w:val="bottom"/>
            <w:gridSpan w:val="2"/>
          </w:tcPr>
          <w:p>
            <w:pPr>
              <w:jc w:val="center"/>
              <w:ind w:left="259"/>
              <w:spacing w:after="0"/>
              <w:rPr>
                <w:sz w:val="20"/>
                <w:szCs w:val="20"/>
                <w:color w:val="auto"/>
              </w:rPr>
            </w:pPr>
            <w:r>
              <w:rPr>
                <w:rFonts w:ascii="Arial" w:cs="Arial" w:eastAsia="Arial" w:hAnsi="Arial"/>
                <w:sz w:val="16"/>
                <w:szCs w:val="16"/>
                <w:color w:val="auto"/>
              </w:rPr>
              <w:t>(46%)</w:t>
            </w:r>
          </w:p>
        </w:tc>
        <w:tc>
          <w:tcPr>
            <w:tcW w:w="1620" w:type="dxa"/>
            <w:vAlign w:val="bottom"/>
            <w:gridSpan w:val="3"/>
          </w:tcPr>
          <w:p>
            <w:pPr>
              <w:jc w:val="center"/>
              <w:ind w:left="261"/>
              <w:spacing w:after="0"/>
              <w:rPr>
                <w:sz w:val="20"/>
                <w:szCs w:val="20"/>
                <w:color w:val="auto"/>
              </w:rPr>
            </w:pPr>
            <w:r>
              <w:rPr>
                <w:rFonts w:ascii="Arial" w:cs="Arial" w:eastAsia="Arial" w:hAnsi="Arial"/>
                <w:sz w:val="16"/>
                <w:szCs w:val="16"/>
                <w:color w:val="auto"/>
                <w:w w:val="99"/>
              </w:rPr>
              <w:t>24%</w:t>
            </w:r>
          </w:p>
        </w:tc>
      </w:tr>
      <w:tr>
        <w:trPr>
          <w:trHeight w:val="250"/>
        </w:trPr>
        <w:tc>
          <w:tcPr>
            <w:tcW w:w="4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65,047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85,494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78,648</w:t>
            </w:r>
          </w:p>
        </w:tc>
        <w:tc>
          <w:tcPr>
            <w:tcW w:w="1220" w:type="dxa"/>
            <w:vAlign w:val="bottom"/>
            <w:tcBorders>
              <w:bottom w:val="single" w:sz="8" w:color="CFF0FC"/>
            </w:tcBorders>
            <w:gridSpan w:val="2"/>
            <w:shd w:val="clear" w:color="auto" w:fill="CFF0FC"/>
          </w:tcPr>
          <w:p>
            <w:pPr>
              <w:jc w:val="center"/>
              <w:ind w:left="259"/>
              <w:spacing w:after="0"/>
              <w:rPr>
                <w:sz w:val="20"/>
                <w:szCs w:val="20"/>
                <w:color w:val="auto"/>
              </w:rPr>
            </w:pPr>
            <w:r>
              <w:rPr>
                <w:rFonts w:ascii="Arial" w:cs="Arial" w:eastAsia="Arial" w:hAnsi="Arial"/>
                <w:sz w:val="16"/>
                <w:szCs w:val="16"/>
                <w:color w:val="auto"/>
              </w:rPr>
              <w:t>(24%)</w:t>
            </w:r>
          </w:p>
        </w:tc>
        <w:tc>
          <w:tcPr>
            <w:tcW w:w="1620" w:type="dxa"/>
            <w:vAlign w:val="bottom"/>
            <w:tcBorders>
              <w:bottom w:val="single" w:sz="8" w:color="CFF0FC"/>
            </w:tcBorders>
            <w:gridSpan w:val="3"/>
            <w:shd w:val="clear" w:color="auto" w:fill="CFF0FC"/>
          </w:tcPr>
          <w:p>
            <w:pPr>
              <w:jc w:val="center"/>
              <w:ind w:left="261"/>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year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41%</w:t>
            </w:r>
          </w:p>
        </w:tc>
        <w:tc>
          <w:tcPr>
            <w:tcW w:w="1880" w:type="dxa"/>
            <w:vAlign w:val="bottom"/>
            <w:gridSpan w:val="3"/>
            <w:shd w:val="clear" w:color="auto" w:fill="CFF0FC"/>
          </w:tcPr>
          <w:p>
            <w:pPr>
              <w:jc w:val="center"/>
              <w:ind w:left="361"/>
              <w:spacing w:after="0"/>
              <w:rPr>
                <w:sz w:val="20"/>
                <w:szCs w:val="20"/>
                <w:color w:val="auto"/>
              </w:rPr>
            </w:pPr>
            <w:r>
              <w:rPr>
                <w:rFonts w:ascii="Arial" w:cs="Arial" w:eastAsia="Arial" w:hAnsi="Arial"/>
                <w:sz w:val="16"/>
                <w:szCs w:val="16"/>
                <w:color w:val="auto"/>
                <w:w w:val="99"/>
              </w:rPr>
              <w:t>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w w:val="95"/>
              </w:rPr>
              <w:t>*</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VA MVP</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1880" w:type="dxa"/>
            <w:vAlign w:val="bottom"/>
            <w:gridSpan w:val="3"/>
          </w:tcPr>
          <w:p>
            <w:pPr>
              <w:jc w:val="center"/>
              <w:ind w:left="361"/>
              <w:spacing w:after="0"/>
              <w:rPr>
                <w:sz w:val="20"/>
                <w:szCs w:val="20"/>
                <w:color w:val="auto"/>
              </w:rPr>
            </w:pPr>
            <w:r>
              <w:rPr>
                <w:rFonts w:ascii="Arial" w:cs="Arial" w:eastAsia="Arial" w:hAnsi="Arial"/>
                <w:sz w:val="16"/>
                <w:szCs w:val="16"/>
                <w:color w:val="auto"/>
                <w:w w:val="99"/>
              </w:rPr>
              <w:t>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21"/>
              <w:spacing w:after="0"/>
              <w:rPr>
                <w:sz w:val="20"/>
                <w:szCs w:val="20"/>
                <w:color w:val="auto"/>
              </w:rPr>
            </w:pPr>
            <w:r>
              <w:rPr>
                <w:rFonts w:ascii="Arial" w:cs="Arial" w:eastAsia="Arial" w:hAnsi="Arial"/>
                <w:sz w:val="16"/>
                <w:szCs w:val="16"/>
                <w:color w:val="auto"/>
                <w:w w:val="99"/>
              </w:rPr>
              <w:t>71%</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114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11%</w:t>
            </w:r>
          </w:p>
        </w:tc>
        <w:tc>
          <w:tcPr>
            <w:tcW w:w="1880" w:type="dxa"/>
            <w:vAlign w:val="bottom"/>
            <w:gridSpan w:val="3"/>
            <w:shd w:val="clear" w:color="auto" w:fill="CFF0FC"/>
          </w:tcPr>
          <w:p>
            <w:pPr>
              <w:jc w:val="center"/>
              <w:ind w:left="381"/>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w w:val="95"/>
              </w:rPr>
              <w:t>*</w:t>
            </w:r>
          </w:p>
        </w:tc>
      </w:tr>
    </w:tbl>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Less than 10% of revenue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Revenue from pharma tests and services decreased 2%, or $0.7 million, in 2022. This was the result of decreases in certain customer projects, notably declines in ImmunoID NeXT samples processed for research and clinical trial projects for two large pharmaceutical customers; partially offset by increased revenue from other customer projects, notably fulfillment of an ImmunoID NeXT project with a different large pharmaceutical customer, a NeXT Liquid Biopsy project with another large pharmaceutical customer, and an ACE cancer sequencing project for a new customer.</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Revenue from enterprise sales increased 204%, or $17.9 million, in 2022 primarily due to an increase in the volume of samples we tested for Natera for use in Natera's MRD testing offerings, partially offset by lower selling prices as a result of volume-based tiered pricing. The number of samples processed increased over 300% in 2022 as compared to 2021.</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Population sequencing revenue is made up entirely of sales to the VA MVP. The decrease of 82%, or $37.2 million, in revenue from the VA MVP in 2022 was due to a reduction in the value of annual task orders received from the VA MVP in the past two years. Specifically, we received task orders with values exceeding $36.0 million each year from 2017 to 2019. In 2020, the annual task order received from the VA MVP was $30.9 million, and in 2021 the annual task order received from the VA MVP was $9.7 million. The 2021 task order was the last task order received under our prior contract with the VA MVP, which is now expired. Our conversion of orders into revenue necessarily declined beginning in the fourth quarter of 2021 through the second quarter of 2022, which is when we completed the fulfillment of all outstanding task orders under the prior contract.</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of which we fulfilled $0.9 million during the fourth quarter of 2022. We expect to recognize the remaining $9.1 million unfulfilled portion of the order in 2023.</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revenue decreased 46%, or $0.4 million, in 2022 due to lower revenue from university research projects.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83"/>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 vs 2021</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 vs 2020</w:t>
            </w:r>
          </w:p>
        </w:tc>
      </w:tr>
      <w:tr>
        <w:trPr>
          <w:trHeight w:val="183"/>
        </w:trPr>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51,697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53,837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58,534</w:t>
            </w:r>
          </w:p>
        </w:tc>
        <w:tc>
          <w:tcPr>
            <w:tcW w:w="122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rPr>
              <w:t>(4%)</w:t>
            </w:r>
          </w:p>
        </w:tc>
        <w:tc>
          <w:tcPr>
            <w:tcW w:w="162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rPr>
              <w:t>(8%)</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64,912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49,312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28,568</w:t>
            </w:r>
          </w:p>
        </w:tc>
        <w:tc>
          <w:tcPr>
            <w:tcW w:w="1220" w:type="dxa"/>
            <w:vAlign w:val="bottom"/>
            <w:gridSpan w:val="2"/>
          </w:tcPr>
          <w:p>
            <w:pPr>
              <w:jc w:val="center"/>
              <w:ind w:left="259"/>
              <w:spacing w:after="0"/>
              <w:rPr>
                <w:sz w:val="20"/>
                <w:szCs w:val="20"/>
                <w:color w:val="auto"/>
              </w:rPr>
            </w:pPr>
            <w:r>
              <w:rPr>
                <w:rFonts w:ascii="Arial" w:cs="Arial" w:eastAsia="Arial" w:hAnsi="Arial"/>
                <w:sz w:val="16"/>
                <w:szCs w:val="16"/>
                <w:color w:val="auto"/>
                <w:w w:val="99"/>
              </w:rPr>
              <w:t>32%</w:t>
            </w:r>
          </w:p>
        </w:tc>
        <w:tc>
          <w:tcPr>
            <w:tcW w:w="1620" w:type="dxa"/>
            <w:vAlign w:val="bottom"/>
            <w:gridSpan w:val="3"/>
          </w:tcPr>
          <w:p>
            <w:pPr>
              <w:jc w:val="center"/>
              <w:ind w:left="261"/>
              <w:spacing w:after="0"/>
              <w:rPr>
                <w:sz w:val="20"/>
                <w:szCs w:val="20"/>
                <w:color w:val="auto"/>
              </w:rPr>
            </w:pPr>
            <w:r>
              <w:rPr>
                <w:rFonts w:ascii="Arial" w:cs="Arial" w:eastAsia="Arial" w:hAnsi="Arial"/>
                <w:sz w:val="16"/>
                <w:szCs w:val="16"/>
                <w:color w:val="auto"/>
                <w:w w:val="99"/>
              </w:rPr>
              <w:t>73%</w:t>
            </w:r>
          </w:p>
        </w:tc>
      </w:tr>
      <w:tr>
        <w:trPr>
          <w:trHeight w:val="219"/>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63,969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47,698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33,692</w:t>
            </w:r>
          </w:p>
        </w:tc>
        <w:tc>
          <w:tcPr>
            <w:tcW w:w="1220" w:type="dxa"/>
            <w:vAlign w:val="bottom"/>
            <w:tcBorders>
              <w:bottom w:val="single" w:sz="8" w:color="CFF0FC"/>
            </w:tcBorders>
            <w:gridSpan w:val="2"/>
            <w:shd w:val="clear" w:color="auto" w:fill="CFF0FC"/>
          </w:tcPr>
          <w:p>
            <w:pPr>
              <w:jc w:val="center"/>
              <w:ind w:left="259"/>
              <w:spacing w:after="0"/>
              <w:rPr>
                <w:sz w:val="20"/>
                <w:szCs w:val="20"/>
                <w:color w:val="auto"/>
              </w:rPr>
            </w:pPr>
            <w:r>
              <w:rPr>
                <w:rFonts w:ascii="Arial" w:cs="Arial" w:eastAsia="Arial" w:hAnsi="Arial"/>
                <w:sz w:val="16"/>
                <w:szCs w:val="16"/>
                <w:color w:val="auto"/>
                <w:w w:val="99"/>
              </w:rPr>
              <w:t>34%</w:t>
            </w:r>
          </w:p>
        </w:tc>
        <w:tc>
          <w:tcPr>
            <w:tcW w:w="1620" w:type="dxa"/>
            <w:vAlign w:val="bottom"/>
            <w:tcBorders>
              <w:bottom w:val="single" w:sz="8" w:color="CFF0FC"/>
            </w:tcBorders>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9"/>
              </w:rPr>
              <w:t>42%</w:t>
            </w:r>
          </w:p>
        </w:tc>
      </w:tr>
      <w:tr>
        <w:trPr>
          <w:trHeight w:val="209"/>
        </w:trPr>
        <w:tc>
          <w:tcPr>
            <w:tcW w:w="4320" w:type="dxa"/>
            <w:vAlign w:val="bottom"/>
          </w:tcPr>
          <w:p>
            <w:pPr>
              <w:ind w:left="200"/>
              <w:spacing w:after="0"/>
              <w:rPr>
                <w:sz w:val="20"/>
                <w:szCs w:val="20"/>
                <w:color w:val="auto"/>
              </w:rPr>
            </w:pPr>
            <w:r>
              <w:rPr>
                <w:rFonts w:ascii="Arial" w:cs="Arial" w:eastAsia="Arial" w:hAnsi="Arial"/>
                <w:sz w:val="16"/>
                <w:szCs w:val="16"/>
                <w:color w:val="auto"/>
              </w:rPr>
              <w:t>Total costs and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180,578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150,847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120,794</w:t>
            </w:r>
          </w:p>
        </w:tc>
        <w:tc>
          <w:tcPr>
            <w:tcW w:w="1220" w:type="dxa"/>
            <w:vAlign w:val="bottom"/>
            <w:gridSpan w:val="2"/>
          </w:tcPr>
          <w:p>
            <w:pPr>
              <w:jc w:val="center"/>
              <w:ind w:left="259"/>
              <w:spacing w:after="0"/>
              <w:rPr>
                <w:sz w:val="20"/>
                <w:szCs w:val="20"/>
                <w:color w:val="auto"/>
              </w:rPr>
            </w:pPr>
            <w:r>
              <w:rPr>
                <w:rFonts w:ascii="Arial" w:cs="Arial" w:eastAsia="Arial" w:hAnsi="Arial"/>
                <w:sz w:val="16"/>
                <w:szCs w:val="16"/>
                <w:color w:val="auto"/>
                <w:w w:val="99"/>
              </w:rPr>
              <w:t>20%</w:t>
            </w:r>
          </w:p>
        </w:tc>
        <w:tc>
          <w:tcPr>
            <w:tcW w:w="1620" w:type="dxa"/>
            <w:vAlign w:val="bottom"/>
            <w:gridSpan w:val="3"/>
          </w:tcPr>
          <w:p>
            <w:pPr>
              <w:jc w:val="center"/>
              <w:ind w:left="261"/>
              <w:spacing w:after="0"/>
              <w:rPr>
                <w:sz w:val="20"/>
                <w:szCs w:val="20"/>
                <w:color w:val="auto"/>
              </w:rPr>
            </w:pPr>
            <w:r>
              <w:rPr>
                <w:rFonts w:ascii="Arial" w:cs="Arial" w:eastAsia="Arial" w:hAnsi="Arial"/>
                <w:sz w:val="16"/>
                <w:szCs w:val="16"/>
                <w:color w:val="auto"/>
                <w:w w:val="99"/>
              </w:rPr>
              <w:t>25%</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-170815</wp:posOffset>
            </wp:positionV>
            <wp:extent cx="939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8572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 in cost of revenue of 4%, or $2.1 million, in 2022 was primarily due to lower revenue levels but also improved contribution margins due to customer mix (non-population sequencing sales generally have higher contribution margins), partially offset by higher fixed laboratory costs and indirect supplies costs (enterprise and pharma customer orders require more supplies to process as compared to population sequencing orders).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decrease were a $12.2 million decrease in raw materials costs due to lower revenue levels plus higher contribution margins, partially offset by a $4.4 million increase in facilities costs and maintenance on lab equipment, a $3.5 million increase in labor costs due to increased headcount, and a $2.2 million increase in laboratory supplies and consumables.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increase in research and development expenses of 32%, or $15.6 million, in 2022 was primarily due to new product and service development, increased hiring to build our clinical offerings, and the cost of testing samples for clinical validation work.</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increase were a $7.5 million increase in personnel-related costs primarily related to increased headcount, a $4.1 million increase in sample processing costs incurred in our laboratory for new product development, a $3.0 million increase in IT and fixed facilities costs, and a $1.0 million increase in depreciation and maintenance on research and development equipment.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21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increase in selling, general and administrative expenses of 34%, or $16.3 million, in 2022 was primarily due to expansion of our commercial and clinical diagnostics teams in addition to one-time charges in connection with our former chief executive officer's retirement at the end of 2022.</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Specific components of the increase were a $9.6 million increase in personnel-related costs (primarily related to increased headcount but also a $2.0 million one-time charge for severance and equity modifications in connection with our former chief executive officer's retirement at the end of 2022), a $2.6 million increase in professional services (including audit fees and legal expenses), a $2.5 million increase in sales-related and travel expenses, and a $1.6 million increase in facilities costs driven by our new Fremont facility.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43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rPr>
              <w:t>2022 vs 2021</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 vs 2020</w:t>
            </w:r>
          </w:p>
        </w:tc>
      </w:tr>
      <w:tr>
        <w:trPr>
          <w:trHeight w:val="183"/>
        </w:trPr>
        <w:tc>
          <w:tcPr>
            <w:tcW w:w="4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760" w:type="dxa"/>
            <w:vAlign w:val="bottom"/>
            <w:shd w:val="clear" w:color="auto" w:fill="CFF0FC"/>
          </w:tcPr>
          <w:p>
            <w:pPr>
              <w:jc w:val="right"/>
              <w:ind w:right="58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94"/>
              </w:rPr>
              <w:t>2,396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949</w:t>
            </w:r>
          </w:p>
        </w:tc>
        <w:tc>
          <w:tcPr>
            <w:tcW w:w="120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553%</w:t>
            </w:r>
          </w:p>
        </w:tc>
        <w:tc>
          <w:tcPr>
            <w:tcW w:w="1600" w:type="dxa"/>
            <w:vAlign w:val="bottom"/>
            <w:gridSpan w:val="3"/>
            <w:shd w:val="clear" w:color="auto" w:fill="CFF0FC"/>
          </w:tcPr>
          <w:p>
            <w:pPr>
              <w:jc w:val="right"/>
              <w:ind w:right="344"/>
              <w:spacing w:after="0"/>
              <w:rPr>
                <w:sz w:val="20"/>
                <w:szCs w:val="20"/>
                <w:color w:val="auto"/>
              </w:rPr>
            </w:pPr>
            <w:r>
              <w:rPr>
                <w:rFonts w:ascii="Arial" w:cs="Arial" w:eastAsia="Arial" w:hAnsi="Arial"/>
                <w:sz w:val="16"/>
                <w:szCs w:val="16"/>
                <w:color w:val="auto"/>
              </w:rPr>
              <w:t>(61%)</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(201 )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c>
          <w:tcPr>
            <w:tcW w:w="1200" w:type="dxa"/>
            <w:vAlign w:val="bottom"/>
            <w:gridSpan w:val="2"/>
          </w:tcPr>
          <w:p>
            <w:pPr>
              <w:jc w:val="right"/>
              <w:ind w:right="244"/>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24"/>
              <w:spacing w:after="0"/>
              <w:rPr>
                <w:sz w:val="20"/>
                <w:szCs w:val="20"/>
                <w:color w:val="auto"/>
              </w:rPr>
            </w:pPr>
            <w:r>
              <w:rPr>
                <w:rFonts w:ascii="Arial" w:cs="Arial" w:eastAsia="Arial" w:hAnsi="Arial"/>
                <w:sz w:val="16"/>
                <w:szCs w:val="16"/>
                <w:color w:val="auto"/>
              </w:rPr>
              <w:t>NM</w:t>
            </w:r>
          </w:p>
        </w:tc>
      </w:tr>
      <w:tr>
        <w:trPr>
          <w:trHeight w:val="21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7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center"/>
              <w:ind w:left="124"/>
              <w:spacing w:after="0"/>
              <w:rPr>
                <w:sz w:val="20"/>
                <w:szCs w:val="20"/>
                <w:color w:val="auto"/>
              </w:rPr>
            </w:pPr>
            <w:r>
              <w:rPr>
                <w:rFonts w:ascii="Arial" w:cs="Arial" w:eastAsia="Arial" w:hAnsi="Arial"/>
                <w:sz w:val="16"/>
                <w:szCs w:val="16"/>
                <w:color w:val="auto"/>
                <w:w w:val="96"/>
              </w:rPr>
              <w:t>NM</w:t>
            </w:r>
          </w:p>
        </w:tc>
        <w:tc>
          <w:tcPr>
            <w:tcW w:w="1600" w:type="dxa"/>
            <w:vAlign w:val="bottom"/>
            <w:tcBorders>
              <w:bottom w:val="single" w:sz="8" w:color="CFF0FC"/>
            </w:tcBorders>
            <w:gridSpan w:val="3"/>
            <w:shd w:val="clear" w:color="auto" w:fill="CFF0FC"/>
          </w:tcPr>
          <w:p>
            <w:pPr>
              <w:jc w:val="right"/>
              <w:ind w:right="404"/>
              <w:spacing w:after="0"/>
              <w:rPr>
                <w:sz w:val="20"/>
                <w:szCs w:val="20"/>
                <w:color w:val="auto"/>
              </w:rPr>
            </w:pPr>
            <w:r>
              <w:rPr>
                <w:rFonts w:ascii="Arial" w:cs="Arial" w:eastAsia="Arial" w:hAnsi="Arial"/>
                <w:sz w:val="16"/>
                <w:szCs w:val="16"/>
                <w:color w:val="auto"/>
              </w:rPr>
              <w:t>75%</w:t>
            </w:r>
          </w:p>
        </w:tc>
      </w:tr>
      <w:tr>
        <w:trPr>
          <w:trHeight w:val="209"/>
        </w:trPr>
        <w:tc>
          <w:tcPr>
            <w:tcW w:w="4300" w:type="dxa"/>
            <w:vAlign w:val="bottom"/>
          </w:tcPr>
          <w:p>
            <w:pPr>
              <w:ind w:left="200"/>
              <w:spacing w:after="0"/>
              <w:rPr>
                <w:sz w:val="20"/>
                <w:szCs w:val="20"/>
                <w:color w:val="auto"/>
              </w:rPr>
            </w:pPr>
            <w:r>
              <w:rPr>
                <w:rFonts w:ascii="Arial" w:cs="Arial" w:eastAsia="Arial" w:hAnsi="Arial"/>
                <w:sz w:val="16"/>
                <w:szCs w:val="16"/>
                <w:color w:val="auto"/>
              </w:rPr>
              <w:t>Total</w:t>
            </w: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2,256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141</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-170815</wp:posOffset>
            </wp:positionV>
            <wp:extent cx="939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857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857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increase in interest income in 2022 was due to increased yields on our investments. Interest expense in 2022 and 2021 is the recognition of imputed interest on noninterest bearing loans.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(expense), net consisted mainly of foreign currency remeasurements.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selected financial information and cash flow information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167,658</w:t>
            </w:r>
          </w:p>
        </w:tc>
        <w:tc>
          <w:tcPr>
            <w:tcW w:w="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287,064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203,290</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61,935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19,650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11,834</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1,264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21,034</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166,568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286,918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180,083</w:t>
            </w:r>
          </w:p>
        </w:tc>
      </w:tr>
      <w:tr>
        <w:trPr>
          <w:trHeight w:val="384"/>
        </w:trPr>
        <w:tc>
          <w:tcPr>
            <w:tcW w:w="6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92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3"/>
        </w:trPr>
        <w:tc>
          <w:tcPr>
            <w:tcW w:w="66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(70,233 )</w:t>
            </w:r>
          </w:p>
        </w:tc>
        <w:tc>
          <w:tcPr>
            <w:tcW w:w="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(70,828 )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(42,653 )</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52,537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(60,069 )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(65,143 )</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1,366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169,700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121,268</w:t>
            </w:r>
          </w:p>
        </w:tc>
      </w:tr>
    </w:tbl>
    <w:p>
      <w:pPr>
        <w:spacing w:after="0" w:line="19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our inception through December 31, 2022,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financings. As of December 31, 2022, we had cash and cash equivalents in the amount of $89.1 million and short-term investments in the amount of $78.5 million.</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Annual Report on Form 10-K,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December 31, 2022, cash and cash equivalents held by foreign subsidiaries was $0.7 million. Our intent is to indefinitely reinvest funds held outside the United States and our current plans do not demonstrate a need to repatriate them to fund our domestic operations. However,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During 2022, cash used in operating activities of $70.2 million was a result of $113.3 million of net loss, partially reduced by non-cash expenses of $32.5 million (the most significant non-cash expenses were $19.4 million of stock-based compensation and $8.4 million of depreciation and amortization) and a net positive change in working capital of $10.6 million (primarily due to $13.2 million cash receipts in connection with our Fremont facility lease incentives and a $3.1 million increase in accounts payable, partially offset by a $3.0 million increase in inventory and a $2.7 million reduction in outstanding customer prepayments as we fulfilled the related revenue contracts).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2022, cash provided by investing activities was $52.5 million due to $102.4 million of net proceeds from short-term investments partially offset by $49.9 million in property and equipment purchases. Cash provided by financing activities of $1.4 million during the same period consisted of $2.5 million proceeds from stock option exercises and purchases under our ESPP and $1.2 million proceeds from noninterest bearing loans, partially offset by $2.3 million repayments of noninterest bearing loans.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$167.7 million as of December 31, 2022,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4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 in this area to increase in 2023 to support expected higher levels of revenue.</w:t>
      </w:r>
    </w:p>
    <w:p>
      <w:pPr>
        <w:spacing w:after="0" w:line="15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paying employees, spend on professional services, spend related to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projects, and other costs related to our research and development, selling, general and administrative functions. We currently expect to decrease our spend in these areas as a result of our first quarter 2023 workforce reduction. On a long-term basis, we manage future cash requirements relative to our long-term business plans.</w:t>
      </w:r>
    </w:p>
    <w:p>
      <w:pPr>
        <w:spacing w:after="0" w:line="14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decrease significantly after 2022 as we have substantially completed the one-time</w:t>
      </w:r>
      <w:r>
        <w:rPr>
          <w:rFonts w:ascii="Arial" w:cs="Arial" w:eastAsia="Arial" w:hAnsi="Arial"/>
          <w:sz w:val="16"/>
          <w:szCs w:val="16"/>
          <w:i w:val="1"/>
          <w:iCs w:val="1"/>
          <w:color w:val="auto"/>
        </w:rPr>
        <w:t xml:space="preserve"> </w:t>
      </w:r>
      <w:r>
        <w:rPr>
          <w:rFonts w:ascii="Arial" w:cs="Arial" w:eastAsia="Arial" w:hAnsi="Arial"/>
          <w:sz w:val="16"/>
          <w:szCs w:val="16"/>
          <w:color w:val="auto"/>
        </w:rPr>
        <w:t>build-out of our new headquarters and laboratory facility in Fremont, California as of the end of 2022. Going forward, our capital expenditures are expected to consist primarily of laboratory equipment and computer equipment. We currently expect capital expenditures to be between $4 million to $6 million in each of the years 2023, 2024, and 2025.</w:t>
      </w:r>
    </w:p>
    <w:p>
      <w:pPr>
        <w:spacing w:after="0" w:line="14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Property leases</w:t>
      </w:r>
      <w:r>
        <w:rPr>
          <w:rFonts w:ascii="Arial" w:cs="Arial" w:eastAsia="Arial" w:hAnsi="Arial"/>
          <w:sz w:val="16"/>
          <w:szCs w:val="16"/>
          <w:color w:val="auto"/>
        </w:rPr>
        <w:t>. Our noncancelable operating lease payments were $83.8 million as of December 31, 2022.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II, Item 8 of this Annual Report on Form 10-K in the Notes to Consolidated Financial Statements in Note 7, Leases.</w:t>
      </w:r>
    </w:p>
    <w:p>
      <w:pPr>
        <w:spacing w:after="0" w:line="13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As of December, 2022, we had three noninterest bearing loans to finance the purchase of $6.9 million of computer hardware, internal 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licenses, and related ongoing support. In connection with the loans, we made payments of $2.3 million in 2022. Remaining payments of $2.3 million and $0.4 million due in 2023 and 2024, respectively. Further discussion of these transactions can be found in Part I, Item 1 of this Annual Report on Form 10-K in the Notes to Consolidated Financial Statements in Note 6, Loans.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consolidated financial statements are prepared in accordance with U.S. GAAP. The preparation of our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consolidated financial statements. Therefore, we consider these to be our critical accounting policies and estimates.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generate our revenue from selling sequencing and data analysis services. We agree to provide services to our customers through a contract, which may be in the form of a combination of a signed agreement, statement of work and/or a purchase order.</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the significant majority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above a certain volume are purchased. In such cases, the discount applies prospectively. We have analyzed such discounts if they represent a material right provided to a customer. We have concluded that such discounts generally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except in limited instances. We do not offer retrospective discounts or rebates. Accordingly, all of the transaction price, net of any discounts, is allocated to one performance obligation. Therefore, upon delivery of the services, there are no remaining performance obligations.</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Contracts that contain multiple distinct performance obligations would require an allocation of the transaction price to each performance obligation based on a relative stand-alone selling price basis. Sometimes we deliver sequencing results in two or more batches; however, since the quantity delivered per batch of each individual test per sales order in these instances is in the same ratio as in the original sales order, allocating the transaction price on a relative stand-alone selling price basis would have no impact on the revenue recognized in any period presented.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recognize revenue when control of the promised services is transferred to our customers. Management has determined that customers obtain control when the sequencing and data analysis service results are delivered to customers. Revenue is recorded net of sales or other transaction taxes collected from clients and remitted to taxing authorities.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 customer contract liability will arise when we receive payments from a customer related to an executed contract in advance of our provision of sequencing and data analysis services to such customer. We record a customer contract liability for performance obligations outstanding related to payments received in advance for customer deposits. We expect to satisfy these remaining performance obligations and recognize the related revenue upon providing sequencing and data analysis services.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of our revenue and trade receivables are generated from contracts with customers.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Payment Terms</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Payment terms and conditions vary by contract and customer. Our standard payment terms are typically 90 days or less from the invoice date. In instances where the timing of our revenue recognition differs from the timing of its invoicing, we have determined that our contracts do not include a significant financing component. The primary purposes of our invoicing terms are to provide customers with simplified and predictable ways of purchasing our services and provide payment protection for us.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We determine the grant-date fair value of options using the Black-Scholes option-pricing model, except for certain performance-based awards for which an alternative valuation method may be used. We determine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our ESPP is deemed to be a compensatory plan and therefore is included in stock-based compensation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Estimating the fair value of equity-settled awards as of the grant date using valuation models, such as the Black-Scholes option-pricing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w:t>
      </w:r>
    </w:p>
    <w:p>
      <w:pPr>
        <w:spacing w:after="0" w:line="158" w:lineRule="exact"/>
        <w:rPr>
          <w:sz w:val="20"/>
          <w:szCs w:val="20"/>
          <w:color w:val="auto"/>
        </w:rPr>
      </w:pPr>
    </w:p>
    <w:p>
      <w:pPr>
        <w:jc w:val="both"/>
        <w:ind w:left="1140" w:hanging="383"/>
        <w:spacing w:after="0" w:line="253"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assumption represents the weighted-average period that the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have elected to use the “simplified method” for estimating the expected term of the options, which is an available method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45" w:lineRule="exact"/>
        <w:rPr>
          <w:rFonts w:ascii="Arial" w:cs="Arial" w:eastAsia="Arial" w:hAnsi="Arial"/>
          <w:sz w:val="16"/>
          <w:szCs w:val="16"/>
          <w:color w:val="auto"/>
        </w:rPr>
      </w:pPr>
    </w:p>
    <w:p>
      <w:pPr>
        <w:jc w:val="both"/>
        <w:ind w:left="1140" w:hanging="383"/>
        <w:spacing w:after="0" w:line="258"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—For all stock options granted to date, expected volatility was estimated based on an average historical stock price</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of a peer group of publicly traded companies as we did not have sufficient trading history for our own common stock. For purposes of identifying these peer companies, we considered the industry, stage of development, size, and financial leverage of potential comparable companies.</w:t>
      </w:r>
    </w:p>
    <w:p>
      <w:pPr>
        <w:spacing w:after="0" w:line="140" w:lineRule="exact"/>
        <w:rPr>
          <w:rFonts w:ascii="Arial" w:cs="Arial" w:eastAsia="Arial" w:hAnsi="Arial"/>
          <w:sz w:val="16"/>
          <w:szCs w:val="16"/>
          <w:color w:val="auto"/>
        </w:rPr>
      </w:pPr>
    </w:p>
    <w:p>
      <w:pPr>
        <w:ind w:left="1140" w:hanging="383"/>
        <w:spacing w:after="0" w:line="281"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Black-Scholes option-pricing valuation model calls for a single expected dividend yield as an input.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have no history or expectation of paying cash dividends on our common stock.</w:t>
      </w:r>
    </w:p>
    <w:p>
      <w:pPr>
        <w:spacing w:after="0" w:line="136" w:lineRule="exact"/>
        <w:rPr>
          <w:rFonts w:ascii="Arial" w:cs="Arial" w:eastAsia="Arial" w:hAnsi="Arial"/>
          <w:sz w:val="16"/>
          <w:szCs w:val="16"/>
          <w:color w:val="auto"/>
        </w:rPr>
      </w:pPr>
    </w:p>
    <w:p>
      <w:pPr>
        <w:ind w:left="1140" w:hanging="383"/>
        <w:spacing w:after="0" w:line="281"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yield available on U.S. Treasury zero-coupon issues similar in duration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award.</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Incremental Borrowing Rate</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(the incremental borrowing rate), unless the rate implicit in the lease is readily determinable.</w:t>
      </w:r>
    </w:p>
    <w:p>
      <w:pPr>
        <w:spacing w:after="0" w:line="17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August 2021, we entered into a 13.5-year lease for our new corporate headquarters in Fremont, California. We estimated our incremental borrowing rate as the rate implicit in the lease was not readily determinable. To determine the incremental borrowing rate, we estimated our credit rating by comparing certain financial ratios and metrics of the Company to those of other issuers with publicly-available credit ratings from Standard &amp; Poor’s (S&amp;P). We then adjusted yields from publicly traded corporate bonds of companies of similar size and credit rating over a term approximating the term of our lease for the nature of the collateral. Our concluded incremental borrowing rate for this lease was 5.8%, which resulted in a lease liability and right-of-use asset of $44.7 million.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September 2022, the lease commencement date for our new facility in Fremont, California was delayed from the original intended date due to delays in the completion of the work necessary for the Company to move into the facility, which resulted in a reassessment of the lease term and consequently a remeasurement of the lease liability and corresponding adjustment to the carrying amount of the right-of-use asset based on the updated incremental borrowing rate. We estimated our incremental borrowing rate by using the same method described above and concluded that the incremental borrowing rate for the remeasured lease was 10.5%. The lease reassessment resulted in a $12.9 million reduction to right-of-use assets in 2022. The increase in our estimated borrowing rate between August 2021 and September 2022 mostly reflects the higher interest rate environment in 2022 as compared to 2021.</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consolidated financial statements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159"/>
        </w:trPr>
        <w:tc>
          <w:tcPr>
            <w:tcW w:w="20" w:type="dxa"/>
            <w:vAlign w:val="bottom"/>
            <w:shd w:val="clear" w:color="auto" w:fill="CFF0FC"/>
          </w:tcPr>
          <w:p>
            <w:pPr>
              <w:spacing w:after="0"/>
              <w:rPr>
                <w:sz w:val="13"/>
                <w:szCs w:val="13"/>
                <w:color w:val="auto"/>
              </w:rPr>
            </w:pPr>
          </w:p>
        </w:tc>
        <w:tc>
          <w:tcPr>
            <w:tcW w:w="4580" w:type="dxa"/>
            <w:vAlign w:val="bottom"/>
            <w:gridSpan w:val="20"/>
            <w:shd w:val="clear" w:color="auto" w:fill="CFF0FC"/>
          </w:tcPr>
          <w:p>
            <w:pPr>
              <w:spacing w:after="0" w:line="158" w:lineRule="exact"/>
              <w:rPr>
                <w:sz w:val="20"/>
                <w:szCs w:val="20"/>
                <w:color w:val="auto"/>
              </w:rPr>
            </w:pPr>
            <w:r>
              <w:rPr>
                <w:rFonts w:ascii="Arial" w:cs="Arial" w:eastAsia="Arial" w:hAnsi="Arial"/>
                <w:sz w:val="16"/>
                <w:szCs w:val="16"/>
                <w:color w:val="0000FF"/>
              </w:rPr>
              <w:t>Consolidated Balance Sheets</w:t>
            </w:r>
          </w:p>
        </w:tc>
        <w:tc>
          <w:tcPr>
            <w:tcW w:w="6640" w:type="dxa"/>
            <w:vAlign w:val="bottom"/>
            <w:gridSpan w:val="2"/>
            <w:shd w:val="clear" w:color="auto" w:fill="CFF0FC"/>
          </w:tcPr>
          <w:p>
            <w:pPr>
              <w:jc w:val="center"/>
              <w:ind w:left="5619"/>
              <w:spacing w:after="0" w:line="158" w:lineRule="exact"/>
              <w:rPr>
                <w:sz w:val="20"/>
                <w:szCs w:val="20"/>
                <w:color w:val="auto"/>
              </w:rPr>
            </w:pPr>
            <w:r>
              <w:rPr>
                <w:rFonts w:ascii="Arial" w:cs="Arial" w:eastAsia="Arial" w:hAnsi="Arial"/>
                <w:sz w:val="16"/>
                <w:szCs w:val="16"/>
                <w:color w:val="auto"/>
              </w:rPr>
              <w:t>73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gridSpan w:val="20"/>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74</w:t>
            </w: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3560" w:type="dxa"/>
            <w:vAlign w:val="bottom"/>
            <w:tcBorders>
              <w:bottom w:val="single" w:sz="8" w:color="0000FF"/>
            </w:tcBorders>
            <w:gridSpan w:val="16"/>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1020" w:type="dxa"/>
            <w:vAlign w:val="bottom"/>
            <w:tcBorders>
              <w:bottom w:val="single" w:sz="8" w:color="CFF0FC"/>
            </w:tcBorders>
            <w:gridSpan w:val="4"/>
            <w:shd w:val="clear" w:color="auto" w:fill="CFF0FC"/>
          </w:tcPr>
          <w:p>
            <w:pPr>
              <w:spacing w:after="0"/>
              <w:rPr>
                <w:sz w:val="15"/>
                <w:szCs w:val="15"/>
                <w:color w:val="auto"/>
              </w:rPr>
            </w:pPr>
          </w:p>
        </w:tc>
        <w:tc>
          <w:tcPr>
            <w:tcW w:w="6640" w:type="dxa"/>
            <w:vAlign w:val="bottom"/>
            <w:tcBorders>
              <w:bottom w:val="single" w:sz="8" w:color="CFF0FC"/>
            </w:tcBorders>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75</w:t>
            </w:r>
          </w:p>
        </w:tc>
      </w:tr>
      <w:tr>
        <w:trPr>
          <w:trHeight w:val="162"/>
        </w:trPr>
        <w:tc>
          <w:tcPr>
            <w:tcW w:w="460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76</w:t>
            </w: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460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Consolidated Statements of Cash Flows</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77</w:t>
            </w:r>
          </w:p>
        </w:tc>
      </w:tr>
      <w:tr>
        <w:trPr>
          <w:trHeight w:val="203"/>
        </w:trPr>
        <w:tc>
          <w:tcPr>
            <w:tcW w:w="20" w:type="dxa"/>
            <w:vAlign w:val="bottom"/>
            <w:tcBorders>
              <w:top w:val="single" w:sz="8" w:color="CFF0FC"/>
            </w:tcBorders>
          </w:tcPr>
          <w:p>
            <w:pPr>
              <w:spacing w:after="0"/>
              <w:rPr>
                <w:sz w:val="17"/>
                <w:szCs w:val="17"/>
                <w:color w:val="auto"/>
              </w:rPr>
            </w:pPr>
          </w:p>
        </w:tc>
        <w:tc>
          <w:tcPr>
            <w:tcW w:w="1160" w:type="dxa"/>
            <w:vAlign w:val="bottom"/>
            <w:tcBorders>
              <w:top w:val="single" w:sz="8" w:color="0000FF"/>
            </w:tcBorders>
            <w:gridSpan w:val="2"/>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57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r>
      <w:tr>
        <w:trPr>
          <w:trHeight w:val="203"/>
        </w:trPr>
        <w:tc>
          <w:tcPr>
            <w:tcW w:w="4600" w:type="dxa"/>
            <w:vAlign w:val="bottom"/>
            <w:gridSpan w:val="21"/>
            <w:shd w:val="clear" w:color="auto" w:fill="CFF0FC"/>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5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1.</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Company and Nature of Business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78</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2.</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78</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3.</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Revenue</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83</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4.</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Balance Sheet Details</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84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5.</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Fair Value Measurements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84</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6.</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Loans</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85</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7.</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Leases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85</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8.</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Stock-Based Compensation</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87</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9.</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Commitments and Contingencies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90</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10.</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91</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11.</w:t>
            </w:r>
          </w:p>
        </w:tc>
        <w:tc>
          <w:tcPr>
            <w:tcW w:w="3520" w:type="dxa"/>
            <w:vAlign w:val="bottom"/>
            <w:gridSpan w:val="19"/>
          </w:tcPr>
          <w:p>
            <w:pPr>
              <w:ind w:left="100"/>
              <w:spacing w:after="0" w:line="162" w:lineRule="exact"/>
              <w:rPr>
                <w:sz w:val="20"/>
                <w:szCs w:val="20"/>
                <w:color w:val="auto"/>
              </w:rPr>
            </w:pPr>
            <w:r>
              <w:rPr>
                <w:rFonts w:ascii="Arial" w:cs="Arial" w:eastAsia="Arial" w:hAnsi="Arial"/>
                <w:sz w:val="16"/>
                <w:szCs w:val="16"/>
                <w:color w:val="0000FF"/>
              </w:rPr>
              <w:t>Income Taxes</w:t>
            </w:r>
          </w:p>
        </w:tc>
        <w:tc>
          <w:tcPr>
            <w:tcW w:w="6640" w:type="dxa"/>
            <w:vAlign w:val="bottom"/>
            <w:gridSpan w:val="2"/>
          </w:tcPr>
          <w:p>
            <w:pPr>
              <w:jc w:val="center"/>
              <w:ind w:left="5619"/>
              <w:spacing w:after="0" w:line="162" w:lineRule="exact"/>
              <w:rPr>
                <w:sz w:val="20"/>
                <w:szCs w:val="20"/>
                <w:color w:val="auto"/>
              </w:rPr>
            </w:pPr>
            <w:r>
              <w:rPr>
                <w:rFonts w:ascii="Arial" w:cs="Arial" w:eastAsia="Arial" w:hAnsi="Arial"/>
                <w:sz w:val="16"/>
                <w:szCs w:val="16"/>
                <w:color w:val="auto"/>
              </w:rPr>
              <w:t>92</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12.</w:t>
            </w:r>
          </w:p>
        </w:tc>
        <w:tc>
          <w:tcPr>
            <w:tcW w:w="3520" w:type="dxa"/>
            <w:vAlign w:val="bottom"/>
            <w:gridSpan w:val="19"/>
            <w:shd w:val="clear" w:color="auto" w:fill="CFF0FC"/>
          </w:tcPr>
          <w:p>
            <w:pPr>
              <w:ind w:left="100"/>
              <w:spacing w:after="0" w:line="162" w:lineRule="exact"/>
              <w:rPr>
                <w:sz w:val="20"/>
                <w:szCs w:val="20"/>
                <w:color w:val="auto"/>
              </w:rPr>
            </w:pPr>
            <w:r>
              <w:rPr>
                <w:rFonts w:ascii="Arial" w:cs="Arial" w:eastAsia="Arial" w:hAnsi="Arial"/>
                <w:sz w:val="16"/>
                <w:szCs w:val="16"/>
                <w:color w:val="0000FF"/>
              </w:rPr>
              <w:t>Subsequent Events</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94</w:t>
            </w:r>
          </w:p>
        </w:tc>
      </w:tr>
      <w:tr>
        <w:trPr>
          <w:trHeight w:val="203"/>
        </w:trPr>
        <w:tc>
          <w:tcPr>
            <w:tcW w:w="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6640" w:type="dxa"/>
            <w:vAlign w:val="bottom"/>
            <w:tcBorders>
              <w:top w:val="single" w:sz="8" w:color="CFF0FC"/>
            </w:tcBorders>
            <w:gridSpan w:val="2"/>
          </w:tcPr>
          <w:p>
            <w:pPr>
              <w:spacing w:after="0"/>
              <w:rPr>
                <w:sz w:val="17"/>
                <w:szCs w:val="17"/>
                <w:color w:val="auto"/>
              </w:rPr>
            </w:pPr>
          </w:p>
        </w:tc>
      </w:tr>
      <w:tr>
        <w:trPr>
          <w:trHeight w:val="183"/>
        </w:trPr>
        <w:tc>
          <w:tcPr>
            <w:tcW w:w="460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Report of Independent Registered Public Accounting Firm</w:t>
            </w:r>
          </w:p>
        </w:tc>
        <w:tc>
          <w:tcPr>
            <w:tcW w:w="6640" w:type="dxa"/>
            <w:vAlign w:val="bottom"/>
            <w:gridSpan w:val="2"/>
            <w:shd w:val="clear" w:color="auto" w:fill="CFF0FC"/>
          </w:tcPr>
          <w:p>
            <w:pPr>
              <w:jc w:val="center"/>
              <w:ind w:left="5619"/>
              <w:spacing w:after="0" w:line="162" w:lineRule="exact"/>
              <w:rPr>
                <w:sz w:val="20"/>
                <w:szCs w:val="20"/>
                <w:color w:val="auto"/>
              </w:rPr>
            </w:pPr>
            <w:r>
              <w:rPr>
                <w:rFonts w:ascii="Arial" w:cs="Arial" w:eastAsia="Arial" w:hAnsi="Arial"/>
                <w:sz w:val="16"/>
                <w:szCs w:val="16"/>
                <w:color w:val="auto"/>
              </w:rPr>
              <w:t>95</w:t>
            </w:r>
          </w:p>
        </w:tc>
      </w:tr>
      <w:tr>
        <w:trPr>
          <w:trHeight w:val="628"/>
        </w:trPr>
        <w:tc>
          <w:tcPr>
            <w:tcW w:w="20" w:type="dxa"/>
            <w:vAlign w:val="bottom"/>
            <w:tcBorders>
              <w:top w:val="single" w:sz="8" w:color="CFF0FC"/>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700" w:type="dxa"/>
            <w:vAlign w:val="bottom"/>
            <w:tcBorders>
              <w:top w:val="single" w:sz="8" w:color="CFF0FC"/>
            </w:tcBorders>
          </w:tcPr>
          <w:p>
            <w:pPr>
              <w:jc w:val="right"/>
              <w:ind w:right="4499"/>
              <w:spacing w:after="0"/>
              <w:rPr>
                <w:sz w:val="20"/>
                <w:szCs w:val="20"/>
                <w:color w:val="auto"/>
              </w:rPr>
            </w:pPr>
            <w:r>
              <w:rPr>
                <w:rFonts w:ascii="Arial" w:cs="Arial" w:eastAsia="Arial" w:hAnsi="Arial"/>
                <w:sz w:val="16"/>
                <w:szCs w:val="16"/>
                <w:color w:val="auto"/>
              </w:rPr>
              <w:t>72</w:t>
            </w:r>
          </w:p>
        </w:tc>
        <w:tc>
          <w:tcPr>
            <w:tcW w:w="940" w:type="dxa"/>
            <w:vAlign w:val="bottom"/>
            <w:tcBorders>
              <w:top w:val="single" w:sz="8" w:color="CFF0FC"/>
            </w:tcBorders>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7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89,128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105,585</w:t>
            </w:r>
          </w:p>
        </w:tc>
      </w:tr>
      <w:tr>
        <w:trPr>
          <w:trHeight w:val="213"/>
        </w:trPr>
        <w:tc>
          <w:tcPr>
            <w:tcW w:w="768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78,530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181,479</w:t>
            </w:r>
          </w:p>
        </w:tc>
      </w:tr>
      <w:tr>
        <w:trPr>
          <w:trHeight w:val="21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18,468</w:t>
            </w:r>
          </w:p>
        </w:tc>
      </w:tr>
      <w:tr>
        <w:trPr>
          <w:trHeight w:val="213"/>
        </w:trPr>
        <w:tc>
          <w:tcPr>
            <w:tcW w:w="7680" w:type="dxa"/>
            <w:vAlign w:val="bottom"/>
          </w:tcPr>
          <w:p>
            <w:pPr>
              <w:ind w:left="200"/>
              <w:spacing w:after="0"/>
              <w:rPr>
                <w:sz w:val="20"/>
                <w:szCs w:val="20"/>
                <w:color w:val="auto"/>
              </w:rPr>
            </w:pPr>
            <w:r>
              <w:rPr>
                <w:rFonts w:ascii="Arial" w:cs="Arial" w:eastAsia="Arial" w:hAnsi="Arial"/>
                <w:sz w:val="16"/>
                <w:szCs w:val="16"/>
                <w:color w:val="auto"/>
              </w:rPr>
              <w:t>Inventory and other deferred costs</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5,610</w:t>
            </w:r>
          </w:p>
        </w:tc>
      </w:tr>
      <w:tr>
        <w:trPr>
          <w:trHeight w:val="21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6,808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7,089</w:t>
            </w:r>
          </w:p>
        </w:tc>
      </w:tr>
      <w:tr>
        <w:trPr>
          <w:trHeight w:val="207"/>
        </w:trPr>
        <w:tc>
          <w:tcPr>
            <w:tcW w:w="768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199,699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318,231</w:t>
            </w: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61,935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19,650</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26,480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53,822</w:t>
            </w:r>
          </w:p>
        </w:tc>
      </w:tr>
      <w:tr>
        <w:trPr>
          <w:trHeight w:val="21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4,586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4,825</w:t>
            </w:r>
          </w:p>
        </w:tc>
      </w:tr>
      <w:tr>
        <w:trPr>
          <w:trHeight w:val="209"/>
        </w:trPr>
        <w:tc>
          <w:tcPr>
            <w:tcW w:w="768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292,700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396,528</w:t>
            </w: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12,854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9,221</w:t>
            </w:r>
          </w:p>
        </w:tc>
      </w:tr>
      <w:tr>
        <w:trPr>
          <w:trHeight w:val="213"/>
        </w:trPr>
        <w:tc>
          <w:tcPr>
            <w:tcW w:w="768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18,110</w:t>
            </w:r>
          </w:p>
        </w:tc>
      </w:tr>
      <w:tr>
        <w:trPr>
          <w:trHeight w:val="21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3,982</w:t>
            </w:r>
          </w:p>
        </w:tc>
      </w:tr>
      <w:tr>
        <w:trPr>
          <w:trHeight w:val="207"/>
        </w:trPr>
        <w:tc>
          <w:tcPr>
            <w:tcW w:w="768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33,131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31,313</w:t>
            </w: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52,797</w:t>
            </w: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2,117</w:t>
            </w:r>
          </w:p>
        </w:tc>
      </w:tr>
      <w:tr>
        <w:trPr>
          <w:trHeight w:val="209"/>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74,561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86,227</w:t>
            </w: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13"/>
        </w:trPr>
        <w:tc>
          <w:tcPr>
            <w:tcW w:w="768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46,707,084 and</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1"/>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44,904,512 shares issued and outstanding at December 31, 2022 and 2021, respectively</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13"/>
        </w:trPr>
        <w:tc>
          <w:tcPr>
            <w:tcW w:w="76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579,456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557,558</w:t>
            </w:r>
          </w:p>
        </w:tc>
      </w:tr>
      <w:tr>
        <w:trPr>
          <w:trHeight w:val="21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(166 )</w:t>
            </w:r>
          </w:p>
        </w:tc>
      </w:tr>
      <w:tr>
        <w:trPr>
          <w:trHeight w:val="216"/>
        </w:trPr>
        <w:tc>
          <w:tcPr>
            <w:tcW w:w="768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(360,410 )</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(247,095 )</w:t>
            </w:r>
          </w:p>
        </w:tc>
      </w:tr>
      <w:tr>
        <w:trPr>
          <w:trHeight w:val="209"/>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218,139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310,301</w:t>
            </w:r>
          </w:p>
        </w:tc>
      </w:tr>
      <w:tr>
        <w:trPr>
          <w:trHeight w:val="210"/>
        </w:trPr>
        <w:tc>
          <w:tcPr>
            <w:tcW w:w="768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292,700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396,528</w:t>
            </w: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-3385185</wp:posOffset>
            </wp:positionV>
            <wp:extent cx="111125"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-2828290</wp:posOffset>
            </wp:positionV>
            <wp:extent cx="11112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-1971040</wp:posOffset>
            </wp:positionV>
            <wp:extent cx="111125"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-1405255</wp:posOffset>
            </wp:positionV>
            <wp:extent cx="111125"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65,047</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85,494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78,648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51,697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53,837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58,534</w:t>
            </w: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64,912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49,312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28,568</w:t>
            </w:r>
          </w:p>
        </w:tc>
      </w:tr>
      <w:tr>
        <w:trPr>
          <w:trHeight w:val="219"/>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63,969</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47,698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33,692</w:t>
            </w:r>
          </w:p>
        </w:tc>
      </w:tr>
      <w:tr>
        <w:trPr>
          <w:trHeight w:val="209"/>
        </w:trPr>
        <w:tc>
          <w:tcPr>
            <w:tcW w:w="664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180,578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150,847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120,794</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(115,531 )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(42,146 )</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2,396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949</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(65,212 )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(41,223 )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r>
      <w:tr>
        <w:trPr>
          <w:trHeight w:val="249"/>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(41,280 )</w:t>
            </w:r>
          </w:p>
        </w:tc>
      </w:tr>
      <w:tr>
        <w:trPr>
          <w:trHeight w:val="197"/>
        </w:trPr>
        <w:tc>
          <w:tcPr>
            <w:tcW w:w="664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(2.48 )</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(1.49 )</w:t>
            </w:r>
          </w:p>
        </w:tc>
        <w:tc>
          <w:tcPr>
            <w:tcW w:w="1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45,704,805</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43,886,730</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34,374,903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-1482090</wp:posOffset>
            </wp:positionV>
            <wp:extent cx="10287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-1482090</wp:posOffset>
            </wp:positionV>
            <wp:extent cx="9398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-350520</wp:posOffset>
            </wp:positionV>
            <wp:extent cx="108839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88390"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(41,280 )</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r>
      <w:tr>
        <w:trPr>
          <w:trHeight w:val="216"/>
        </w:trPr>
        <w:tc>
          <w:tcPr>
            <w:tcW w:w="6640" w:type="dxa"/>
            <w:vAlign w:val="bottom"/>
          </w:tcPr>
          <w:p>
            <w:pPr>
              <w:ind w:left="20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(114,061 )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(65,414 )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102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60"/>
              <w:spacing w:after="0"/>
              <w:rPr>
                <w:sz w:val="20"/>
                <w:szCs w:val="20"/>
                <w:color w:val="auto"/>
              </w:rPr>
            </w:pPr>
            <w:r>
              <w:rPr>
                <w:rFonts w:ascii="Arial" w:cs="Arial" w:eastAsia="Arial" w:hAnsi="Arial"/>
                <w:sz w:val="14"/>
                <w:szCs w:val="14"/>
                <w:b w:val="1"/>
                <w:bCs w:val="1"/>
                <w:color w:val="auto"/>
              </w:rPr>
              <w:t>d</w:t>
            </w: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860" w:type="dxa"/>
            <w:vAlign w:val="bottom"/>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060" w:type="dxa"/>
            <w:vAlign w:val="bottom"/>
          </w:tcPr>
          <w:p>
            <w:pPr>
              <w:spacing w:after="0"/>
              <w:rPr>
                <w:sz w:val="16"/>
                <w:szCs w:val="16"/>
                <w:color w:val="auto"/>
              </w:rPr>
            </w:pPr>
          </w:p>
        </w:tc>
        <w:tc>
          <w:tcPr>
            <w:tcW w:w="8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940" w:type="dxa"/>
            <w:vAlign w:val="bottom"/>
            <w:gridSpan w:val="4"/>
            <w:vMerge w:val="restart"/>
          </w:tcPr>
          <w:p>
            <w:pPr>
              <w:jc w:val="right"/>
              <w:ind w:right="41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w:t>
            </w:r>
          </w:p>
        </w:tc>
        <w:tc>
          <w:tcPr>
            <w:tcW w:w="1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Accumulat  Stockholde</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1940" w:type="dxa"/>
            <w:vAlign w:val="bottom"/>
            <w:tcBorders>
              <w:bottom w:val="single" w:sz="8" w:color="auto"/>
            </w:tcBorders>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6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860" w:type="dxa"/>
            <w:vAlign w:val="bottom"/>
          </w:tcPr>
          <w:p>
            <w:pPr>
              <w:jc w:val="center"/>
              <w:ind w:right="140"/>
              <w:spacing w:after="0"/>
              <w:rPr>
                <w:sz w:val="20"/>
                <w:szCs w:val="20"/>
                <w:color w:val="auto"/>
              </w:rPr>
            </w:pPr>
            <w:r>
              <w:rPr>
                <w:rFonts w:ascii="Arial" w:cs="Arial" w:eastAsia="Arial" w:hAnsi="Arial"/>
                <w:sz w:val="14"/>
                <w:szCs w:val="14"/>
                <w:b w:val="1"/>
                <w:bCs w:val="1"/>
                <w:color w:val="auto"/>
              </w:rPr>
              <w:t>sive</w:t>
            </w:r>
          </w:p>
        </w:tc>
        <w:tc>
          <w:tcPr>
            <w:tcW w:w="1060" w:type="dxa"/>
            <w:vAlign w:val="bottom"/>
          </w:tcPr>
          <w:p>
            <w:pPr>
              <w:jc w:val="right"/>
              <w:ind w:right="480"/>
              <w:spacing w:after="0"/>
              <w:rPr>
                <w:sz w:val="20"/>
                <w:szCs w:val="20"/>
                <w:color w:val="auto"/>
              </w:rPr>
            </w:pPr>
            <w:r>
              <w:rPr>
                <w:rFonts w:ascii="Arial" w:cs="Arial" w:eastAsia="Arial" w:hAnsi="Arial"/>
                <w:sz w:val="14"/>
                <w:szCs w:val="14"/>
                <w:b w:val="1"/>
                <w:bCs w:val="1"/>
                <w:color w:val="auto"/>
              </w:rPr>
              <w:t>ed</w:t>
            </w:r>
          </w:p>
        </w:tc>
        <w:tc>
          <w:tcPr>
            <w:tcW w:w="80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rs'</w:t>
            </w: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Income</w:t>
            </w: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9"/>
              </w:rPr>
              <w:t>(Loss)</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5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31,243,02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2019</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247,282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(6 ) $ (140,589 ) $</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106,690</w:t>
            </w:r>
          </w:p>
        </w:tc>
        <w:tc>
          <w:tcPr>
            <w:tcW w:w="0" w:type="dxa"/>
            <w:vAlign w:val="bottom"/>
          </w:tcPr>
          <w:p>
            <w:pPr>
              <w:spacing w:after="0"/>
              <w:rPr>
                <w:sz w:val="1"/>
                <w:szCs w:val="1"/>
                <w:color w:val="auto"/>
              </w:rPr>
            </w:pPr>
          </w:p>
        </w:tc>
      </w:tr>
      <w:tr>
        <w:trPr>
          <w:trHeight w:val="207"/>
        </w:trPr>
        <w:tc>
          <w:tcPr>
            <w:tcW w:w="54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Proceeds from follow-on offering, net of offering costs</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6,578,947</w:t>
            </w: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117,064</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117,065</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Exercise of common stock warrants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79,772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908,691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2,789</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2,789</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ESPP purchases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164,164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130,945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8,238</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(41,280 )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(41,280 )</w:t>
            </w:r>
          </w:p>
        </w:tc>
        <w:tc>
          <w:tcPr>
            <w:tcW w:w="0" w:type="dxa"/>
            <w:vAlign w:val="bottom"/>
          </w:tcPr>
          <w:p>
            <w:pPr>
              <w:spacing w:after="0"/>
              <w:rPr>
                <w:sz w:val="1"/>
                <w:szCs w:val="1"/>
                <w:color w:val="auto"/>
              </w:rPr>
            </w:pPr>
          </w:p>
        </w:tc>
      </w:tr>
      <w:tr>
        <w:trPr>
          <w:trHeight w:val="198"/>
        </w:trPr>
        <w:tc>
          <w:tcPr>
            <w:tcW w:w="5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39,105,54</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376,788</w:t>
            </w: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060" w:type="dxa"/>
            <w:vAlign w:val="bottom"/>
            <w:tcBorders>
              <w:bottom w:val="single" w:sz="8" w:color="auto"/>
            </w:tcBorders>
            <w:shd w:val="clear" w:color="auto" w:fill="CFF0FC"/>
          </w:tcPr>
          <w:p>
            <w:pPr>
              <w:jc w:val="right"/>
              <w:ind w:right="100"/>
              <w:spacing w:after="0"/>
              <w:rPr>
                <w:sz w:val="20"/>
                <w:szCs w:val="20"/>
                <w:color w:val="auto"/>
              </w:rPr>
            </w:pPr>
            <w:r>
              <w:rPr>
                <w:rFonts w:ascii="Arial" w:cs="Arial" w:eastAsia="Arial" w:hAnsi="Arial"/>
                <w:sz w:val="16"/>
                <w:szCs w:val="16"/>
                <w:color w:val="auto"/>
              </w:rPr>
              <w:t>(181,869 )</w:t>
            </w: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c>
          <w:tcPr>
            <w:tcW w:w="0" w:type="dxa"/>
            <w:vAlign w:val="bottom"/>
          </w:tcPr>
          <w:p>
            <w:pPr>
              <w:spacing w:after="0"/>
              <w:rPr>
                <w:sz w:val="1"/>
                <w:szCs w:val="1"/>
                <w:color w:val="auto"/>
              </w:rPr>
            </w:pPr>
          </w:p>
        </w:tc>
      </w:tr>
      <w:tr>
        <w:trPr>
          <w:trHeight w:val="207"/>
        </w:trPr>
        <w:tc>
          <w:tcPr>
            <w:tcW w:w="5480" w:type="dxa"/>
            <w:vAlign w:val="bottom"/>
          </w:tcPr>
          <w:p>
            <w:pPr>
              <w:ind w:left="380"/>
              <w:spacing w:after="0"/>
              <w:rPr>
                <w:sz w:val="20"/>
                <w:szCs w:val="20"/>
                <w:color w:val="auto"/>
              </w:rPr>
            </w:pPr>
            <w:r>
              <w:rPr>
                <w:rFonts w:ascii="Arial" w:cs="Arial" w:eastAsia="Arial" w:hAnsi="Arial"/>
                <w:sz w:val="16"/>
                <w:szCs w:val="16"/>
                <w:color w:val="auto"/>
              </w:rPr>
              <w:t>Proceeds from follow-on offering, net of offering costs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4,542,500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161,916</w:t>
            </w:r>
          </w:p>
        </w:tc>
        <w:tc>
          <w:tcPr>
            <w:tcW w:w="18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161,916</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862,056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Proceeds from ESPP purchases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128,289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2,380</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266,119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14,378</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14,378</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(237 )</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00"/>
              <w:spacing w:after="0"/>
              <w:rPr>
                <w:sz w:val="20"/>
                <w:szCs w:val="20"/>
                <w:color w:val="auto"/>
              </w:rPr>
            </w:pPr>
            <w:r>
              <w:rPr>
                <w:rFonts w:ascii="Arial" w:cs="Arial" w:eastAsia="Arial" w:hAnsi="Arial"/>
                <w:sz w:val="16"/>
                <w:szCs w:val="16"/>
                <w:color w:val="auto"/>
              </w:rPr>
              <w:t>(65,226 )</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44,904,51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6"/>
                <w:szCs w:val="16"/>
                <w:color w:val="auto"/>
              </w:rPr>
              <w:t>Balance—December 31, 2021</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557,558</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(166 )</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(247,095 )</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310,301</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488,187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Proceeds from ESPP purchases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416,514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897,871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19,433</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19,433</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106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13"/>
        </w:trPr>
        <w:tc>
          <w:tcPr>
            <w:tcW w:w="5480" w:type="dxa"/>
            <w:vAlign w:val="bottom"/>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(469 )</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00"/>
              <w:spacing w:after="0"/>
              <w:rPr>
                <w:sz w:val="20"/>
                <w:szCs w:val="20"/>
                <w:color w:val="auto"/>
              </w:rPr>
            </w:pPr>
            <w:r>
              <w:rPr>
                <w:rFonts w:ascii="Arial" w:cs="Arial" w:eastAsia="Arial" w:hAnsi="Arial"/>
                <w:sz w:val="16"/>
                <w:szCs w:val="16"/>
                <w:color w:val="auto"/>
              </w:rPr>
              <w:t>(113,315 )</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46,707,08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6"/>
                <w:szCs w:val="16"/>
                <w:color w:val="auto"/>
              </w:rPr>
              <w:t>Balance—December 31, 2022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579,456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(912 ) $ (360,410 ) $</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218,139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-4139565</wp:posOffset>
            </wp:positionV>
            <wp:extent cx="889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-4139565</wp:posOffset>
            </wp:positionV>
            <wp:extent cx="889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-2631440</wp:posOffset>
            </wp:positionV>
            <wp:extent cx="889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460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-2631440</wp:posOffset>
            </wp:positionV>
            <wp:extent cx="889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460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-1525270</wp:posOffset>
            </wp:positionV>
            <wp:extent cx="889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-1525270</wp:posOffset>
            </wp:positionV>
            <wp:extent cx="889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-290830</wp:posOffset>
            </wp:positionV>
            <wp:extent cx="8890" cy="291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-290830</wp:posOffset>
            </wp:positionV>
            <wp:extent cx="8890" cy="291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(113,315 )</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(65,226 )</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(41,280 )</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19,433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14,378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8,238</w:t>
            </w: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5,758</w:t>
            </w: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4,446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1,409</w:t>
            </w: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premium on short-term investments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13"/>
        </w:trPr>
        <w:tc>
          <w:tcPr>
            <w:tcW w:w="66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1,825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(3,049 )</w:t>
            </w:r>
          </w:p>
        </w:tc>
      </w:tr>
      <w:tr>
        <w:trPr>
          <w:trHeight w:val="21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 and other deferred costs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(1,076 )</w:t>
            </w:r>
          </w:p>
        </w:tc>
      </w:tr>
      <w:tr>
        <w:trPr>
          <w:trHeight w:val="213"/>
        </w:trPr>
        <w:tc>
          <w:tcPr>
            <w:tcW w:w="66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(2,312 )</w:t>
            </w:r>
          </w:p>
        </w:tc>
      </w:tr>
      <w:tr>
        <w:trPr>
          <w:trHeight w:val="21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751</w:t>
            </w:r>
          </w:p>
        </w:tc>
      </w:tr>
      <w:tr>
        <w:trPr>
          <w:trHeight w:val="213"/>
        </w:trPr>
        <w:tc>
          <w:tcPr>
            <w:tcW w:w="6640" w:type="dxa"/>
            <w:vAlign w:val="bottom"/>
          </w:tcPr>
          <w:p>
            <w:pPr>
              <w:ind w:left="38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3,365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3,529</w:t>
            </w:r>
          </w:p>
        </w:tc>
      </w:tr>
      <w:tr>
        <w:trPr>
          <w:trHeight w:val="21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liabilities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(2,718 )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(14,942 )</w:t>
            </w:r>
          </w:p>
        </w:tc>
      </w:tr>
      <w:tr>
        <w:trPr>
          <w:trHeight w:val="213"/>
        </w:trPr>
        <w:tc>
          <w:tcPr>
            <w:tcW w:w="66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12,811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(962 )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(850 )</w:t>
            </w:r>
          </w:p>
        </w:tc>
      </w:tr>
      <w:tr>
        <w:trPr>
          <w:trHeight w:val="219"/>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w:t>
            </w:r>
          </w:p>
        </w:tc>
      </w:tr>
      <w:tr>
        <w:trPr>
          <w:trHeight w:val="209"/>
        </w:trPr>
        <w:tc>
          <w:tcPr>
            <w:tcW w:w="6640" w:type="dxa"/>
            <w:vAlign w:val="bottom"/>
          </w:tcPr>
          <w:p>
            <w:pPr>
              <w:ind w:left="5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(70,233 )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(70,828 )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(42,653 )</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(121,490 )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(267,128 )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(161,775 )</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223,923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213,083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99,878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sales of available-for-sale debt securities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(49,896 )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(11,083 )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(3,246 )</w:t>
            </w:r>
          </w:p>
        </w:tc>
      </w:tr>
      <w:tr>
        <w:trPr>
          <w:trHeight w:val="210"/>
        </w:trPr>
        <w:tc>
          <w:tcPr>
            <w:tcW w:w="664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52,537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(60,069 )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(65,143 )</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162,258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117,500</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costs related to public offerings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(435 )</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loans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Repayments of loans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(1,857 )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exercise of equity awards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4,203</w:t>
            </w:r>
          </w:p>
        </w:tc>
      </w:tr>
      <w:tr>
        <w:trPr>
          <w:trHeight w:val="209"/>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1,366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169,700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121,268</w:t>
            </w:r>
          </w:p>
        </w:tc>
      </w:tr>
      <w:tr>
        <w:trPr>
          <w:trHeight w:val="207"/>
        </w:trPr>
        <w:tc>
          <w:tcPr>
            <w:tcW w:w="664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(16,457 )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38,850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13,479</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107,375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68,525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55,046</w:t>
            </w: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90,918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107,375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68,525</w:t>
            </w:r>
          </w:p>
        </w:tc>
      </w:tr>
      <w:tr>
        <w:trPr>
          <w:trHeight w:val="625"/>
        </w:trPr>
        <w:tc>
          <w:tcPr>
            <w:tcW w:w="8080" w:type="dxa"/>
            <w:vAlign w:val="bottom"/>
            <w:gridSpan w:val="3"/>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89,128</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105,585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68,525</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90,918</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107,375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68,525</w:t>
            </w:r>
          </w:p>
        </w:tc>
      </w:tr>
      <w:tr>
        <w:trPr>
          <w:trHeight w:val="413"/>
        </w:trPr>
        <w:tc>
          <w:tcPr>
            <w:tcW w:w="66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3,917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-4230370</wp:posOffset>
            </wp:positionV>
            <wp:extent cx="10287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-4230370</wp:posOffset>
            </wp:positionV>
            <wp:extent cx="939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-3390265</wp:posOffset>
            </wp:positionV>
            <wp:extent cx="10287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-3390265</wp:posOffset>
            </wp:positionV>
            <wp:extent cx="939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-2266950</wp:posOffset>
            </wp:positionV>
            <wp:extent cx="10287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-2266950</wp:posOffset>
            </wp:positionV>
            <wp:extent cx="9398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-1701165</wp:posOffset>
            </wp:positionV>
            <wp:extent cx="1088390"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88390" cy="3003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-843915</wp:posOffset>
            </wp:positionV>
            <wp:extent cx="1088390"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88390" cy="3003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Personalis, Inc. (the "Company") is a provider of advanced genomic tests for cancer. The Company also provides sequencing and data analysis services to support population sequencing initiatives. The Company’s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operates and manages its business as one reportable operating segment, which is the sale of sequencing and data analysis services.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subsidiaries, Personalis (UK) Ltd. and Personalis (Shanghai) Ltd. All intercompany balances and transactions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August 2020, the Company completed a follow-on equity offering in which it issued and sold 6,578,947 shares of its common stock at a public offering price of $19.00 per share. The Company received net proceeds of $117.5 million after deducting underwriting discounts and commissions. The Company also incurred $0.4 million of offering costs, including legal, accounting, printing and other offering-related costs.</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January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December 2021, the Company entered into an At-the-Market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BTIC under the Sales Agreement. The Company is not obligated to make any sales of common stock under the Sales Agreement. No shares of the Company’s common stock have been offered or sold under the Sales Agreement.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8"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8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December 31, 2022 and 2021. The Company had no bad debt expense in any of the periods presented.</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or accounts receivable balance at each respective balance sheet date. For each significant customer, revenue as a percentage of total revenue and accounts receivable as a percentage of total accounts receivable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Accounts Receivable</w:t>
            </w:r>
          </w:p>
        </w:tc>
      </w:tr>
      <w:tr>
        <w:trPr>
          <w:trHeight w:val="183"/>
        </w:trPr>
        <w:tc>
          <w:tcPr>
            <w:tcW w:w="4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6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4980" w:type="dxa"/>
            <w:vAlign w:val="bottom"/>
          </w:tcPr>
          <w:p>
            <w:pPr>
              <w:spacing w:after="0"/>
              <w:rPr>
                <w:sz w:val="15"/>
                <w:szCs w:val="15"/>
                <w:color w:val="auto"/>
              </w:rPr>
            </w:pPr>
          </w:p>
        </w:tc>
        <w:tc>
          <w:tcPr>
            <w:tcW w:w="860" w:type="dxa"/>
            <w:vAlign w:val="bottom"/>
            <w:tcBorders>
              <w:bottom w:val="single" w:sz="8" w:color="auto"/>
            </w:tcBorders>
          </w:tcPr>
          <w:p>
            <w:pPr>
              <w:jc w:val="center"/>
              <w:ind w:left="22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860" w:type="dxa"/>
            <w:vAlign w:val="bottom"/>
            <w:shd w:val="clear" w:color="auto" w:fill="CFF0FC"/>
          </w:tcPr>
          <w:p>
            <w:pPr>
              <w:jc w:val="center"/>
              <w:ind w:left="220"/>
              <w:spacing w:after="0"/>
              <w:rPr>
                <w:sz w:val="20"/>
                <w:szCs w:val="20"/>
                <w:color w:val="auto"/>
              </w:rPr>
            </w:pPr>
            <w:r>
              <w:rPr>
                <w:rFonts w:ascii="Arial" w:cs="Arial" w:eastAsia="Arial" w:hAnsi="Arial"/>
                <w:sz w:val="16"/>
                <w:szCs w:val="16"/>
                <w:color w:val="auto"/>
                <w:w w:val="99"/>
              </w:rPr>
              <w:t>41%</w:t>
            </w:r>
          </w:p>
        </w:tc>
        <w:tc>
          <w:tcPr>
            <w:tcW w:w="1600" w:type="dxa"/>
            <w:vAlign w:val="bottom"/>
            <w:gridSpan w:val="3"/>
            <w:shd w:val="clear" w:color="auto" w:fill="CFF0FC"/>
          </w:tcPr>
          <w:p>
            <w:pPr>
              <w:jc w:val="center"/>
              <w:ind w:left="360"/>
              <w:spacing w:after="0"/>
              <w:rPr>
                <w:sz w:val="20"/>
                <w:szCs w:val="20"/>
                <w:color w:val="auto"/>
              </w:rPr>
            </w:pPr>
            <w:r>
              <w:rPr>
                <w:rFonts w:ascii="Arial" w:cs="Arial" w:eastAsia="Arial" w:hAnsi="Arial"/>
                <w:sz w:val="16"/>
                <w:szCs w:val="16"/>
                <w:color w:val="auto"/>
                <w:w w:val="99"/>
              </w:rPr>
              <w:t>10%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right="200"/>
              <w:spacing w:after="0"/>
              <w:rPr>
                <w:sz w:val="20"/>
                <w:szCs w:val="20"/>
                <w:color w:val="auto"/>
              </w:rPr>
            </w:pPr>
            <w:r>
              <w:rPr>
                <w:rFonts w:ascii="Arial" w:cs="Arial" w:eastAsia="Arial" w:hAnsi="Arial"/>
                <w:sz w:val="16"/>
                <w:szCs w:val="16"/>
                <w:color w:val="auto"/>
                <w:w w:val="95"/>
              </w:rPr>
              <w:t>*</w:t>
            </w:r>
          </w:p>
        </w:tc>
        <w:tc>
          <w:tcPr>
            <w:tcW w:w="860" w:type="dxa"/>
            <w:vAlign w:val="bottom"/>
            <w:gridSpan w:val="2"/>
            <w:shd w:val="clear" w:color="auto" w:fill="CFF0FC"/>
          </w:tcPr>
          <w:p>
            <w:pPr>
              <w:jc w:val="center"/>
              <w:ind w:left="459"/>
              <w:spacing w:after="0"/>
              <w:rPr>
                <w:sz w:val="20"/>
                <w:szCs w:val="20"/>
                <w:color w:val="auto"/>
              </w:rPr>
            </w:pPr>
            <w:r>
              <w:rPr>
                <w:rFonts w:ascii="Arial" w:cs="Arial" w:eastAsia="Arial" w:hAnsi="Arial"/>
                <w:sz w:val="16"/>
                <w:szCs w:val="16"/>
                <w:color w:val="auto"/>
                <w:w w:val="99"/>
              </w:rPr>
              <w:t>43%</w:t>
            </w:r>
          </w:p>
        </w:tc>
        <w:tc>
          <w:tcPr>
            <w:tcW w:w="1680" w:type="dxa"/>
            <w:vAlign w:val="bottom"/>
            <w:gridSpan w:val="3"/>
            <w:shd w:val="clear" w:color="auto" w:fill="CFF0FC"/>
          </w:tcPr>
          <w:p>
            <w:pPr>
              <w:jc w:val="center"/>
              <w:ind w:left="440"/>
              <w:spacing w:after="0"/>
              <w:rPr>
                <w:sz w:val="20"/>
                <w:szCs w:val="20"/>
                <w:color w:val="auto"/>
              </w:rPr>
            </w:pPr>
            <w:r>
              <w:rPr>
                <w:rFonts w:ascii="Arial" w:cs="Arial" w:eastAsia="Arial" w:hAnsi="Arial"/>
                <w:sz w:val="16"/>
                <w:szCs w:val="16"/>
                <w:color w:val="auto"/>
                <w:w w:val="99"/>
              </w:rPr>
              <w:t>39%</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VA MVP</w:t>
            </w:r>
          </w:p>
        </w:tc>
        <w:tc>
          <w:tcPr>
            <w:tcW w:w="860" w:type="dxa"/>
            <w:vAlign w:val="bottom"/>
          </w:tcPr>
          <w:p>
            <w:pPr>
              <w:jc w:val="center"/>
              <w:ind w:left="220"/>
              <w:spacing w:after="0"/>
              <w:rPr>
                <w:sz w:val="20"/>
                <w:szCs w:val="20"/>
                <w:color w:val="auto"/>
              </w:rPr>
            </w:pPr>
            <w:r>
              <w:rPr>
                <w:rFonts w:ascii="Arial" w:cs="Arial" w:eastAsia="Arial" w:hAnsi="Arial"/>
                <w:sz w:val="16"/>
                <w:szCs w:val="16"/>
                <w:color w:val="auto"/>
                <w:w w:val="99"/>
              </w:rPr>
              <w:t>13%</w:t>
            </w:r>
          </w:p>
        </w:tc>
        <w:tc>
          <w:tcPr>
            <w:tcW w:w="1600" w:type="dxa"/>
            <w:vAlign w:val="bottom"/>
            <w:gridSpan w:val="3"/>
          </w:tcPr>
          <w:p>
            <w:pPr>
              <w:jc w:val="center"/>
              <w:ind w:left="360"/>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200"/>
              <w:spacing w:after="0"/>
              <w:rPr>
                <w:sz w:val="20"/>
                <w:szCs w:val="20"/>
                <w:color w:val="auto"/>
              </w:rPr>
            </w:pPr>
            <w:r>
              <w:rPr>
                <w:rFonts w:ascii="Arial" w:cs="Arial" w:eastAsia="Arial" w:hAnsi="Arial"/>
                <w:sz w:val="16"/>
                <w:szCs w:val="16"/>
                <w:color w:val="auto"/>
              </w:rPr>
              <w:t>71%</w:t>
            </w:r>
          </w:p>
        </w:tc>
        <w:tc>
          <w:tcPr>
            <w:tcW w:w="860" w:type="dxa"/>
            <w:vAlign w:val="bottom"/>
            <w:gridSpan w:val="2"/>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tcPr>
          <w:p>
            <w:pPr>
              <w:jc w:val="center"/>
              <w:ind w:left="460"/>
              <w:spacing w:after="0"/>
              <w:rPr>
                <w:sz w:val="20"/>
                <w:szCs w:val="20"/>
                <w:color w:val="auto"/>
              </w:rPr>
            </w:pPr>
            <w:r>
              <w:rPr>
                <w:rFonts w:ascii="Arial" w:cs="Arial" w:eastAsia="Arial" w:hAnsi="Arial"/>
                <w:sz w:val="16"/>
                <w:szCs w:val="16"/>
                <w:color w:val="auto"/>
                <w:w w:val="95"/>
              </w:rPr>
              <w:t>*</w:t>
            </w:r>
          </w:p>
        </w:tc>
      </w:tr>
      <w:tr>
        <w:trPr>
          <w:trHeight w:val="21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860" w:type="dxa"/>
            <w:vAlign w:val="bottom"/>
            <w:shd w:val="clear" w:color="auto" w:fill="CFF0FC"/>
          </w:tcPr>
          <w:p>
            <w:pPr>
              <w:jc w:val="center"/>
              <w:ind w:left="220"/>
              <w:spacing w:after="0"/>
              <w:rPr>
                <w:sz w:val="20"/>
                <w:szCs w:val="20"/>
                <w:color w:val="auto"/>
              </w:rPr>
            </w:pPr>
            <w:r>
              <w:rPr>
                <w:rFonts w:ascii="Arial" w:cs="Arial" w:eastAsia="Arial" w:hAnsi="Arial"/>
                <w:sz w:val="16"/>
                <w:szCs w:val="16"/>
                <w:color w:val="auto"/>
                <w:w w:val="99"/>
              </w:rPr>
              <w:t>11%</w:t>
            </w:r>
          </w:p>
        </w:tc>
        <w:tc>
          <w:tcPr>
            <w:tcW w:w="1600" w:type="dxa"/>
            <w:vAlign w:val="bottom"/>
            <w:gridSpan w:val="3"/>
            <w:shd w:val="clear" w:color="auto" w:fill="CFF0FC"/>
          </w:tcPr>
          <w:p>
            <w:pPr>
              <w:jc w:val="center"/>
              <w:ind w:left="340"/>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center"/>
              <w:ind w:right="200"/>
              <w:spacing w:after="0"/>
              <w:rPr>
                <w:sz w:val="20"/>
                <w:szCs w:val="20"/>
                <w:color w:val="auto"/>
              </w:rPr>
            </w:pPr>
            <w:r>
              <w:rPr>
                <w:rFonts w:ascii="Arial" w:cs="Arial" w:eastAsia="Arial" w:hAnsi="Arial"/>
                <w:sz w:val="16"/>
                <w:szCs w:val="16"/>
                <w:color w:val="auto"/>
                <w:w w:val="95"/>
              </w:rPr>
              <w:t>*</w:t>
            </w:r>
          </w:p>
        </w:tc>
        <w:tc>
          <w:tcPr>
            <w:tcW w:w="860" w:type="dxa"/>
            <w:vAlign w:val="bottom"/>
            <w:gridSpan w:val="2"/>
            <w:shd w:val="clear" w:color="auto" w:fill="CFF0FC"/>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shd w:val="clear" w:color="auto" w:fill="CFF0FC"/>
          </w:tcPr>
          <w:p>
            <w:pPr>
              <w:jc w:val="center"/>
              <w:ind w:left="440"/>
              <w:spacing w:after="0"/>
              <w:rPr>
                <w:sz w:val="20"/>
                <w:szCs w:val="20"/>
                <w:color w:val="auto"/>
              </w:rPr>
            </w:pPr>
            <w:r>
              <w:rPr>
                <w:rFonts w:ascii="Arial" w:cs="Arial" w:eastAsia="Arial" w:hAnsi="Arial"/>
                <w:sz w:val="16"/>
                <w:szCs w:val="16"/>
                <w:color w:val="auto"/>
                <w:w w:val="99"/>
              </w:rPr>
              <w:t>15%</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AbbVie Inc.</w:t>
            </w:r>
          </w:p>
        </w:tc>
        <w:tc>
          <w:tcPr>
            <w:tcW w:w="860" w:type="dxa"/>
            <w:vAlign w:val="bottom"/>
          </w:tcPr>
          <w:p>
            <w:pPr>
              <w:jc w:val="center"/>
              <w:ind w:left="200"/>
              <w:spacing w:after="0"/>
              <w:rPr>
                <w:sz w:val="20"/>
                <w:szCs w:val="20"/>
                <w:color w:val="auto"/>
              </w:rPr>
            </w:pPr>
            <w:r>
              <w:rPr>
                <w:rFonts w:ascii="Arial" w:cs="Arial" w:eastAsia="Arial" w:hAnsi="Arial"/>
                <w:sz w:val="16"/>
                <w:szCs w:val="16"/>
                <w:color w:val="auto"/>
                <w:w w:val="95"/>
              </w:rPr>
              <w:t>*</w:t>
            </w:r>
          </w:p>
        </w:tc>
        <w:tc>
          <w:tcPr>
            <w:tcW w:w="1600" w:type="dxa"/>
            <w:vAlign w:val="bottom"/>
            <w:gridSpan w:val="3"/>
          </w:tcPr>
          <w:p>
            <w:pPr>
              <w:jc w:val="center"/>
              <w:ind w:left="340"/>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200"/>
              <w:spacing w:after="0"/>
              <w:rPr>
                <w:sz w:val="20"/>
                <w:szCs w:val="20"/>
                <w:color w:val="auto"/>
              </w:rPr>
            </w:pPr>
            <w:r>
              <w:rPr>
                <w:rFonts w:ascii="Arial" w:cs="Arial" w:eastAsia="Arial" w:hAnsi="Arial"/>
                <w:sz w:val="16"/>
                <w:szCs w:val="16"/>
                <w:color w:val="auto"/>
                <w:w w:val="95"/>
              </w:rPr>
              <w:t>*</w:t>
            </w:r>
          </w:p>
        </w:tc>
        <w:tc>
          <w:tcPr>
            <w:tcW w:w="860" w:type="dxa"/>
            <w:vAlign w:val="bottom"/>
            <w:gridSpan w:val="2"/>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tcPr>
          <w:p>
            <w:pPr>
              <w:jc w:val="center"/>
              <w:ind w:left="440"/>
              <w:spacing w:after="0"/>
              <w:rPr>
                <w:sz w:val="20"/>
                <w:szCs w:val="20"/>
                <w:color w:val="auto"/>
              </w:rPr>
            </w:pPr>
            <w:r>
              <w:rPr>
                <w:rFonts w:ascii="Arial" w:cs="Arial" w:eastAsia="Arial" w:hAnsi="Arial"/>
                <w:sz w:val="16"/>
                <w:szCs w:val="16"/>
                <w:color w:val="auto"/>
                <w:w w:val="99"/>
              </w:rPr>
              <w:t>18%</w:t>
            </w:r>
          </w:p>
        </w:tc>
      </w:tr>
      <w:tr>
        <w:trPr>
          <w:trHeight w:val="21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GSK plc</w:t>
            </w:r>
          </w:p>
        </w:tc>
        <w:tc>
          <w:tcPr>
            <w:tcW w:w="860" w:type="dxa"/>
            <w:vAlign w:val="bottom"/>
            <w:shd w:val="clear" w:color="auto" w:fill="CFF0FC"/>
          </w:tcPr>
          <w:p>
            <w:pPr>
              <w:jc w:val="center"/>
              <w:ind w:left="200"/>
              <w:spacing w:after="0"/>
              <w:rPr>
                <w:sz w:val="20"/>
                <w:szCs w:val="20"/>
                <w:color w:val="auto"/>
              </w:rPr>
            </w:pPr>
            <w:r>
              <w:rPr>
                <w:rFonts w:ascii="Arial" w:cs="Arial" w:eastAsia="Arial" w:hAnsi="Arial"/>
                <w:sz w:val="16"/>
                <w:szCs w:val="16"/>
                <w:color w:val="auto"/>
                <w:w w:val="95"/>
              </w:rPr>
              <w:t>*</w:t>
            </w:r>
          </w:p>
        </w:tc>
        <w:tc>
          <w:tcPr>
            <w:tcW w:w="1600" w:type="dxa"/>
            <w:vAlign w:val="bottom"/>
            <w:gridSpan w:val="3"/>
            <w:shd w:val="clear" w:color="auto" w:fill="CFF0FC"/>
          </w:tcPr>
          <w:p>
            <w:pPr>
              <w:jc w:val="center"/>
              <w:ind w:left="340"/>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center"/>
              <w:ind w:right="200"/>
              <w:spacing w:after="0"/>
              <w:rPr>
                <w:sz w:val="20"/>
                <w:szCs w:val="20"/>
                <w:color w:val="auto"/>
              </w:rPr>
            </w:pPr>
            <w:r>
              <w:rPr>
                <w:rFonts w:ascii="Arial" w:cs="Arial" w:eastAsia="Arial" w:hAnsi="Arial"/>
                <w:sz w:val="16"/>
                <w:szCs w:val="16"/>
                <w:color w:val="auto"/>
                <w:w w:val="95"/>
              </w:rPr>
              <w:t>*</w:t>
            </w:r>
          </w:p>
        </w:tc>
        <w:tc>
          <w:tcPr>
            <w:tcW w:w="860" w:type="dxa"/>
            <w:vAlign w:val="bottom"/>
            <w:gridSpan w:val="2"/>
            <w:shd w:val="clear" w:color="auto" w:fill="CFF0FC"/>
          </w:tcPr>
          <w:p>
            <w:pPr>
              <w:jc w:val="center"/>
              <w:ind w:left="459"/>
              <w:spacing w:after="0"/>
              <w:rPr>
                <w:sz w:val="20"/>
                <w:szCs w:val="20"/>
                <w:color w:val="auto"/>
              </w:rPr>
            </w:pPr>
            <w:r>
              <w:rPr>
                <w:rFonts w:ascii="Arial" w:cs="Arial" w:eastAsia="Arial" w:hAnsi="Arial"/>
                <w:sz w:val="16"/>
                <w:szCs w:val="16"/>
                <w:color w:val="auto"/>
                <w:w w:val="99"/>
              </w:rPr>
              <w:t>12%</w:t>
            </w:r>
          </w:p>
        </w:tc>
        <w:tc>
          <w:tcPr>
            <w:tcW w:w="1680" w:type="dxa"/>
            <w:vAlign w:val="bottom"/>
            <w:gridSpan w:val="3"/>
            <w:shd w:val="clear" w:color="auto" w:fill="CFF0FC"/>
          </w:tcPr>
          <w:p>
            <w:pPr>
              <w:jc w:val="center"/>
              <w:ind w:left="460"/>
              <w:spacing w:after="0"/>
              <w:rPr>
                <w:sz w:val="20"/>
                <w:szCs w:val="20"/>
                <w:color w:val="auto"/>
              </w:rPr>
            </w:pPr>
            <w:r>
              <w:rPr>
                <w:rFonts w:ascii="Arial" w:cs="Arial" w:eastAsia="Arial" w:hAnsi="Arial"/>
                <w:sz w:val="16"/>
                <w:szCs w:val="16"/>
                <w:color w:val="auto"/>
                <w:w w:val="95"/>
              </w:rPr>
              <w:t>*</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Pfizer Inc.</w:t>
            </w:r>
          </w:p>
        </w:tc>
        <w:tc>
          <w:tcPr>
            <w:tcW w:w="860" w:type="dxa"/>
            <w:vAlign w:val="bottom"/>
          </w:tcPr>
          <w:p>
            <w:pPr>
              <w:jc w:val="center"/>
              <w:ind w:left="200"/>
              <w:spacing w:after="0"/>
              <w:rPr>
                <w:sz w:val="20"/>
                <w:szCs w:val="20"/>
                <w:color w:val="auto"/>
              </w:rPr>
            </w:pPr>
            <w:r>
              <w:rPr>
                <w:rFonts w:ascii="Arial" w:cs="Arial" w:eastAsia="Arial" w:hAnsi="Arial"/>
                <w:sz w:val="16"/>
                <w:szCs w:val="16"/>
                <w:color w:val="auto"/>
                <w:w w:val="95"/>
              </w:rPr>
              <w:t>*</w:t>
            </w:r>
          </w:p>
        </w:tc>
        <w:tc>
          <w:tcPr>
            <w:tcW w:w="1600" w:type="dxa"/>
            <w:vAlign w:val="bottom"/>
            <w:gridSpan w:val="3"/>
          </w:tcPr>
          <w:p>
            <w:pPr>
              <w:jc w:val="center"/>
              <w:ind w:left="340"/>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200"/>
              <w:spacing w:after="0"/>
              <w:rPr>
                <w:sz w:val="20"/>
                <w:szCs w:val="20"/>
                <w:color w:val="auto"/>
              </w:rPr>
            </w:pPr>
            <w:r>
              <w:rPr>
                <w:rFonts w:ascii="Arial" w:cs="Arial" w:eastAsia="Arial" w:hAnsi="Arial"/>
                <w:sz w:val="16"/>
                <w:szCs w:val="16"/>
                <w:color w:val="auto"/>
                <w:w w:val="95"/>
              </w:rPr>
              <w:t>*</w:t>
            </w:r>
          </w:p>
        </w:tc>
        <w:tc>
          <w:tcPr>
            <w:tcW w:w="860" w:type="dxa"/>
            <w:vAlign w:val="bottom"/>
            <w:gridSpan w:val="2"/>
          </w:tcPr>
          <w:p>
            <w:pPr>
              <w:jc w:val="center"/>
              <w:ind w:left="459"/>
              <w:spacing w:after="0"/>
              <w:rPr>
                <w:sz w:val="20"/>
                <w:szCs w:val="20"/>
                <w:color w:val="auto"/>
              </w:rPr>
            </w:pPr>
            <w:r>
              <w:rPr>
                <w:rFonts w:ascii="Arial" w:cs="Arial" w:eastAsia="Arial" w:hAnsi="Arial"/>
                <w:sz w:val="16"/>
                <w:szCs w:val="16"/>
                <w:color w:val="auto"/>
                <w:w w:val="99"/>
              </w:rPr>
              <w:t>10%</w:t>
            </w:r>
          </w:p>
        </w:tc>
        <w:tc>
          <w:tcPr>
            <w:tcW w:w="1680" w:type="dxa"/>
            <w:vAlign w:val="bottom"/>
            <w:gridSpan w:val="3"/>
          </w:tcPr>
          <w:p>
            <w:pPr>
              <w:jc w:val="center"/>
              <w:ind w:left="460"/>
              <w:spacing w:after="0"/>
              <w:rPr>
                <w:sz w:val="20"/>
                <w:szCs w:val="20"/>
                <w:color w:val="auto"/>
              </w:rPr>
            </w:pPr>
            <w:r>
              <w:rPr>
                <w:rFonts w:ascii="Arial" w:cs="Arial" w:eastAsia="Arial" w:hAnsi="Arial"/>
                <w:sz w:val="16"/>
                <w:szCs w:val="16"/>
                <w:color w:val="auto"/>
                <w:w w:val="95"/>
              </w:rPr>
              <w:t>*</w:t>
            </w:r>
          </w:p>
        </w:tc>
      </w:tr>
    </w:tbl>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Less than 10% of revenue or accounts receivable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8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derives revenue from the sale of sequencing and data analysis services. The Company’s contracts are in the form of a combination of signed agreements, statements of work, and/or purchase orders.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typically 90 days or less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the Company has estimated the dividend yield to be zero.</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considers the functional currencies of its foreign subsidiaries to be the local currency. Assets and liabilities recorded in foreign currencies are translated at the exchange rate as of the balance sheet date, and costs and expenses are translated at average exchange rates in effect during the period. Equity transactions are translated using historical exchange rates. The effects of foreign currency translation adjustments are recorded as a separate component of accumulated other comprehensive income (loss) in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Comprehensive loss includes all changes in equity (net assets) during the period from nonowner sources. The Company’s comprehensive loss consists of its net loss, its cumulative translation adjustments, and its unrealized gains or losses on available-for-sale debt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Company uses the asset and liability method under ASC Topic 740, Income Taxes,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consolidated statements of operations. Accrued interest and penalties are included within the related liability line in the consolidated balance sheets.</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considers undistributed earnings of its foreign subsidiaries to be indefinitely reinvested and, accordingly, no U.S. income taxes have been provided thereon.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U.S. Treasury bills, and non-U.S. Government notes.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94"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55"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assets or liabilities (e.g., interest rate and yield curve quotes at commonly quoted intervals).</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208"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Trade accounts receivable are recorded at the invoiced amount and are noninterest bearing. At each reporting period, management reviews all outstanding customer balances to determine if the facts and circumstances of each customer relationship indicate the need for a reserve. A reserve is recorded when it is probable that a loss has been incurred based on past events and conditions existing at the date of the financial statements, and the loss is reasonably estimated.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Inventory, consisting of supplies used in fulfilling customer contracts, are valued at the lower of cost or net realizable value. Cost is determined using actual costs, on a first-in, first-out basis.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deferred costs relate to work in process for costs incurred on customer contracts that have not been completed or recognized as revenue.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deferred costs represent materials used in sequencing services, labor, and overhead allocations.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expense as incurred.</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Construction-in-process assets consist primarily of computer equipment and machinery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December 31, 2022, the Company had no finance leases.</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or the lease term. Costs associated with operating lease assets are recognized on a straight-line basis within operating expenses over the term of the lease.</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us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will adopt the new guidance as of the beginning of the first quarter of 2023 by means of a cumulative-effect adjustment to opening retained earnings and does not expect adoption to have a material impact on the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four customer types:</w:t>
      </w:r>
    </w:p>
    <w:p>
      <w:pPr>
        <w:spacing w:after="0" w:line="174" w:lineRule="exact"/>
        <w:rPr>
          <w:sz w:val="20"/>
          <w:szCs w:val="20"/>
          <w:color w:val="auto"/>
        </w:rPr>
      </w:pPr>
    </w:p>
    <w:p>
      <w:pPr>
        <w:jc w:val="both"/>
        <w:ind w:left="1140" w:hanging="383"/>
        <w:spacing w:after="0" w:line="266"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Individual contracts typically contemplate a single project and involve a wide range of tests and analytics deliverables from the Company that are suitable for each particular project.</w:t>
      </w:r>
    </w:p>
    <w:p>
      <w:pPr>
        <w:spacing w:after="0" w:line="130" w:lineRule="exact"/>
        <w:rPr>
          <w:rFonts w:ascii="Arial" w:cs="Arial" w:eastAsia="Arial" w:hAnsi="Arial"/>
          <w:sz w:val="16"/>
          <w:szCs w:val="16"/>
          <w:color w:val="auto"/>
        </w:rPr>
      </w:pPr>
    </w:p>
    <w:p>
      <w:pPr>
        <w:jc w:val="both"/>
        <w:ind w:left="1140" w:hanging="383"/>
        <w:spacing w:after="0" w:line="259"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a limited number of tests and analytics deliverables, but in high volume over time, and may offer tiered pricing. Revenue from the Company's partnership with Natera to provide advanced tumor analysis for use in Natera's MRD testing offerings makes up substantially all of the revenue in this category.</w:t>
      </w:r>
    </w:p>
    <w:p>
      <w:pPr>
        <w:spacing w:after="0" w:line="137" w:lineRule="exact"/>
        <w:rPr>
          <w:rFonts w:ascii="Arial" w:cs="Arial" w:eastAsia="Arial" w:hAnsi="Arial"/>
          <w:sz w:val="16"/>
          <w:szCs w:val="16"/>
          <w:color w:val="auto"/>
        </w:rPr>
      </w:pPr>
    </w:p>
    <w:p>
      <w:pPr>
        <w:jc w:val="both"/>
        <w:ind w:left="1140" w:hanging="383"/>
        <w:spacing w:after="0" w:line="259"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deliver a similar type of test and analytic across a large volume of samples, and has historically received partial prepayment prior to performance. Revenue from the Company's partnership with the VA MVP to provide population sequencing accounts for all of the revenue in this category.</w:t>
      </w:r>
    </w:p>
    <w:p>
      <w:pPr>
        <w:spacing w:after="0" w:line="150" w:lineRule="exact"/>
        <w:rPr>
          <w:rFonts w:ascii="Arial" w:cs="Arial" w:eastAsia="Arial" w:hAnsi="Arial"/>
          <w:sz w:val="16"/>
          <w:szCs w:val="16"/>
          <w:color w:val="auto"/>
        </w:rPr>
      </w:pPr>
    </w:p>
    <w:p>
      <w:pPr>
        <w:ind w:left="1140" w:hanging="383"/>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29,552</w:t>
            </w:r>
          </w:p>
        </w:tc>
        <w:tc>
          <w:tcPr>
            <w:tcW w:w="5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21,396</w:t>
            </w:r>
          </w:p>
        </w:tc>
        <w:tc>
          <w:tcPr>
            <w:tcW w:w="10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56,154</w:t>
            </w:r>
          </w:p>
        </w:tc>
        <w:tc>
          <w:tcPr>
            <w:tcW w:w="100" w:type="dxa"/>
            <w:vAlign w:val="bottom"/>
            <w:shd w:val="clear" w:color="auto" w:fill="CFF0FC"/>
          </w:tcPr>
          <w:p>
            <w:pPr>
              <w:spacing w:after="0"/>
              <w:rPr>
                <w:sz w:val="19"/>
                <w:szCs w:val="19"/>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65,047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85,494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78,648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9%, 8%, and 5% of the Company’s revenue for the years ended December 31, 2022, 2021 and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December 31, 2022 and 2021 were immaterial.</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Amounts collected in advance of services being provided are deferred as current liabilities in the consolidated balance sheets. The associated revenue is recognized and the contract liability is reduced as contracted services are subsequently performed. The balance of contract liabilities was $1.3 million and $4.0 million as of December 31, 2022 and 2021, respectively. Revenue recognized in 2022, 2021, and 2020 that were included in the contract liability balance at the beginning of each reporting period were $3.5 million, $19.1 million, and $33.8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6,384</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4,081</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2,207</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1,529</w:t>
            </w: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inventory and other deferred costs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8,591</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5,610</w:t>
            </w:r>
          </w:p>
        </w:tc>
      </w:tr>
      <w:tr>
        <w:trPr>
          <w:trHeight w:val="379"/>
        </w:trPr>
        <w:tc>
          <w:tcPr>
            <w:tcW w:w="7720" w:type="dxa"/>
            <w:vAlign w:val="bottom"/>
            <w:tcBorders>
              <w:top w:val="single" w:sz="8" w:color="CFF0FC"/>
            </w:tcBorders>
          </w:tcPr>
          <w:p>
            <w:pPr>
              <w:ind w:left="7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57"/>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Machinery and equipment</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21,537</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15,877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Computer equipment</w:t>
            </w:r>
          </w:p>
        </w:tc>
        <w:tc>
          <w:tcPr>
            <w:tcW w:w="98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17,803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13,286</w:t>
            </w:r>
          </w:p>
        </w:tc>
      </w:tr>
      <w:tr>
        <w:trPr>
          <w:trHeight w:val="21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Computer software costs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3,010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2,213</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98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2,152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517</w:t>
            </w:r>
          </w:p>
        </w:tc>
      </w:tr>
      <w:tr>
        <w:trPr>
          <w:trHeight w:val="21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Construction in progress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3,989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5,393</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40,370</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1,357</w:t>
            </w:r>
          </w:p>
        </w:tc>
      </w:tr>
      <w:tr>
        <w:trPr>
          <w:trHeight w:val="20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88,861</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38,643</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(26,926 )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(18,993 )</w:t>
            </w: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Property and equipment, net</w:t>
            </w:r>
          </w:p>
        </w:tc>
        <w:tc>
          <w:tcPr>
            <w:tcW w:w="98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61,935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19,650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-1919605</wp:posOffset>
            </wp:positionV>
            <wp:extent cx="1117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-1902460</wp:posOffset>
            </wp:positionV>
            <wp:extent cx="111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9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Depreciation and amortization expense for the years ended December 31, 2022, 2021, and 2020 was $8.4 million, $6.0 million, and $5.8 million, respectively.</w:t>
      </w:r>
    </w:p>
    <w:p>
      <w:pPr>
        <w:spacing w:after="0" w:line="17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December 31, 2022 and 2021, and is included in other long-term assets.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compensation</w:t>
            </w:r>
          </w:p>
        </w:tc>
        <w:tc>
          <w:tcPr>
            <w:tcW w:w="1000" w:type="dxa"/>
            <w:vAlign w:val="bottom"/>
            <w:shd w:val="clear" w:color="auto" w:fill="CFF0FC"/>
          </w:tcPr>
          <w:p>
            <w:pPr>
              <w:jc w:val="right"/>
              <w:ind w:right="802"/>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9,008</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10,673</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8"/>
                <w:szCs w:val="18"/>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5,391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3,728</w:t>
            </w:r>
          </w:p>
        </w:tc>
      </w:tr>
      <w:tr>
        <w:trPr>
          <w:trHeight w:val="21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Loans—current portion (Note 6)</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2,218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1,806</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spacing w:after="0"/>
              <w:rPr>
                <w:sz w:val="18"/>
                <w:szCs w:val="18"/>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1,700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883</w:t>
            </w:r>
          </w:p>
        </w:tc>
      </w:tr>
      <w:tr>
        <w:trPr>
          <w:trHeight w:val="21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ESPP contributions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Customer deposits</w:t>
            </w:r>
          </w:p>
        </w:tc>
        <w:tc>
          <w:tcPr>
            <w:tcW w:w="1000" w:type="dxa"/>
            <w:vAlign w:val="bottom"/>
          </w:tcPr>
          <w:p>
            <w:pPr>
              <w:spacing w:after="0"/>
              <w:rPr>
                <w:sz w:val="18"/>
                <w:szCs w:val="18"/>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382</w:t>
            </w:r>
          </w:p>
        </w:tc>
      </w:tr>
      <w:tr>
        <w:trPr>
          <w:trHeight w:val="21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taxes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123</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121</w:t>
            </w:r>
          </w:p>
        </w:tc>
      </w:tr>
      <w:tr>
        <w:trPr>
          <w:trHeight w:val="207"/>
        </w:trPr>
        <w:tc>
          <w:tcPr>
            <w:tcW w:w="7720" w:type="dxa"/>
            <w:vAlign w:val="bottom"/>
          </w:tcPr>
          <w:p>
            <w:pPr>
              <w:ind w:left="200"/>
              <w:spacing w:after="0"/>
              <w:rPr>
                <w:sz w:val="20"/>
                <w:szCs w:val="20"/>
                <w:color w:val="auto"/>
              </w:rPr>
            </w:pPr>
            <w:r>
              <w:rPr>
                <w:rFonts w:ascii="Arial" w:cs="Arial" w:eastAsia="Arial" w:hAnsi="Arial"/>
                <w:sz w:val="16"/>
                <w:szCs w:val="16"/>
                <w:color w:val="auto"/>
              </w:rPr>
              <w:t>Total accrued and other current liabilities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19,013</w:t>
            </w:r>
          </w:p>
        </w:tc>
        <w:tc>
          <w:tcPr>
            <w:tcW w:w="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18,110</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and liabilities measured at fair value on a recurring basis and the level of inputs used in such measurements as of December 31, 2022 and 2021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41"/>
              <w:spacing w:after="0" w:line="156"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51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21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5,615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31,401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31,401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1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47,135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47,120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89,142</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89,128</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3"/>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9,445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9"/>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56,658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56,144</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9"/>
        </w:trPr>
        <w:tc>
          <w:tcPr>
            <w:tcW w:w="5180" w:type="dxa"/>
            <w:vAlign w:val="bottom"/>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79,200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78,530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168,342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167,658</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-316230</wp:posOffset>
            </wp:positionV>
            <wp:extent cx="7683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-316230</wp:posOffset>
            </wp:positionV>
            <wp:extent cx="7683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-316230</wp:posOffset>
            </wp:positionV>
            <wp:extent cx="6858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-316230</wp:posOffset>
            </wp:positionV>
            <wp:extent cx="6858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51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8"/>
        </w:trPr>
        <w:tc>
          <w:tcPr>
            <w:tcW w:w="1120" w:type="dxa"/>
            <w:vAlign w:val="bottom"/>
            <w:tcBorders>
              <w:top w:val="single" w:sz="8" w:color="0000FF"/>
            </w:tcBorders>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6"/>
        </w:trPr>
        <w:tc>
          <w:tcPr>
            <w:tcW w:w="11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210"/>
        </w:trPr>
        <w:tc>
          <w:tcPr>
            <w:tcW w:w="51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r>
      <w:tr>
        <w:trPr>
          <w:trHeight w:val="213"/>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6,094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49,488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49,488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19"/>
        </w:trPr>
        <w:tc>
          <w:tcPr>
            <w:tcW w:w="51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50,005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50,003</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7"/>
        </w:trPr>
        <w:tc>
          <w:tcPr>
            <w:tcW w:w="5180" w:type="dxa"/>
            <w:vAlign w:val="bottom"/>
            <w:gridSpan w:val="2"/>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105,587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105,585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5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18,066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9"/>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50,025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3"/>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18,052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9"/>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19,738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19,703</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6"/>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75,787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75,633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9"/>
        </w:trPr>
        <w:tc>
          <w:tcPr>
            <w:tcW w:w="51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181,692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181,479</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9"/>
        </w:trPr>
        <w:tc>
          <w:tcPr>
            <w:tcW w:w="5180" w:type="dxa"/>
            <w:vAlign w:val="bottom"/>
            <w:gridSpan w:val="2"/>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287,279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287,064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-1285240</wp:posOffset>
            </wp:positionV>
            <wp:extent cx="76835" cy="146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-1285240</wp:posOffset>
            </wp:positionV>
            <wp:extent cx="76835"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-1285240</wp:posOffset>
            </wp:positionV>
            <wp:extent cx="6858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-1285240</wp:posOffset>
            </wp:positionV>
            <wp:extent cx="6858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76835"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7683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December 31, 2022, the Company does not consider any of its marketable debt securities to be other-than-temporarily impaired. The Company’s marketable debt securities at December 31, 2022 have maturities due in one year or less.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certain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consolidated statements of operations over the life of the payment agreement.</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Company entered into two more payment agreements in April 2021 and July 2022, with the same financing entity, to finance the purchase of $3.1 million of computer hardware and related hardware maintenance and $1.3 million of internal use software licenses and related ongoing support, respectively. The Company is required to pay three equal payments of $1.0 million in July 2021, June 2022, and June 2023 for the first agreement, and three equal payments of $0.4 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total initial present value of the payment agreements was $6.4 million and presented as proceeds from loans in the consolidated statements of cash flows. Such proceeds were used to purchase equipment, software, and related maintenance and are reflected as cash outflows in the investing and operating activities sections in the consolidated statements of cash flows. Repayments are presented as financing cash outflows in the consolidated statements of cash flows. Interest expense for the years ended December 31, 2022 and 2021 was $0.2 million each. Amounts outstanding under the payment agreements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2,730</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3,714</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(220 )</w:t>
            </w:r>
          </w:p>
        </w:tc>
      </w:tr>
      <w:tr>
        <w:trPr>
          <w:trHeight w:val="21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carrying amount</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2,596</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3,494</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(1,806 )</w:t>
            </w:r>
          </w:p>
        </w:tc>
      </w:tr>
      <w:tr>
        <w:trPr>
          <w:trHeight w:val="25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portion (included in other long-term liabilities)</w:t>
            </w:r>
          </w:p>
        </w:tc>
        <w:tc>
          <w:tcPr>
            <w:tcW w:w="102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378</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2015, the Company entered into a noncancelable operating lease for approximately 31,280 square feet of space used for its current laboratory operations. In 2020, the lease term was extended through November 2027 and includes an option to extend the term for a period of three years at prevailing market rates. The Company determined the extension option is not reasonably certain to be exercised. The lease contains a leasehold improvement incentive and escalating rent payments. In 2021,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Company amended the lease to expand the leased premises by an additional 14,710 square feet of space (the “Expansion Lease”). The Expansion Lease expired at the end of December 2022 and was not extended.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2019, the Company entered into a noncancelable three-year operating lease for a co-located data center space. In 2022, the lease term was extended through September 2025 and includes an option to extend the term for a period of three years immediately following the expiration of the term. The Company determined the extension option is not reasonably certain to be exercised.</w:t>
      </w:r>
    </w:p>
    <w:p>
      <w:pPr>
        <w:spacing w:after="0" w:line="16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of space in Fremont, California to be used as the Company’s corporate headquarters and expanded laboratory facility. The lease term is 13.5 years and commenced in October 2022. The Company gained early access to the premises upon entering the lease for the purpose of constructing and installing tenant improvements, for which the landlord agreed to contribute up to $15.5 million, $13.2 million of which has been received through December 31, 2022. Such contributions become payable only upon approval by the landlord of applications for payment and are accounted for as lease incentives once the Company has incurred costs and the amounts qualify for reimbursement by the landlord. The lease incentives are then recognized as reductions to lease expense over the remainder of the lease term. The lease expires at the end of March 2036 and includes two options to extend the term for a period of five-years per option at prevailing market rates. The Company determined the extension options are not reasonably certain to be exercised. The lease also contains escalating rent payments. Due to delays in the completion of the work necessary for the Company to move into the facility, the lease commencement date was delayed from the original intended date. This change in circumstances during the third quarter of 2022 triggered a reassessment of the lease term and consequently a remeasurement of the lease liability and corresponding adjustment to the carrying amount of the right-of-use asset.</w:t>
      </w:r>
    </w:p>
    <w:p>
      <w:pPr>
        <w:spacing w:after="0" w:line="17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also has a noncancelable operating lease for approximately 5,100 square feet of space in Shanghai, China used for its China operations, which expires at the end of June 2024, as well as various other short-term leases.</w:t>
      </w:r>
    </w:p>
    <w:p>
      <w:pPr>
        <w:sectPr>
          <w:pgSz w:w="11900" w:h="16838" w:orient="portrait"/>
          <w:cols w:equalWidth="0" w:num="1">
            <w:col w:w="11240"/>
          </w:cols>
          <w:pgMar w:left="320" w:top="144" w:right="339" w:bottom="1440" w:gutter="0" w:footer="0" w:header="0"/>
        </w:sectPr>
      </w:pPr>
    </w:p>
    <w:p>
      <w:pPr>
        <w:spacing w:after="0" w:line="168" w:lineRule="exact"/>
        <w:rPr>
          <w:sz w:val="20"/>
          <w:szCs w:val="20"/>
          <w:color w:val="auto"/>
        </w:rPr>
      </w:pPr>
    </w:p>
    <w:p>
      <w:pPr>
        <w:jc w:val="right"/>
        <w:ind w:right="1020"/>
        <w:spacing w:after="0"/>
        <w:rPr>
          <w:sz w:val="20"/>
          <w:szCs w:val="20"/>
          <w:color w:val="auto"/>
        </w:rPr>
      </w:pPr>
      <w:r>
        <w:rPr>
          <w:rFonts w:ascii="Arial" w:cs="Arial" w:eastAsia="Arial" w:hAnsi="Arial"/>
          <w:sz w:val="16"/>
          <w:szCs w:val="16"/>
          <w:color w:val="auto"/>
        </w:rPr>
        <w:t>Components of lease cost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cost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lease cost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420"/>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8,530</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5,009</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2,295</w:t>
            </w:r>
          </w:p>
        </w:tc>
      </w:tr>
      <w:tr>
        <w:trPr>
          <w:trHeight w:val="216"/>
        </w:trPr>
        <w:tc>
          <w:tcPr>
            <w:tcW w:w="30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227</w:t>
            </w:r>
          </w:p>
        </w:tc>
      </w:tr>
      <w:tr>
        <w:trPr>
          <w:trHeight w:val="219"/>
        </w:trPr>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1,411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748</w:t>
            </w:r>
          </w:p>
        </w:tc>
      </w:tr>
      <w:tr>
        <w:trPr>
          <w:trHeight w:val="209"/>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10,063</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6,525</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3,270</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5920" w:space="720"/>
            <w:col w:w="4600"/>
          </w:cols>
          <w:pgMar w:left="320" w:top="144" w:right="339" w:bottom="1440" w:gutter="0" w:footer="0" w:header="0"/>
          <w:type w:val="continuous"/>
        </w:sectPr>
      </w:pPr>
    </w:p>
    <w:p>
      <w:pPr>
        <w:jc w:val="both"/>
        <w:ind w:firstLine="749"/>
        <w:spacing w:after="0" w:line="253" w:lineRule="auto"/>
        <w:rPr>
          <w:sz w:val="20"/>
          <w:szCs w:val="20"/>
          <w:color w:val="auto"/>
        </w:rPr>
      </w:pPr>
      <w:r>
        <w:rPr>
          <w:rFonts w:ascii="Arial" w:cs="Arial" w:eastAsia="Arial" w:hAnsi="Arial"/>
          <w:sz w:val="16"/>
          <w:szCs w:val="16"/>
          <w:color w:val="auto"/>
        </w:rPr>
        <w:t>As of December 31, 2022, the Company’s operating leases had a weighted-average remaining lease term of 11.1 years and a weighted-average discount rate of 10.5%. The Company’s discount rates are based on estimates of its incremental borrowing rate, as the discount rates implicit in the Company’s lease cannot be readily determined. Future lease payments under operating leases as of December 31, 2022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5,711</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2024</w:t>
            </w:r>
          </w:p>
        </w:tc>
        <w:tc>
          <w:tcPr>
            <w:tcW w:w="40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7,895</w:t>
            </w:r>
          </w:p>
        </w:tc>
      </w:tr>
      <w:tr>
        <w:trPr>
          <w:trHeight w:val="21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7,808</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2026</w:t>
            </w:r>
          </w:p>
        </w:tc>
        <w:tc>
          <w:tcPr>
            <w:tcW w:w="40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7,168</w:t>
            </w:r>
          </w:p>
        </w:tc>
      </w:tr>
      <w:tr>
        <w:trPr>
          <w:trHeight w:val="21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7,189</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2028 and thereafter</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48,013</w:t>
            </w:r>
          </w:p>
        </w:tc>
      </w:tr>
      <w:tr>
        <w:trPr>
          <w:trHeight w:val="212"/>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future minimum lease payments</w:t>
            </w: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83,784</w:t>
            </w:r>
          </w:p>
        </w:tc>
      </w:tr>
      <w:tr>
        <w:trPr>
          <w:trHeight w:val="213"/>
        </w:trPr>
        <w:tc>
          <w:tcPr>
            <w:tcW w:w="922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(37,352 )</w:t>
            </w:r>
          </w:p>
        </w:tc>
      </w:tr>
      <w:tr>
        <w:trPr>
          <w:trHeight w:val="213"/>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Present value of future minimum lease payments</w:t>
            </w: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46,432</w:t>
            </w:r>
          </w:p>
        </w:tc>
      </w:tr>
      <w:tr>
        <w:trPr>
          <w:trHeight w:val="213"/>
        </w:trPr>
        <w:tc>
          <w:tcPr>
            <w:tcW w:w="9220" w:type="dxa"/>
            <w:vAlign w:val="bottom"/>
          </w:tcPr>
          <w:p>
            <w:pPr>
              <w:ind w:left="200"/>
              <w:spacing w:after="0"/>
              <w:rPr>
                <w:sz w:val="20"/>
                <w:szCs w:val="20"/>
                <w:color w:val="auto"/>
              </w:rPr>
            </w:pPr>
            <w:r>
              <w:rPr>
                <w:rFonts w:ascii="Arial" w:cs="Arial" w:eastAsia="Arial" w:hAnsi="Arial"/>
                <w:sz w:val="16"/>
                <w:szCs w:val="16"/>
                <w:color w:val="auto"/>
              </w:rPr>
              <w:t>Less: current portion of operating lease liability (included in accrued and other current liabilities)</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(5,391 )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4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41,041</w:t>
            </w:r>
          </w:p>
        </w:tc>
      </w:tr>
    </w:tbl>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years ended December 31, 2022, 2021 and 2020, was $4.4 million, $3.3 million and $1.7 million, respectively. Right-of-use assets obtained in exchange for new operating lease liabilities, during 2022, 2021 and 2020, were $3.1 million, $46.5 million and $9.8 million, respectively. Additionally, the remeasurement of the Fremont headquarters lease liability in the third quarter of 2022 resulted in a $12.9 million reduction to right-of-use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35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849"/>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Shares of common stock available for issuance under the Company’s equity incentive plans at December 31, 2022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stock awards</w:t>
            </w:r>
          </w:p>
        </w:tc>
        <w:tc>
          <w:tcPr>
            <w:tcW w:w="67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8,493,614</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Reserved for future award grants</w:t>
            </w:r>
          </w:p>
        </w:tc>
        <w:tc>
          <w:tcPr>
            <w:tcW w:w="6700" w:type="dxa"/>
            <w:vAlign w:val="bottom"/>
            <w:gridSpan w:val="2"/>
          </w:tcPr>
          <w:p>
            <w:pPr>
              <w:jc w:val="right"/>
              <w:ind w:right="44"/>
              <w:spacing w:after="0"/>
              <w:rPr>
                <w:sz w:val="20"/>
                <w:szCs w:val="20"/>
                <w:color w:val="auto"/>
              </w:rPr>
            </w:pPr>
            <w:r>
              <w:rPr>
                <w:rFonts w:ascii="Arial" w:cs="Arial" w:eastAsia="Arial" w:hAnsi="Arial"/>
                <w:sz w:val="16"/>
                <w:szCs w:val="16"/>
                <w:color w:val="auto"/>
              </w:rPr>
              <w:t>1,958,949</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Reserved for future ESPP</w:t>
            </w:r>
          </w:p>
        </w:tc>
        <w:tc>
          <w:tcPr>
            <w:tcW w:w="468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615,879</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6"/>
                <w:szCs w:val="16"/>
                <w:color w:val="auto"/>
              </w:rPr>
              <w:t>Total common stock reserved for stock awards</w:t>
            </w:r>
          </w:p>
        </w:tc>
        <w:tc>
          <w:tcPr>
            <w:tcW w:w="6700" w:type="dxa"/>
            <w:vAlign w:val="bottom"/>
            <w:gridSpan w:val="2"/>
          </w:tcPr>
          <w:p>
            <w:pPr>
              <w:jc w:val="right"/>
              <w:ind w:right="44"/>
              <w:spacing w:after="0"/>
              <w:rPr>
                <w:sz w:val="20"/>
                <w:szCs w:val="20"/>
                <w:color w:val="auto"/>
              </w:rPr>
            </w:pPr>
            <w:r>
              <w:rPr>
                <w:rFonts w:ascii="Arial" w:cs="Arial" w:eastAsia="Arial" w:hAnsi="Arial"/>
                <w:sz w:val="16"/>
                <w:szCs w:val="16"/>
                <w:color w:val="auto"/>
              </w:rPr>
              <w:t>11,068,442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680" w:type="dxa"/>
            <w:vAlign w:val="bottom"/>
            <w:vMerge w:val="restart"/>
          </w:tcPr>
          <w:p>
            <w:pPr>
              <w:jc w:val="right"/>
              <w:ind w:right="3419"/>
              <w:spacing w:after="0"/>
              <w:rPr>
                <w:sz w:val="20"/>
                <w:szCs w:val="20"/>
                <w:color w:val="auto"/>
              </w:rPr>
            </w:pPr>
            <w:r>
              <w:rPr>
                <w:rFonts w:ascii="Arial" w:cs="Arial" w:eastAsia="Arial" w:hAnsi="Arial"/>
                <w:sz w:val="16"/>
                <w:szCs w:val="16"/>
                <w:color w:val="auto"/>
              </w:rPr>
              <w:t>87</w:t>
            </w: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5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4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years ended December 31, 2022, 2021, and 2020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Outstanding Options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6"/>
        </w:trPr>
        <w:tc>
          <w:tcPr>
            <w:tcW w:w="6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6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6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b w:val="1"/>
                <w:bCs w:val="1"/>
                <w:color w:val="auto"/>
              </w:rPr>
              <w:t>Weighted-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20" w:type="dxa"/>
            <w:vAlign w:val="bottom"/>
          </w:tcPr>
          <w:p>
            <w:pPr>
              <w:jc w:val="center"/>
              <w:ind w:right="18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400" w:type="dxa"/>
            <w:vAlign w:val="bottom"/>
          </w:tcPr>
          <w:p>
            <w:pPr>
              <w:spacing w:after="0"/>
              <w:rPr>
                <w:sz w:val="14"/>
                <w:szCs w:val="14"/>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41"/>
              <w:spacing w:after="0"/>
              <w:rPr>
                <w:sz w:val="20"/>
                <w:szCs w:val="20"/>
                <w:color w:val="auto"/>
              </w:rPr>
            </w:pPr>
            <w:r>
              <w:rPr>
                <w:rFonts w:ascii="Arial" w:cs="Arial" w:eastAsia="Arial" w:hAnsi="Arial"/>
                <w:sz w:val="14"/>
                <w:szCs w:val="14"/>
                <w:b w:val="1"/>
                <w:bCs w:val="1"/>
                <w:color w:val="auto"/>
              </w:rPr>
              <w:t>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20" w:type="dxa"/>
            <w:vAlign w:val="bottom"/>
          </w:tcPr>
          <w:p>
            <w:pPr>
              <w:jc w:val="center"/>
              <w:ind w:right="182"/>
              <w:spacing w:after="0"/>
              <w:rPr>
                <w:sz w:val="20"/>
                <w:szCs w:val="20"/>
                <w:color w:val="auto"/>
              </w:rPr>
            </w:pPr>
            <w:r>
              <w:rPr>
                <w:rFonts w:ascii="Arial" w:cs="Arial" w:eastAsia="Arial" w:hAnsi="Arial"/>
                <w:sz w:val="14"/>
                <w:szCs w:val="14"/>
                <w:b w:val="1"/>
                <w:bCs w:val="1"/>
                <w:color w:val="auto"/>
              </w:rPr>
              <w:t>Intrinsic</w:t>
            </w:r>
          </w:p>
        </w:tc>
      </w:tr>
      <w:tr>
        <w:trPr>
          <w:trHeight w:val="189"/>
        </w:trPr>
        <w:tc>
          <w:tcPr>
            <w:tcW w:w="640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1"/>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Value</w:t>
            </w:r>
          </w:p>
        </w:tc>
      </w:tr>
      <w:tr>
        <w:trPr>
          <w:trHeight w:val="210"/>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2019</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4,731,435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4.94</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29,730</w:t>
            </w: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1,357,741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12.05</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(908,691 )</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3.07</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6"/>
        </w:trPr>
        <w:tc>
          <w:tcPr>
            <w:tcW w:w="640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(232,179 )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7.87</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4,948,306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7.10</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146,044</w:t>
            </w: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1,026,276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21.26</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(862,056 )</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2.43</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6"/>
        </w:trPr>
        <w:tc>
          <w:tcPr>
            <w:tcW w:w="640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(110,107 )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13.88</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5,002,419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10.66</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28,308</w:t>
            </w:r>
          </w:p>
        </w:tc>
      </w:tr>
      <w:tr>
        <w:trPr>
          <w:trHeight w:val="213"/>
        </w:trPr>
        <w:tc>
          <w:tcPr>
            <w:tcW w:w="64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1,429,295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4.80</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(488,187 )</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2.07</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6"/>
        </w:trPr>
        <w:tc>
          <w:tcPr>
            <w:tcW w:w="640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(492,395 )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10.57</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9"/>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5,451,132</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9.90</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r>
      <w:tr>
        <w:trPr>
          <w:trHeight w:val="197"/>
        </w:trPr>
        <w:tc>
          <w:tcPr>
            <w:tcW w:w="6400" w:type="dxa"/>
            <w:vAlign w:val="bottom"/>
          </w:tcPr>
          <w:p>
            <w:pPr>
              <w:ind w:left="20"/>
              <w:spacing w:after="0"/>
              <w:rPr>
                <w:sz w:val="20"/>
                <w:szCs w:val="20"/>
                <w:color w:val="auto"/>
              </w:rPr>
            </w:pPr>
            <w:r>
              <w:rPr>
                <w:rFonts w:ascii="Arial" w:cs="Arial" w:eastAsia="Arial" w:hAnsi="Arial"/>
                <w:sz w:val="16"/>
                <w:szCs w:val="16"/>
                <w:color w:val="auto"/>
              </w:rPr>
              <w:t>Options vested and exercisable as of December 31, 2022</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3,740,205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9.03</w:t>
            </w:r>
          </w:p>
        </w:tc>
        <w:tc>
          <w:tcPr>
            <w:tcW w:w="1180" w:type="dxa"/>
            <w:vAlign w:val="bottom"/>
          </w:tcPr>
          <w:p>
            <w:pPr>
              <w:jc w:val="right"/>
              <w:spacing w:after="0"/>
              <w:rPr>
                <w:sz w:val="20"/>
                <w:szCs w:val="20"/>
                <w:color w:val="auto"/>
              </w:rPr>
            </w:pPr>
            <w:r>
              <w:rPr>
                <w:rFonts w:ascii="Arial" w:cs="Arial" w:eastAsia="Arial" w:hAnsi="Arial"/>
                <w:sz w:val="16"/>
                <w:szCs w:val="16"/>
                <w:color w:val="auto"/>
              </w:rPr>
              <w:t>3.76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w:t>
            </w:r>
          </w:p>
        </w:tc>
      </w:tr>
      <w:tr>
        <w:trPr>
          <w:trHeight w:val="20"/>
        </w:trPr>
        <w:tc>
          <w:tcPr>
            <w:tcW w:w="6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-187960</wp:posOffset>
            </wp:positionV>
            <wp:extent cx="889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5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$1.98 on December 31, 2022 and the exercise prices of the underlying stock options. Out-of-the money stock options are excluded from the aggregate intrinsic value.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weighted-average grant date fair value of options granted was $3.21, $13.14, and $7.17 per share for the years ended December 31, 2022, 2021, and 2020, respectively. As of December 31, 2022, the unrecognized stock-based compensation of unvested options was $10.3 million, which is expected to be recognized over a weighted-average period of 2.4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range of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620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r>
      <w:tr>
        <w:trPr>
          <w:trHeight w:val="210"/>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5.50 - 6.08</w:t>
            </w:r>
          </w:p>
        </w:tc>
        <w:tc>
          <w:tcPr>
            <w:tcW w:w="1740" w:type="dxa"/>
            <w:vAlign w:val="bottom"/>
            <w:gridSpan w:val="3"/>
            <w:shd w:val="clear" w:color="auto" w:fill="CFF0FC"/>
          </w:tcPr>
          <w:p>
            <w:pPr>
              <w:jc w:val="center"/>
              <w:ind w:left="61"/>
              <w:spacing w:after="0"/>
              <w:rPr>
                <w:sz w:val="20"/>
                <w:szCs w:val="20"/>
                <w:color w:val="auto"/>
              </w:rPr>
            </w:pPr>
            <w:r>
              <w:rPr>
                <w:rFonts w:ascii="Arial" w:cs="Arial" w:eastAsia="Arial" w:hAnsi="Arial"/>
                <w:sz w:val="16"/>
                <w:szCs w:val="16"/>
                <w:color w:val="auto"/>
                <w:w w:val="99"/>
              </w:rPr>
              <w:t>5.50 - 6.27</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5.50 - 6.40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660" w:type="dxa"/>
            <w:vAlign w:val="bottom"/>
          </w:tcPr>
          <w:p>
            <w:pPr>
              <w:jc w:val="right"/>
              <w:spacing w:after="0"/>
              <w:rPr>
                <w:sz w:val="20"/>
                <w:szCs w:val="20"/>
                <w:color w:val="auto"/>
              </w:rPr>
            </w:pPr>
            <w:r>
              <w:rPr>
                <w:rFonts w:ascii="Arial" w:cs="Arial" w:eastAsia="Arial" w:hAnsi="Arial"/>
                <w:sz w:val="16"/>
                <w:szCs w:val="16"/>
                <w:color w:val="auto"/>
              </w:rPr>
              <w:t>68.37</w:t>
            </w:r>
          </w:p>
        </w:tc>
        <w:tc>
          <w:tcPr>
            <w:tcW w:w="920" w:type="dxa"/>
            <w:vAlign w:val="bottom"/>
          </w:tcPr>
          <w:p>
            <w:pPr>
              <w:ind w:left="20"/>
              <w:spacing w:after="0"/>
              <w:rPr>
                <w:sz w:val="20"/>
                <w:szCs w:val="20"/>
                <w:color w:val="auto"/>
              </w:rPr>
            </w:pPr>
            <w:r>
              <w:rPr>
                <w:rFonts w:ascii="Arial" w:cs="Arial" w:eastAsia="Arial" w:hAnsi="Arial"/>
                <w:sz w:val="16"/>
                <w:szCs w:val="16"/>
                <w:color w:val="auto"/>
              </w:rPr>
              <w:t>- 77.68%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67.97</w:t>
            </w:r>
          </w:p>
        </w:tc>
        <w:tc>
          <w:tcPr>
            <w:tcW w:w="920" w:type="dxa"/>
            <w:vAlign w:val="bottom"/>
          </w:tcPr>
          <w:p>
            <w:pPr>
              <w:ind w:left="20"/>
              <w:spacing w:after="0"/>
              <w:rPr>
                <w:sz w:val="20"/>
                <w:szCs w:val="20"/>
                <w:color w:val="auto"/>
              </w:rPr>
            </w:pPr>
            <w:r>
              <w:rPr>
                <w:rFonts w:ascii="Arial" w:cs="Arial" w:eastAsia="Arial" w:hAnsi="Arial"/>
                <w:sz w:val="16"/>
                <w:szCs w:val="16"/>
                <w:color w:val="auto"/>
              </w:rPr>
              <w:t>- 69.90%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61.74</w:t>
            </w:r>
          </w:p>
        </w:tc>
        <w:tc>
          <w:tcPr>
            <w:tcW w:w="920" w:type="dxa"/>
            <w:vAlign w:val="bottom"/>
          </w:tcPr>
          <w:p>
            <w:pPr>
              <w:ind w:left="20"/>
              <w:spacing w:after="0"/>
              <w:rPr>
                <w:sz w:val="20"/>
                <w:szCs w:val="20"/>
                <w:color w:val="auto"/>
              </w:rPr>
            </w:pPr>
            <w:r>
              <w:rPr>
                <w:rFonts w:ascii="Arial" w:cs="Arial" w:eastAsia="Arial" w:hAnsi="Arial"/>
                <w:sz w:val="16"/>
                <w:szCs w:val="16"/>
                <w:color w:val="auto"/>
              </w:rPr>
              <w:t>- 68.18%</w:t>
            </w:r>
          </w:p>
        </w:tc>
      </w:tr>
      <w:tr>
        <w:trPr>
          <w:trHeight w:val="21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- 4.23%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- 1.39%</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- 1.66%</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660" w:type="dxa"/>
            <w:vAlign w:val="bottom"/>
          </w:tcPr>
          <w:p>
            <w:pPr>
              <w:spacing w:after="0"/>
              <w:rPr>
                <w:sz w:val="18"/>
                <w:szCs w:val="18"/>
                <w:color w:val="auto"/>
              </w:rPr>
            </w:pPr>
          </w:p>
        </w:tc>
        <w:tc>
          <w:tcPr>
            <w:tcW w:w="920" w:type="dxa"/>
            <w:vAlign w:val="bottom"/>
          </w:tcPr>
          <w:p>
            <w:pPr>
              <w:jc w:val="center"/>
              <w:ind w:right="579"/>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center"/>
              <w:ind w:right="8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20" w:type="dxa"/>
            <w:vAlign w:val="bottom"/>
          </w:tcPr>
          <w:p>
            <w:pPr>
              <w:jc w:val="center"/>
              <w:ind w:right="59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March 2020, the Company’s board of directors granted the Company’s then Chief Executive Officer a performance-based stock option (“PSO”) to purchase 421,000 shares of common stock. The PSO was subject to the Chief Executive Officer’s continued service to the Company through the date of vesting and, if the performance condition were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 During the last quarter of 2020, the Company’s average market capitalization was equal to or greater than $1 billion over a 30 calendar day period and the PSO vested in full.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ind w:right="60" w:firstLine="749"/>
        <w:spacing w:after="0" w:line="260" w:lineRule="auto"/>
        <w:rPr>
          <w:sz w:val="20"/>
          <w:szCs w:val="20"/>
          <w:color w:val="auto"/>
        </w:rPr>
      </w:pPr>
      <w:r>
        <w:rPr>
          <w:rFonts w:ascii="Arial" w:cs="Arial" w:eastAsia="Arial" w:hAnsi="Arial"/>
          <w:sz w:val="16"/>
          <w:szCs w:val="16"/>
          <w:color w:val="auto"/>
        </w:rPr>
        <w:t>A summary of the Company’s performance-based stock option activity under the 2019 Plan for the years ended December 31, 2022, 2021 and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7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Outstanding Performance-Based Options</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2019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Options granted</w:t>
            </w:r>
          </w:p>
        </w:tc>
        <w:tc>
          <w:tcPr>
            <w:tcW w:w="1080" w:type="dxa"/>
            <w:vAlign w:val="bottom"/>
          </w:tcPr>
          <w:p>
            <w:pPr>
              <w:jc w:val="right"/>
              <w:spacing w:after="0"/>
              <w:rPr>
                <w:sz w:val="20"/>
                <w:szCs w:val="20"/>
                <w:color w:val="auto"/>
              </w:rPr>
            </w:pPr>
            <w:r>
              <w:rPr>
                <w:rFonts w:ascii="Arial" w:cs="Arial" w:eastAsia="Arial" w:hAnsi="Arial"/>
                <w:sz w:val="16"/>
                <w:szCs w:val="16"/>
                <w:color w:val="auto"/>
              </w:rPr>
              <w:t>421,000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exercised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color w:val="auto"/>
              </w:rPr>
              <w:t>Options cancelled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color w:val="auto"/>
              </w:rPr>
              <w:t>No activities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color w:val="auto"/>
              </w:rPr>
              <w:t>No activities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421,000</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6"/>
                <w:szCs w:val="16"/>
                <w:color w:val="auto"/>
              </w:rPr>
              <w:t>Options vested and exercisable as of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7747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2022, there is no remaining unrecognized stock-based compensation cost.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Performance period (in years)</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9220" w:type="dxa"/>
            <w:vAlign w:val="bottom"/>
          </w:tcPr>
          <w:p>
            <w:pPr>
              <w:ind w:left="20"/>
              <w:spacing w:after="0"/>
              <w:rPr>
                <w:sz w:val="20"/>
                <w:szCs w:val="20"/>
                <w:color w:val="auto"/>
              </w:rPr>
            </w:pPr>
            <w:r>
              <w:rPr>
                <w:rFonts w:ascii="Arial" w:cs="Arial" w:eastAsia="Arial" w:hAnsi="Arial"/>
                <w:sz w:val="16"/>
                <w:szCs w:val="16"/>
                <w:color w:val="auto"/>
              </w:rPr>
              <w:t>Derived service period (in years)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4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63.60 %</w:t>
            </w:r>
          </w:p>
        </w:tc>
      </w:tr>
      <w:tr>
        <w:trPr>
          <w:trHeight w:val="219"/>
        </w:trPr>
        <w:tc>
          <w:tcPr>
            <w:tcW w:w="92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4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1.02 %</w:t>
            </w:r>
          </w:p>
        </w:tc>
      </w:tr>
      <w:tr>
        <w:trPr>
          <w:trHeight w:val="21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yield</w:t>
            </w: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0"/>
        </w:trPr>
        <w:tc>
          <w:tcPr>
            <w:tcW w:w="9220" w:type="dxa"/>
            <w:vAlign w:val="bottom"/>
          </w:tcPr>
          <w:p>
            <w:pPr>
              <w:ind w:left="20"/>
              <w:spacing w:after="0"/>
              <w:rPr>
                <w:sz w:val="20"/>
                <w:szCs w:val="20"/>
                <w:color w:val="auto"/>
              </w:rPr>
            </w:pPr>
            <w:r>
              <w:rPr>
                <w:rFonts w:ascii="Arial" w:cs="Arial" w:eastAsia="Arial" w:hAnsi="Arial"/>
                <w:sz w:val="16"/>
                <w:szCs w:val="16"/>
                <w:color w:val="auto"/>
              </w:rPr>
              <w:t>Estimated fair value (per share)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210" w:lineRule="exact"/>
        <w:rPr>
          <w:sz w:val="20"/>
          <w:szCs w:val="20"/>
          <w:color w:val="auto"/>
        </w:rPr>
      </w:pPr>
    </w:p>
    <w:p>
      <w:pPr>
        <w:ind w:right="40" w:firstLine="749"/>
        <w:spacing w:after="0" w:line="260" w:lineRule="auto"/>
        <w:rPr>
          <w:sz w:val="20"/>
          <w:szCs w:val="20"/>
          <w:color w:val="auto"/>
        </w:rPr>
      </w:pPr>
      <w:r>
        <w:rPr>
          <w:rFonts w:ascii="Arial" w:cs="Arial" w:eastAsia="Arial" w:hAnsi="Arial"/>
          <w:sz w:val="16"/>
          <w:szCs w:val="16"/>
          <w:color w:val="auto"/>
        </w:rPr>
        <w:t>A summary of the Company’s RSU activity under the 2019 Plan and Inducement Plan for the years ended December 31, 2022, 2021 and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Unvested Restricted Stock Units</w:t>
            </w:r>
          </w:p>
        </w:tc>
        <w:tc>
          <w:tcPr>
            <w:tcW w:w="1120" w:type="dxa"/>
            <w:vAlign w:val="bottom"/>
            <w:tcBorders>
              <w:bottom w:val="single" w:sz="8" w:color="auto"/>
            </w:tcBorders>
          </w:tcPr>
          <w:p>
            <w:pPr>
              <w:spacing w:after="0"/>
              <w:rPr>
                <w:sz w:val="16"/>
                <w:szCs w:val="16"/>
                <w:color w:val="auto"/>
              </w:rPr>
            </w:pPr>
          </w:p>
        </w:tc>
      </w:tr>
      <w:tr>
        <w:trPr>
          <w:trHeight w:val="156"/>
        </w:trPr>
        <w:tc>
          <w:tcPr>
            <w:tcW w:w="4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21"/>
              <w:spacing w:after="0" w:line="156"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4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221"/>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40" w:type="dxa"/>
            <w:vAlign w:val="bottom"/>
          </w:tcPr>
          <w:p>
            <w:pPr>
              <w:jc w:val="right"/>
              <w:ind w:right="34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261"/>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2560" w:type="dxa"/>
            <w:vAlign w:val="bottom"/>
          </w:tcPr>
          <w:p>
            <w:pPr>
              <w:spacing w:after="0"/>
              <w:rPr>
                <w:sz w:val="16"/>
                <w:szCs w:val="16"/>
                <w:color w:val="auto"/>
              </w:rPr>
            </w:pPr>
          </w:p>
        </w:tc>
        <w:tc>
          <w:tcPr>
            <w:tcW w:w="14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2019</w:t>
            </w:r>
          </w:p>
        </w:tc>
        <w:tc>
          <w:tcPr>
            <w:tcW w:w="40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120,000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8.86</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1,308</w:t>
            </w:r>
          </w:p>
        </w:tc>
      </w:tr>
      <w:tr>
        <w:trPr>
          <w:trHeight w:val="213"/>
        </w:trPr>
        <w:tc>
          <w:tcPr>
            <w:tcW w:w="430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4000" w:type="dxa"/>
            <w:vAlign w:val="bottom"/>
            <w:gridSpan w:val="2"/>
          </w:tcPr>
          <w:p>
            <w:pPr>
              <w:jc w:val="right"/>
              <w:ind w:right="64"/>
              <w:spacing w:after="0"/>
              <w:rPr>
                <w:sz w:val="20"/>
                <w:szCs w:val="20"/>
                <w:color w:val="auto"/>
              </w:rPr>
            </w:pPr>
            <w:r>
              <w:rPr>
                <w:rFonts w:ascii="Arial" w:cs="Arial" w:eastAsia="Arial" w:hAnsi="Arial"/>
                <w:sz w:val="16"/>
                <w:szCs w:val="16"/>
                <w:color w:val="auto"/>
              </w:rPr>
              <w:t>648,000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(130,945 )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7.09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2,991</w:t>
            </w:r>
          </w:p>
        </w:tc>
      </w:tr>
      <w:tr>
        <w:trPr>
          <w:trHeight w:val="216"/>
        </w:trPr>
        <w:tc>
          <w:tcPr>
            <w:tcW w:w="430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25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40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619,218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10.41</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22,670</w:t>
            </w:r>
          </w:p>
        </w:tc>
      </w:tr>
      <w:tr>
        <w:trPr>
          <w:trHeight w:val="213"/>
        </w:trPr>
        <w:tc>
          <w:tcPr>
            <w:tcW w:w="430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4000" w:type="dxa"/>
            <w:vAlign w:val="bottom"/>
            <w:gridSpan w:val="2"/>
          </w:tcPr>
          <w:p>
            <w:pPr>
              <w:jc w:val="right"/>
              <w:ind w:right="64"/>
              <w:spacing w:after="0"/>
              <w:rPr>
                <w:sz w:val="20"/>
                <w:szCs w:val="20"/>
                <w:color w:val="auto"/>
              </w:rPr>
            </w:pPr>
            <w:r>
              <w:rPr>
                <w:rFonts w:ascii="Arial" w:cs="Arial" w:eastAsia="Arial" w:hAnsi="Arial"/>
                <w:sz w:val="16"/>
                <w:szCs w:val="16"/>
                <w:color w:val="auto"/>
              </w:rPr>
              <w:t>1,387,656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(266,119 )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10.93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5,521</w:t>
            </w:r>
          </w:p>
        </w:tc>
      </w:tr>
      <w:tr>
        <w:trPr>
          <w:trHeight w:val="216"/>
        </w:trPr>
        <w:tc>
          <w:tcPr>
            <w:tcW w:w="430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25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40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1,679,696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16.35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23,969</w:t>
            </w:r>
          </w:p>
        </w:tc>
      </w:tr>
      <w:tr>
        <w:trPr>
          <w:trHeight w:val="213"/>
        </w:trPr>
        <w:tc>
          <w:tcPr>
            <w:tcW w:w="430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4000" w:type="dxa"/>
            <w:vAlign w:val="bottom"/>
            <w:gridSpan w:val="2"/>
          </w:tcPr>
          <w:p>
            <w:pPr>
              <w:jc w:val="right"/>
              <w:ind w:right="64"/>
              <w:spacing w:after="0"/>
              <w:rPr>
                <w:sz w:val="20"/>
                <w:szCs w:val="20"/>
                <w:color w:val="auto"/>
              </w:rPr>
            </w:pPr>
            <w:r>
              <w:rPr>
                <w:rFonts w:ascii="Arial" w:cs="Arial" w:eastAsia="Arial" w:hAnsi="Arial"/>
                <w:sz w:val="16"/>
                <w:szCs w:val="16"/>
                <w:color w:val="auto"/>
              </w:rPr>
              <w:t>2,071,201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(897,871 )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3,189</w:t>
            </w:r>
          </w:p>
        </w:tc>
      </w:tr>
      <w:tr>
        <w:trPr>
          <w:trHeight w:val="216"/>
        </w:trPr>
        <w:tc>
          <w:tcPr>
            <w:tcW w:w="430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25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(231,544 )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40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2,621,482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9.33</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5,191</w:t>
            </w:r>
          </w:p>
        </w:tc>
      </w:tr>
      <w:tr>
        <w:trPr>
          <w:trHeight w:val="609"/>
        </w:trPr>
        <w:tc>
          <w:tcPr>
            <w:tcW w:w="430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059"/>
              <w:spacing w:after="0"/>
              <w:rPr>
                <w:sz w:val="20"/>
                <w:szCs w:val="20"/>
                <w:color w:val="auto"/>
              </w:rPr>
            </w:pPr>
            <w:r>
              <w:rPr>
                <w:rFonts w:ascii="Arial" w:cs="Arial" w:eastAsia="Arial" w:hAnsi="Arial"/>
                <w:sz w:val="16"/>
                <w:szCs w:val="16"/>
                <w:color w:val="auto"/>
              </w:rPr>
              <w:t>89</w:t>
            </w: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-504825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-487680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44" w:right="29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grants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 or four-year period. The Company accounts for the fair value of RSUs using the closing market price of the Company’s common stock on the date of grant.</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$1.98 on December 31, 2022. As of December 31, 2022, the unrecognized stock-based compensation cost of unvested RSUs was $21.9 million, which is expected to be recognized over a weighted-average period of 2.6 years.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years ended December 31, 2022, 2021 and 2020, 416,514, 128,289 and 164,164 shares of common stock were purchased 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respectively. The fair value of stock purchase rights granted under the ESPP was estimated using the following range of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00" w:type="dxa"/>
            <w:vAlign w:val="bottom"/>
            <w:tcBorders>
              <w:bottom w:val="single" w:sz="8" w:color="auto"/>
            </w:tcBorders>
          </w:tcPr>
          <w:p>
            <w:pPr>
              <w:spacing w:after="0"/>
              <w:rPr>
                <w:sz w:val="16"/>
                <w:szCs w:val="16"/>
                <w:color w:val="auto"/>
              </w:rPr>
            </w:pPr>
          </w:p>
        </w:tc>
      </w:tr>
      <w:tr>
        <w:trPr>
          <w:trHeight w:val="183"/>
        </w:trPr>
        <w:tc>
          <w:tcPr>
            <w:tcW w:w="62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0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0.49 - 0.5</w:t>
            </w:r>
          </w:p>
        </w:tc>
        <w:tc>
          <w:tcPr>
            <w:tcW w:w="1740" w:type="dxa"/>
            <w:vAlign w:val="bottom"/>
            <w:gridSpan w:val="3"/>
            <w:shd w:val="clear" w:color="auto" w:fill="CFF0FC"/>
          </w:tcPr>
          <w:p>
            <w:pPr>
              <w:jc w:val="center"/>
              <w:ind w:left="61"/>
              <w:spacing w:after="0"/>
              <w:rPr>
                <w:sz w:val="20"/>
                <w:szCs w:val="20"/>
                <w:color w:val="auto"/>
              </w:rPr>
            </w:pPr>
            <w:r>
              <w:rPr>
                <w:rFonts w:ascii="Arial" w:cs="Arial" w:eastAsia="Arial" w:hAnsi="Arial"/>
                <w:sz w:val="16"/>
                <w:szCs w:val="16"/>
                <w:color w:val="auto"/>
              </w:rPr>
              <w:t>0.49</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0.49 - 0.5</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580" w:type="dxa"/>
            <w:vAlign w:val="bottom"/>
          </w:tcPr>
          <w:p>
            <w:pPr>
              <w:jc w:val="center"/>
              <w:spacing w:after="0"/>
              <w:rPr>
                <w:sz w:val="20"/>
                <w:szCs w:val="20"/>
                <w:color w:val="auto"/>
              </w:rPr>
            </w:pPr>
            <w:r>
              <w:rPr>
                <w:rFonts w:ascii="Arial" w:cs="Arial" w:eastAsia="Arial" w:hAnsi="Arial"/>
                <w:sz w:val="16"/>
                <w:szCs w:val="16"/>
                <w:color w:val="auto"/>
              </w:rPr>
              <w:t>82.35 - 112.07%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55.92</w:t>
            </w:r>
          </w:p>
        </w:tc>
        <w:tc>
          <w:tcPr>
            <w:tcW w:w="920" w:type="dxa"/>
            <w:vAlign w:val="bottom"/>
          </w:tcPr>
          <w:p>
            <w:pPr>
              <w:ind w:left="20"/>
              <w:spacing w:after="0"/>
              <w:rPr>
                <w:sz w:val="20"/>
                <w:szCs w:val="20"/>
                <w:color w:val="auto"/>
              </w:rPr>
            </w:pPr>
            <w:r>
              <w:rPr>
                <w:rFonts w:ascii="Arial" w:cs="Arial" w:eastAsia="Arial" w:hAnsi="Arial"/>
                <w:sz w:val="16"/>
                <w:szCs w:val="16"/>
                <w:color w:val="auto"/>
              </w:rPr>
              <w:t>- 74.88%</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65.15 - 102.10%</w:t>
            </w:r>
          </w:p>
        </w:tc>
      </w:tr>
      <w:tr>
        <w:trPr>
          <w:trHeight w:val="21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1.49 - 4.58%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- 0.06%</w:t>
            </w: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0.11 - 0.12%</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center"/>
              <w:ind w:right="800"/>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$1.26 - $2.23</w:t>
            </w:r>
          </w:p>
        </w:tc>
        <w:tc>
          <w:tcPr>
            <w:tcW w:w="1740" w:type="dxa"/>
            <w:vAlign w:val="bottom"/>
            <w:gridSpan w:val="3"/>
            <w:shd w:val="clear" w:color="auto" w:fill="CFF0FC"/>
          </w:tcPr>
          <w:p>
            <w:pPr>
              <w:jc w:val="center"/>
              <w:ind w:left="61"/>
              <w:spacing w:after="0"/>
              <w:rPr>
                <w:sz w:val="20"/>
                <w:szCs w:val="20"/>
                <w:color w:val="auto"/>
              </w:rPr>
            </w:pPr>
            <w:r>
              <w:rPr>
                <w:rFonts w:ascii="Arial" w:cs="Arial" w:eastAsia="Arial" w:hAnsi="Arial"/>
                <w:sz w:val="16"/>
                <w:szCs w:val="16"/>
                <w:color w:val="auto"/>
              </w:rPr>
              <w:t>$6.30 - $8.21</w:t>
            </w: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$4.29 - $8.12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w:t>
            </w:r>
          </w:p>
        </w:tc>
        <w:tc>
          <w:tcPr>
            <w:tcW w:w="5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854</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4,064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1,773</w:t>
            </w:r>
          </w:p>
        </w:tc>
      </w:tr>
      <w:tr>
        <w:trPr>
          <w:trHeight w:val="21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12,255</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8,900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5,611</w:t>
            </w:r>
          </w:p>
        </w:tc>
      </w:tr>
      <w:tr>
        <w:trPr>
          <w:trHeight w:val="210"/>
        </w:trPr>
        <w:tc>
          <w:tcPr>
            <w:tcW w:w="666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19,433</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14,378</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8,238</w:t>
            </w:r>
          </w:p>
        </w:tc>
      </w:tr>
      <w:tr>
        <w:trPr>
          <w:trHeight w:val="20"/>
        </w:trPr>
        <w:tc>
          <w:tcPr>
            <w:tcW w:w="66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66"/>
        </w:trPr>
        <w:tc>
          <w:tcPr>
            <w:tcW w:w="8000" w:type="dxa"/>
            <w:vAlign w:val="bottom"/>
            <w:gridSpan w:val="3"/>
          </w:tcPr>
          <w:p>
            <w:pPr>
              <w:jc w:val="right"/>
              <w:ind w:right="221"/>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0"/>
        </w:trPr>
        <w:tc>
          <w:tcPr>
            <w:tcW w:w="6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8,560</w:t>
            </w:r>
          </w:p>
        </w:tc>
        <w:tc>
          <w:tcPr>
            <w:tcW w:w="5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8,585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4,729</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Performance-based stock options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1,392</w:t>
            </w:r>
          </w:p>
        </w:tc>
      </w:tr>
      <w:tr>
        <w:trPr>
          <w:trHeight w:val="21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4,765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1,401</w:t>
            </w: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color w:val="auto"/>
              </w:rPr>
              <w:t>ESPP</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716</w:t>
            </w:r>
          </w:p>
        </w:tc>
      </w:tr>
      <w:tr>
        <w:trPr>
          <w:trHeight w:val="250"/>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19,433</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14,378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-1508125</wp:posOffset>
            </wp:positionV>
            <wp:extent cx="94615"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-1508125</wp:posOffset>
            </wp:positionV>
            <wp:extent cx="939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August 2, 2022, the Company filed a complaint in the U.S. District Court for the District of Colorado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 11,408,033 (the “’033 Patent”), entitled “Methods and Systems for Genetic Analysis.” The ‘033 Patent was granted on August 9, 2022 and relates to methods for sample processing and analysis to aid in the diagnosis, monitoring, treatment, and prevention of disease. The Company is seeking remedies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including injunctive relief, damages and costs. On October 12, 2022, Foresight filed its answer and counterclaims in the matter, alleging and seeking declaratory judgement that its solid tumor recurrence test does not infringe the Company’s asserted patents and that the claims of our asserted patents are invalid and/or unenforceable. On November 2, 2022, the Company filed its answer to Foresight’s counterclaims. The Company believes the assertions in Foresight's counterclaims are without merit and intends to vigorously defend against these counterclaims.</w:t>
      </w:r>
    </w:p>
    <w:p>
      <w:pPr>
        <w:spacing w:after="0" w:line="15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Between November 30, 2022 and February 11, 2023, Foresight filed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seeking to invalidate the four patents that we are asserting against Foresight in our patent infringement action. Also on November 30, 2022, Foresight filed a motion to stay our patent infringement action in the U.S. District Court for the District of Colorado pending the resolution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Foresight has requested. On December 21, 2022, we filed our opposition to Foresight’s motion to stay, and on December 29, 2022 Foresight filed its reply in support of the stay. On January 5, 2023, the Court held a hearing on Foresight’s motion and on January 24, 2023, the Court granted Foresight’s motion to stay our patent infringement action pending the resolution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The USPTO has yet to issue a decision regarding whether it will institute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Annual Report on Form 10-K.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paragraph of this Note 9, as of December 31, 2022, the Company was not involved in any material adverse legal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 The Company incurred net losses in the periods presented, and as a result, potential common shares from stock options, RSUs, and the assumed release of outstanding shares under the ESPP were not included in the diluted shares used to calculate net loss per share, as their inclusion would have been anti-dilutive.</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5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0"/>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(41,280 )</w:t>
            </w:r>
          </w:p>
        </w:tc>
      </w:tr>
      <w:tr>
        <w:trPr>
          <w:trHeight w:val="213"/>
        </w:trPr>
        <w:tc>
          <w:tcPr>
            <w:tcW w:w="526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45,704,805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43,886,730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34,374,903</w:t>
            </w:r>
          </w:p>
        </w:tc>
      </w:tr>
      <w:tr>
        <w:trPr>
          <w:trHeight w:val="25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(1.49 )</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(1.20 )</w:t>
            </w:r>
          </w:p>
        </w:tc>
      </w:tr>
      <w:tr>
        <w:trPr>
          <w:trHeight w:val="609"/>
        </w:trPr>
        <w:tc>
          <w:tcPr>
            <w:tcW w:w="526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ind w:right="839"/>
              <w:spacing w:after="0"/>
              <w:rPr>
                <w:sz w:val="20"/>
                <w:szCs w:val="20"/>
                <w:color w:val="auto"/>
              </w:rPr>
            </w:pPr>
            <w:r>
              <w:rPr>
                <w:rFonts w:ascii="Arial" w:cs="Arial" w:eastAsia="Arial" w:hAnsi="Arial"/>
                <w:sz w:val="16"/>
                <w:szCs w:val="16"/>
                <w:color w:val="auto"/>
              </w:rPr>
              <w:t>91</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94"/>
        </w:trPr>
        <w:tc>
          <w:tcPr>
            <w:tcW w:w="52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-496570</wp:posOffset>
            </wp:positionV>
            <wp:extent cx="1028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-479425</wp:posOffset>
            </wp:positionV>
            <wp:extent cx="1028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93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-479425</wp:posOffset>
            </wp:positionV>
            <wp:extent cx="939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720" w:type="dxa"/>
            <w:vAlign w:val="bottom"/>
          </w:tcPr>
          <w:p>
            <w:pPr>
              <w:spacing w:after="0"/>
              <w:rPr>
                <w:sz w:val="15"/>
                <w:szCs w:val="15"/>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0"/>
        </w:trPr>
        <w:tc>
          <w:tcPr>
            <w:tcW w:w="6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to purchase common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5,872,132</w:t>
            </w:r>
          </w:p>
        </w:tc>
        <w:tc>
          <w:tcPr>
            <w:tcW w:w="1640" w:type="dxa"/>
            <w:vAlign w:val="bottom"/>
            <w:gridSpan w:val="3"/>
            <w:shd w:val="clear" w:color="auto" w:fill="CFF0FC"/>
          </w:tcPr>
          <w:p>
            <w:pPr>
              <w:jc w:val="right"/>
              <w:ind w:right="44"/>
              <w:spacing w:after="0"/>
              <w:rPr>
                <w:sz w:val="20"/>
                <w:szCs w:val="20"/>
                <w:color w:val="auto"/>
              </w:rPr>
            </w:pPr>
            <w:r>
              <w:rPr>
                <w:rFonts w:ascii="Arial" w:cs="Arial" w:eastAsia="Arial" w:hAnsi="Arial"/>
                <w:sz w:val="16"/>
                <w:szCs w:val="16"/>
                <w:color w:val="auto"/>
              </w:rPr>
              <w:t>5,423,419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5,369,306</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1320" w:type="dxa"/>
            <w:vAlign w:val="bottom"/>
          </w:tcPr>
          <w:p>
            <w:pPr>
              <w:jc w:val="right"/>
              <w:spacing w:after="0"/>
              <w:rPr>
                <w:sz w:val="20"/>
                <w:szCs w:val="20"/>
                <w:color w:val="auto"/>
              </w:rPr>
            </w:pPr>
            <w:r>
              <w:rPr>
                <w:rFonts w:ascii="Arial" w:cs="Arial" w:eastAsia="Arial" w:hAnsi="Arial"/>
                <w:sz w:val="16"/>
                <w:szCs w:val="16"/>
                <w:color w:val="auto"/>
              </w:rPr>
              <w:t>2,621,482</w:t>
            </w:r>
          </w:p>
        </w:tc>
        <w:tc>
          <w:tcPr>
            <w:tcW w:w="1640" w:type="dxa"/>
            <w:vAlign w:val="bottom"/>
            <w:gridSpan w:val="3"/>
          </w:tcPr>
          <w:p>
            <w:pPr>
              <w:jc w:val="right"/>
              <w:ind w:right="44"/>
              <w:spacing w:after="0"/>
              <w:rPr>
                <w:sz w:val="20"/>
                <w:szCs w:val="20"/>
                <w:color w:val="auto"/>
              </w:rPr>
            </w:pPr>
            <w:r>
              <w:rPr>
                <w:rFonts w:ascii="Arial" w:cs="Arial" w:eastAsia="Arial" w:hAnsi="Arial"/>
                <w:sz w:val="16"/>
                <w:szCs w:val="16"/>
                <w:color w:val="auto"/>
              </w:rPr>
              <w:t>1,679,696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619,218</w:t>
            </w:r>
          </w:p>
        </w:tc>
      </w:tr>
      <w:tr>
        <w:trPr>
          <w:trHeight w:val="219"/>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627,740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87,367</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58,802</w:t>
            </w:r>
          </w:p>
        </w:tc>
      </w:tr>
      <w:tr>
        <w:trPr>
          <w:trHeight w:val="209"/>
        </w:trPr>
        <w:tc>
          <w:tcPr>
            <w:tcW w:w="67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Pr>
          <w:p>
            <w:pPr>
              <w:jc w:val="right"/>
              <w:spacing w:after="0"/>
              <w:rPr>
                <w:sz w:val="20"/>
                <w:szCs w:val="20"/>
                <w:color w:val="auto"/>
              </w:rPr>
            </w:pPr>
            <w:r>
              <w:rPr>
                <w:rFonts w:ascii="Arial" w:cs="Arial" w:eastAsia="Arial" w:hAnsi="Arial"/>
                <w:sz w:val="16"/>
                <w:szCs w:val="16"/>
                <w:color w:val="auto"/>
              </w:rPr>
              <w:t>9,121,354</w:t>
            </w:r>
          </w:p>
        </w:tc>
        <w:tc>
          <w:tcPr>
            <w:tcW w:w="1640" w:type="dxa"/>
            <w:vAlign w:val="bottom"/>
            <w:gridSpan w:val="3"/>
          </w:tcPr>
          <w:p>
            <w:pPr>
              <w:jc w:val="right"/>
              <w:ind w:right="44"/>
              <w:spacing w:after="0"/>
              <w:rPr>
                <w:sz w:val="20"/>
                <w:szCs w:val="20"/>
                <w:color w:val="auto"/>
              </w:rPr>
            </w:pPr>
            <w:r>
              <w:rPr>
                <w:rFonts w:ascii="Arial" w:cs="Arial" w:eastAsia="Arial" w:hAnsi="Arial"/>
                <w:sz w:val="16"/>
                <w:szCs w:val="16"/>
                <w:color w:val="auto"/>
              </w:rPr>
              <w:t>7,190,482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6,047,326</w:t>
            </w:r>
          </w:p>
        </w:tc>
      </w:tr>
      <w:tr>
        <w:trPr>
          <w:trHeight w:val="20"/>
        </w:trPr>
        <w:tc>
          <w:tcPr>
            <w:tcW w:w="67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financial reporting purposes, loss before income taxes includes the following components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left="94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(113,558 )</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(41,404 )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283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w:t>
            </w:r>
          </w:p>
        </w:tc>
      </w:tr>
      <w:tr>
        <w:trPr>
          <w:trHeight w:val="250"/>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(113,275 )</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(41,223 )</w:t>
            </w:r>
          </w:p>
        </w:tc>
      </w:tr>
      <w:tr>
        <w:trPr>
          <w:trHeight w:val="379"/>
        </w:trPr>
        <w:tc>
          <w:tcPr>
            <w:tcW w:w="6640" w:type="dxa"/>
            <w:vAlign w:val="bottom"/>
            <w:tcBorders>
              <w:top w:val="single" w:sz="8" w:color="CFF0FC"/>
            </w:tcBorders>
          </w:tcPr>
          <w:p>
            <w:pPr>
              <w:spacing w:after="0"/>
              <w:rPr>
                <w:sz w:val="20"/>
                <w:szCs w:val="20"/>
                <w:color w:val="auto"/>
              </w:rPr>
            </w:pPr>
            <w:r>
              <w:rPr>
                <w:rFonts w:ascii="Arial" w:cs="Arial" w:eastAsia="Arial" w:hAnsi="Arial"/>
                <w:sz w:val="16"/>
                <w:szCs w:val="16"/>
                <w:i w:val="1"/>
                <w:iCs w:val="1"/>
                <w:color w:val="auto"/>
              </w:rPr>
              <w:t>Provision for Income Taxes</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65"/>
        </w:trPr>
        <w:tc>
          <w:tcPr>
            <w:tcW w:w="6640" w:type="dxa"/>
            <w:vAlign w:val="bottom"/>
          </w:tcPr>
          <w:p>
            <w:pPr>
              <w:ind w:left="760"/>
              <w:spacing w:after="0"/>
              <w:rPr>
                <w:sz w:val="20"/>
                <w:szCs w:val="20"/>
                <w:color w:val="auto"/>
              </w:rPr>
            </w:pPr>
            <w:r>
              <w:rPr>
                <w:rFonts w:ascii="Arial" w:cs="Arial" w:eastAsia="Arial" w:hAnsi="Arial"/>
                <w:sz w:val="16"/>
                <w:szCs w:val="16"/>
                <w:color w:val="auto"/>
              </w:rPr>
              <w:t>The provision for income taxes consists of the following (in thousands):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0"/>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94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r>
      <w:tr>
        <w:trPr>
          <w:trHeight w:val="210"/>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Deferred:</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r>
      <w:tr>
        <w:trPr>
          <w:trHeight w:val="210"/>
        </w:trPr>
        <w:tc>
          <w:tcPr>
            <w:tcW w:w="6640" w:type="dxa"/>
            <w:vAlign w:val="bottom"/>
          </w:tcPr>
          <w:p>
            <w:pPr>
              <w:ind w:left="200"/>
              <w:spacing w:after="0"/>
              <w:rPr>
                <w:sz w:val="20"/>
                <w:szCs w:val="20"/>
                <w:color w:val="auto"/>
              </w:rPr>
            </w:pPr>
            <w:r>
              <w:rPr>
                <w:rFonts w:ascii="Arial" w:cs="Arial" w:eastAsia="Arial" w:hAnsi="Arial"/>
                <w:sz w:val="16"/>
                <w:szCs w:val="16"/>
                <w:color w:val="auto"/>
              </w:rPr>
              <w:t>Total deferred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249"/>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-2167890</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-2150745</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-2167890</wp:posOffset>
            </wp:positionV>
            <wp:extent cx="939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-2150745</wp:posOffset>
            </wp:positionV>
            <wp:extent cx="93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-316865</wp:posOffset>
            </wp:positionV>
            <wp:extent cx="10287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-316865</wp:posOffset>
            </wp:positionV>
            <wp:extent cx="9398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1028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1028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Income tax provision related to continuing operations differ from the amounts computed by applying the statutory income tax rate of 21% to pretax loss in 2022, 2021, and 2020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18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tax (benefit) at federal statutory rate</w:t>
            </w:r>
          </w:p>
        </w:tc>
        <w:tc>
          <w:tcPr>
            <w:tcW w:w="1180" w:type="dxa"/>
            <w:vAlign w:val="bottom"/>
            <w:shd w:val="clear" w:color="auto" w:fill="CFF0FC"/>
          </w:tcPr>
          <w:p>
            <w:pPr>
              <w:jc w:val="center"/>
              <w:ind w:left="180"/>
              <w:spacing w:after="0"/>
              <w:rPr>
                <w:sz w:val="20"/>
                <w:szCs w:val="20"/>
                <w:color w:val="auto"/>
              </w:rPr>
            </w:pPr>
            <w:r>
              <w:rPr>
                <w:rFonts w:ascii="Arial" w:cs="Arial" w:eastAsia="Arial" w:hAnsi="Arial"/>
                <w:sz w:val="16"/>
                <w:szCs w:val="16"/>
                <w:color w:val="auto"/>
              </w:rPr>
              <w:t>(21%)</w:t>
            </w:r>
          </w:p>
        </w:tc>
        <w:tc>
          <w:tcPr>
            <w:tcW w:w="1840" w:type="dxa"/>
            <w:vAlign w:val="bottom"/>
            <w:gridSpan w:val="3"/>
            <w:shd w:val="clear" w:color="auto" w:fill="CFF0FC"/>
          </w:tcPr>
          <w:p>
            <w:pPr>
              <w:jc w:val="center"/>
              <w:ind w:left="321"/>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180"/>
              <w:spacing w:after="0"/>
              <w:rPr>
                <w:sz w:val="20"/>
                <w:szCs w:val="20"/>
                <w:color w:val="auto"/>
              </w:rPr>
            </w:pPr>
            <w:r>
              <w:rPr>
                <w:rFonts w:ascii="Arial" w:cs="Arial" w:eastAsia="Arial" w:hAnsi="Arial"/>
                <w:sz w:val="16"/>
                <w:szCs w:val="16"/>
                <w:color w:val="auto"/>
              </w:rPr>
              <w:t>(21%)</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taxes</w:t>
            </w:r>
          </w:p>
        </w:tc>
        <w:tc>
          <w:tcPr>
            <w:tcW w:w="1180" w:type="dxa"/>
            <w:vAlign w:val="bottom"/>
            <w:shd w:val="clear" w:color="auto" w:fill="CFF0FC"/>
          </w:tcPr>
          <w:p>
            <w:pPr>
              <w:jc w:val="center"/>
              <w:ind w:left="160"/>
              <w:spacing w:after="0"/>
              <w:rPr>
                <w:sz w:val="20"/>
                <w:szCs w:val="20"/>
                <w:color w:val="auto"/>
              </w:rPr>
            </w:pPr>
            <w:r>
              <w:rPr>
                <w:rFonts w:ascii="Arial" w:cs="Arial" w:eastAsia="Arial" w:hAnsi="Arial"/>
                <w:sz w:val="16"/>
                <w:szCs w:val="16"/>
                <w:color w:val="auto"/>
              </w:rPr>
              <w:t>(6%)</w:t>
            </w:r>
          </w:p>
        </w:tc>
        <w:tc>
          <w:tcPr>
            <w:tcW w:w="1840" w:type="dxa"/>
            <w:vAlign w:val="bottom"/>
            <w:gridSpan w:val="3"/>
            <w:shd w:val="clear" w:color="auto" w:fill="CFF0FC"/>
          </w:tcPr>
          <w:p>
            <w:pPr>
              <w:jc w:val="center"/>
              <w:ind w:left="341"/>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180"/>
              <w:spacing w:after="0"/>
              <w:rPr>
                <w:sz w:val="20"/>
                <w:szCs w:val="20"/>
                <w:color w:val="auto"/>
              </w:rPr>
            </w:pPr>
            <w:r>
              <w:rPr>
                <w:rFonts w:ascii="Arial" w:cs="Arial" w:eastAsia="Arial" w:hAnsi="Arial"/>
                <w:sz w:val="16"/>
                <w:szCs w:val="16"/>
                <w:color w:val="auto"/>
              </w:rPr>
              <w:t>(10%)</w:t>
            </w: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Change in valuation allowance</w:t>
            </w:r>
          </w:p>
        </w:tc>
        <w:tc>
          <w:tcPr>
            <w:tcW w:w="1180" w:type="dxa"/>
            <w:vAlign w:val="bottom"/>
          </w:tcPr>
          <w:p>
            <w:pPr>
              <w:jc w:val="center"/>
              <w:ind w:left="180"/>
              <w:spacing w:after="0"/>
              <w:rPr>
                <w:sz w:val="20"/>
                <w:szCs w:val="20"/>
                <w:color w:val="auto"/>
              </w:rPr>
            </w:pPr>
            <w:r>
              <w:rPr>
                <w:rFonts w:ascii="Arial" w:cs="Arial" w:eastAsia="Arial" w:hAnsi="Arial"/>
                <w:sz w:val="16"/>
                <w:szCs w:val="16"/>
                <w:color w:val="auto"/>
                <w:w w:val="99"/>
              </w:rPr>
              <w:t>28%</w:t>
            </w:r>
          </w:p>
        </w:tc>
        <w:tc>
          <w:tcPr>
            <w:tcW w:w="1840" w:type="dxa"/>
            <w:vAlign w:val="bottom"/>
            <w:gridSpan w:val="3"/>
          </w:tcPr>
          <w:p>
            <w:pPr>
              <w:jc w:val="center"/>
              <w:ind w:left="321"/>
              <w:spacing w:after="0"/>
              <w:rPr>
                <w:sz w:val="20"/>
                <w:szCs w:val="20"/>
                <w:color w:val="auto"/>
              </w:rPr>
            </w:pPr>
            <w:r>
              <w:rPr>
                <w:rFonts w:ascii="Arial" w:cs="Arial" w:eastAsia="Arial" w:hAnsi="Arial"/>
                <w:sz w:val="16"/>
                <w:szCs w:val="16"/>
                <w:color w:val="auto"/>
                <w:w w:val="99"/>
              </w:rPr>
              <w:t>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80"/>
              <w:spacing w:after="0"/>
              <w:rPr>
                <w:sz w:val="20"/>
                <w:szCs w:val="20"/>
                <w:color w:val="auto"/>
              </w:rPr>
            </w:pPr>
            <w:r>
              <w:rPr>
                <w:rFonts w:ascii="Arial" w:cs="Arial" w:eastAsia="Arial" w:hAnsi="Arial"/>
                <w:sz w:val="16"/>
                <w:szCs w:val="16"/>
                <w:color w:val="auto"/>
                <w:w w:val="99"/>
              </w:rPr>
              <w:t>38%</w:t>
            </w:r>
          </w:p>
        </w:tc>
      </w:tr>
      <w:tr>
        <w:trPr>
          <w:trHeight w:val="21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180" w:type="dxa"/>
            <w:vAlign w:val="bottom"/>
            <w:shd w:val="clear" w:color="auto" w:fill="CFF0FC"/>
          </w:tcPr>
          <w:p>
            <w:pPr>
              <w:jc w:val="center"/>
              <w:ind w:left="180"/>
              <w:spacing w:after="0"/>
              <w:rPr>
                <w:sz w:val="20"/>
                <w:szCs w:val="20"/>
                <w:color w:val="auto"/>
              </w:rPr>
            </w:pPr>
            <w:r>
              <w:rPr>
                <w:rFonts w:ascii="Arial" w:cs="Arial" w:eastAsia="Arial" w:hAnsi="Arial"/>
                <w:sz w:val="16"/>
                <w:szCs w:val="16"/>
                <w:color w:val="auto"/>
              </w:rPr>
              <w:t>1%</w:t>
            </w:r>
          </w:p>
        </w:tc>
        <w:tc>
          <w:tcPr>
            <w:tcW w:w="1840" w:type="dxa"/>
            <w:vAlign w:val="bottom"/>
            <w:gridSpan w:val="3"/>
            <w:shd w:val="clear" w:color="auto" w:fill="CFF0FC"/>
          </w:tcPr>
          <w:p>
            <w:pPr>
              <w:jc w:val="center"/>
              <w:ind w:left="341"/>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160"/>
              <w:spacing w:after="0"/>
              <w:rPr>
                <w:sz w:val="20"/>
                <w:szCs w:val="20"/>
                <w:color w:val="auto"/>
              </w:rPr>
            </w:pPr>
            <w:r>
              <w:rPr>
                <w:rFonts w:ascii="Arial" w:cs="Arial" w:eastAsia="Arial" w:hAnsi="Arial"/>
                <w:sz w:val="16"/>
                <w:szCs w:val="16"/>
                <w:color w:val="auto"/>
              </w:rPr>
              <w:t>(4%)</w:t>
            </w:r>
          </w:p>
        </w:tc>
      </w:tr>
      <w:tr>
        <w:trPr>
          <w:trHeight w:val="213"/>
        </w:trPr>
        <w:tc>
          <w:tcPr>
            <w:tcW w:w="6640" w:type="dxa"/>
            <w:vAlign w:val="bottom"/>
          </w:tcPr>
          <w:p>
            <w:pPr>
              <w:ind w:left="200"/>
              <w:spacing w:after="0"/>
              <w:rPr>
                <w:sz w:val="20"/>
                <w:szCs w:val="20"/>
                <w:color w:val="auto"/>
              </w:rPr>
            </w:pPr>
            <w:r>
              <w:rPr>
                <w:rFonts w:ascii="Arial" w:cs="Arial" w:eastAsia="Arial" w:hAnsi="Arial"/>
                <w:sz w:val="16"/>
                <w:szCs w:val="16"/>
                <w:color w:val="auto"/>
              </w:rPr>
              <w:t>Research and development credit</w:t>
            </w:r>
          </w:p>
        </w:tc>
        <w:tc>
          <w:tcPr>
            <w:tcW w:w="1180" w:type="dxa"/>
            <w:vAlign w:val="bottom"/>
          </w:tcPr>
          <w:p>
            <w:pPr>
              <w:jc w:val="center"/>
              <w:ind w:left="160"/>
              <w:spacing w:after="0"/>
              <w:rPr>
                <w:sz w:val="20"/>
                <w:szCs w:val="20"/>
                <w:color w:val="auto"/>
              </w:rPr>
            </w:pPr>
            <w:r>
              <w:rPr>
                <w:rFonts w:ascii="Arial" w:cs="Arial" w:eastAsia="Arial" w:hAnsi="Arial"/>
                <w:sz w:val="16"/>
                <w:szCs w:val="16"/>
                <w:color w:val="auto"/>
              </w:rPr>
              <w:t>(2%)</w:t>
            </w:r>
          </w:p>
        </w:tc>
        <w:tc>
          <w:tcPr>
            <w:tcW w:w="1840" w:type="dxa"/>
            <w:vAlign w:val="bottom"/>
            <w:gridSpan w:val="3"/>
          </w:tcPr>
          <w:p>
            <w:pPr>
              <w:jc w:val="center"/>
              <w:ind w:left="341"/>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60"/>
              <w:spacing w:after="0"/>
              <w:rPr>
                <w:sz w:val="20"/>
                <w:szCs w:val="20"/>
                <w:color w:val="auto"/>
              </w:rPr>
            </w:pPr>
            <w:r>
              <w:rPr>
                <w:rFonts w:ascii="Arial" w:cs="Arial" w:eastAsia="Arial" w:hAnsi="Arial"/>
                <w:sz w:val="16"/>
                <w:szCs w:val="16"/>
                <w:color w:val="auto"/>
              </w:rPr>
              <w:t>(3%)</w:t>
            </w:r>
          </w:p>
        </w:tc>
      </w:tr>
      <w:tr>
        <w:trPr>
          <w:trHeight w:val="219"/>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FF0FC"/>
          </w:tcPr>
          <w:p>
            <w:pPr>
              <w:jc w:val="center"/>
              <w:ind w:lef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center"/>
              <w:ind w:right="180"/>
              <w:spacing w:after="0"/>
              <w:rPr>
                <w:sz w:val="20"/>
                <w:szCs w:val="20"/>
                <w:color w:val="auto"/>
              </w:rPr>
            </w:pPr>
            <w:r>
              <w:rPr>
                <w:rFonts w:ascii="Arial" w:cs="Arial" w:eastAsia="Arial" w:hAnsi="Arial"/>
                <w:sz w:val="16"/>
                <w:szCs w:val="16"/>
                <w:color w:val="auto"/>
              </w:rPr>
              <w:t>–%</w:t>
            </w:r>
          </w:p>
        </w:tc>
      </w:tr>
      <w:tr>
        <w:trPr>
          <w:trHeight w:val="209"/>
        </w:trPr>
        <w:tc>
          <w:tcPr>
            <w:tcW w:w="6640" w:type="dxa"/>
            <w:vAlign w:val="bottom"/>
          </w:tcPr>
          <w:p>
            <w:pPr>
              <w:ind w:left="380"/>
              <w:spacing w:after="0"/>
              <w:rPr>
                <w:sz w:val="20"/>
                <w:szCs w:val="20"/>
                <w:color w:val="auto"/>
              </w:rPr>
            </w:pPr>
            <w:r>
              <w:rPr>
                <w:rFonts w:ascii="Arial" w:cs="Arial" w:eastAsia="Arial" w:hAnsi="Arial"/>
                <w:sz w:val="16"/>
                <w:szCs w:val="16"/>
                <w:color w:val="auto"/>
              </w:rPr>
              <w:t>Effective tax rate</w:t>
            </w:r>
          </w:p>
        </w:tc>
        <w:tc>
          <w:tcPr>
            <w:tcW w:w="1180" w:type="dxa"/>
            <w:vAlign w:val="bottom"/>
          </w:tcPr>
          <w:p>
            <w:pPr>
              <w:jc w:val="center"/>
              <w:ind w:lef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right="180"/>
              <w:spacing w:after="0"/>
              <w:rPr>
                <w:sz w:val="20"/>
                <w:szCs w:val="20"/>
                <w:color w:val="auto"/>
              </w:rPr>
            </w:pPr>
            <w:r>
              <w:rPr>
                <w:rFonts w:ascii="Arial" w:cs="Arial" w:eastAsia="Arial" w:hAnsi="Arial"/>
                <w:sz w:val="16"/>
                <w:szCs w:val="16"/>
                <w:color w:val="auto"/>
              </w:rPr>
              <w:t>–%</w:t>
            </w:r>
          </w:p>
        </w:tc>
      </w:tr>
      <w:tr>
        <w:trPr>
          <w:trHeight w:val="20"/>
        </w:trPr>
        <w:tc>
          <w:tcPr>
            <w:tcW w:w="6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4615"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Law Changes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March 27, 2020, the U.S. government enacted the Coronavirus Aid, Relief and Economic Security Act (“CARES Act”), which includes several U.S. income tax provisions related to, among other things, net operating loss carrybacks, alternative minimum tax credits, modifications to interest expense limitations, and an option to defer payroll tax payments for a limited period. Based on the guidance in the CARES Act, the Company deferred the payment of $0.7 million of certain payroll taxes, of which $0.3 million was paid in 2021 and the remaining balance was paid in 2022. The other provisions of the CARES Act did not have a significant impact on the Company’s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72,408</w:t>
            </w:r>
          </w:p>
        </w:tc>
        <w:tc>
          <w:tcPr>
            <w:tcW w:w="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61,219</w:t>
            </w:r>
          </w:p>
        </w:tc>
      </w:tr>
      <w:tr>
        <w:trPr>
          <w:trHeight w:val="21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credits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16,824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12,127</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Capitalized research and development</w:t>
            </w:r>
          </w:p>
        </w:tc>
        <w:tc>
          <w:tcPr>
            <w:tcW w:w="360" w:type="dxa"/>
            <w:vAlign w:val="bottom"/>
          </w:tcPr>
          <w:p>
            <w:pPr>
              <w:spacing w:after="0"/>
              <w:rPr>
                <w:sz w:val="18"/>
                <w:szCs w:val="18"/>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11,972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164</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Accruals and reserves</w:t>
            </w:r>
          </w:p>
        </w:tc>
        <w:tc>
          <w:tcPr>
            <w:tcW w:w="360" w:type="dxa"/>
            <w:vAlign w:val="bottom"/>
          </w:tcPr>
          <w:p>
            <w:pPr>
              <w:spacing w:after="0"/>
              <w:rPr>
                <w:sz w:val="18"/>
                <w:szCs w:val="18"/>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1,914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2,846</w:t>
            </w:r>
          </w:p>
        </w:tc>
      </w:tr>
      <w:tr>
        <w:trPr>
          <w:trHeight w:val="21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5,197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4,435</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13,455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16,406</w:t>
            </w:r>
          </w:p>
        </w:tc>
      </w:tr>
      <w:tr>
        <w:trPr>
          <w:trHeight w:val="21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intangibles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321</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236</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w:t>
            </w:r>
          </w:p>
        </w:tc>
      </w:tr>
      <w:tr>
        <w:trPr>
          <w:trHeight w:val="21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gross deferred tax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122,311</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97,633</w:t>
            </w:r>
          </w:p>
        </w:tc>
      </w:tr>
      <w:tr>
        <w:trPr>
          <w:trHeight w:val="213"/>
        </w:trPr>
        <w:tc>
          <w:tcPr>
            <w:tcW w:w="7720" w:type="dxa"/>
            <w:vAlign w:val="bottom"/>
          </w:tcPr>
          <w:p>
            <w:pPr>
              <w:ind w:left="56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(114,483 )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(81,628 )</w:t>
            </w:r>
          </w:p>
        </w:tc>
      </w:tr>
      <w:tr>
        <w:trPr>
          <w:trHeight w:val="209"/>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7,828</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16,005</w:t>
            </w:r>
          </w:p>
        </w:tc>
      </w:tr>
      <w:tr>
        <w:trPr>
          <w:trHeight w:val="212"/>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(108 )</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(356 )</w:t>
            </w:r>
          </w:p>
        </w:tc>
      </w:tr>
      <w:tr>
        <w:trPr>
          <w:trHeight w:val="213"/>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(15,620 )</w:t>
            </w: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(7,767 )</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(15,976 )</w:t>
            </w:r>
          </w:p>
        </w:tc>
      </w:tr>
      <w:tr>
        <w:trPr>
          <w:trHeight w:val="209"/>
        </w:trPr>
        <w:tc>
          <w:tcPr>
            <w:tcW w:w="7720" w:type="dxa"/>
            <w:vAlign w:val="bottom"/>
          </w:tcPr>
          <w:p>
            <w:pPr>
              <w:ind w:left="920"/>
              <w:spacing w:after="0"/>
              <w:rPr>
                <w:sz w:val="20"/>
                <w:szCs w:val="20"/>
                <w:color w:val="auto"/>
              </w:rPr>
            </w:pPr>
            <w:r>
              <w:rPr>
                <w:rFonts w:ascii="Arial" w:cs="Arial" w:eastAsia="Arial" w:hAnsi="Arial"/>
                <w:sz w:val="16"/>
                <w:szCs w:val="16"/>
                <w:color w:val="auto"/>
              </w:rPr>
              <w:t>Net deferred tax assets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-736600</wp:posOffset>
            </wp:positionV>
            <wp:extent cx="111760"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171450"/>
                    </a:xfrm>
                    <a:prstGeom prst="rect">
                      <a:avLst/>
                    </a:prstGeom>
                    <a:noFill/>
                  </pic:spPr>
                </pic:pic>
              </a:graphicData>
            </a:graphic>
          </wp:anchor>
        </w:drawing>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Because of the Company’s lack of U.S. earnings history, the net U.S. deferred tax assets have been fully offset by a valuation allowance. The valuation allowance increased by $32.9 million and $24.8 million during the years ended December 31, 2022 and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Operating Loss and Tax Credit Carryforwards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2022, the Company had a net operating loss carryforward for federal income tax purposes of approximately $249.1 million, of which $86.1 million will begin to expire in 2031. The Company had a total state net operating loss carryforward of approximately $229.7 million, which will begin to expire in 2031. Utilization of some of the federal and state net operating loss and credit carryforwards are subject to annual limitations due to the “change in ownership” provisions of the Internal Revenue Code of 1986, as amended, and similar state provisions. The annual limitations may result in the expiration of net operating losses and credits before utilization.</w:t>
      </w:r>
    </w:p>
    <w:p>
      <w:pPr>
        <w:spacing w:after="0" w:line="17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As of December 31, 2022, the Company has federal credits of approximately $8.6 million, which will begin to expire in 2031 and state research credits of approximately $8.2 million, which have no expiration date. These tax credits are subject to the same limitations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Company has incurred net operating losses since inception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assets,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files U.S. federal income tax returns and various state income tax returns. Because of net operating losses and research credit carryovers, substantially all the Company’s tax years remain open to examination.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the following activity relating to unrecognized tax benefits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FF0FC"/>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3,066</w:t>
            </w:r>
          </w:p>
        </w:tc>
        <w:tc>
          <w:tcPr>
            <w:tcW w:w="6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2,148</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Gross increase—tax position in current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1,174</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918</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104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4,240</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2022, 2021, and 2020, no interest or penalties were required to be recognized relating to unrecognized tax benefits.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Subsequent Events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January 2023, the Board of Directors of the Company approved a reduction in the Company’s workforce of approximately 30% to reduce operating costs and improve operating efficiency. The reduction in workforce is expected to be completed in the first quarter of 2023. The Company estimates that it will incur charges of approximately $3 million for severance payments and employee benefits, most of which will be recognized in the first quarter of 2023. Substantially all of the estimated charges are expected to result in future cash expenditures.</w:t>
      </w:r>
    </w:p>
    <w:p>
      <w:pPr>
        <w:spacing w:after="0" w:line="16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February 2023, Company management made a decision to streamline its international operations by closing its operations in China as expeditiously as possible in 2023. The Company expects to incur one-time charges in connection with the closure, including noncash impairments of property and equipment and a lease asset. Such charges cannot be estimated at this time, but the Company does not expect such charges to exceed $1.5 million.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Personalis,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1"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We have audited the accompanying consolidated balance sheets of Personalis, Inc. and subsidiaries (the "Company") as of December 31, 2022 and 2021, the related consolidated statements of operations, comprehensive loss,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9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4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interim chief executive officer ("CEO") and chief financial officer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2022,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Report on Internal Control over Financial Reporting</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1934 Act. Management has assessed the effectiveness of our internal control over financial reporting as of December 31, 2022 based on criteria established in Internal Control — Integrated Framework (2013) issued by the Committee of Sponsoring Organizations of the Treadway Commission. As a result of this assessment, management concluded that, as of December 31, 2022, our internal control over financial reporting was effective in providing reasonable assurance regarding the reliability of financial reporting and the preparation of financial statements for external purposes in accordance with generally accepted accounting principles in the United States of America.</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independent registered accounting firm is not required to issue an attestation report on our internal control over financial reporting for so long as we qualify as a non-accelerated filer.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Except for the principal occupation, business experience, and education of each of our executive officers and directors set forth further below, the information required by this Item is set forth under the headings “Executive Officers,” “Security Ownership of Certain Beneficial Owners and Management,” “Delinquent Section 16(a) Reports,” “Corporate Governance and Board of Directors Matters,” and “Proposal No. 1 Election of Directors—Information About Our Continuing Directors” in the Company’s 2023 Proxy Statement to be filed with the SEC within 120 days after December 31, 2022 in connection with the solicitation of proxies for the Company’s 2023 annual meeting of stockholders, and is incorporated herein by reference.</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62" w:lineRule="exact"/>
        <w:rPr>
          <w:sz w:val="20"/>
          <w:szCs w:val="20"/>
          <w:color w:val="auto"/>
        </w:rPr>
      </w:pPr>
    </w:p>
    <w:p>
      <w:pPr>
        <w:ind w:right="1320" w:firstLine="749"/>
        <w:spacing w:after="0" w:line="471" w:lineRule="auto"/>
        <w:rPr>
          <w:sz w:val="20"/>
          <w:szCs w:val="20"/>
          <w:color w:val="auto"/>
        </w:rPr>
      </w:pPr>
      <w:r>
        <w:rPr>
          <w:rFonts w:ascii="Arial" w:cs="Arial" w:eastAsia="Arial" w:hAnsi="Arial"/>
          <w:sz w:val="16"/>
          <w:szCs w:val="16"/>
          <w:color w:val="auto"/>
        </w:rPr>
        <w:t xml:space="preserve">The principal occupation, business experience, and education of each of our executive officers and directors are set forth below. </w:t>
      </w:r>
      <w:r>
        <w:rPr>
          <w:rFonts w:ascii="Arial" w:cs="Arial" w:eastAsia="Arial" w:hAnsi="Arial"/>
          <w:sz w:val="16"/>
          <w:szCs w:val="16"/>
          <w:i w:val="1"/>
          <w:iCs w:val="1"/>
          <w:color w:val="auto"/>
        </w:rPr>
        <w:t>Executive Officers</w:t>
      </w: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Aaron Tachibana. </w:t>
      </w:r>
      <w:r>
        <w:rPr>
          <w:rFonts w:ascii="Arial" w:cs="Arial" w:eastAsia="Arial" w:hAnsi="Arial"/>
          <w:sz w:val="16"/>
          <w:szCs w:val="16"/>
          <w:color w:val="auto"/>
        </w:rPr>
        <w:t>Mr. Tachibana has served as our Chief Financial Officer since March 2019; in July 2021, he was promoted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Financial Officer; and in December 2022, he was promoted to interim Chief Executive Officer while continuing to serve as Senior Vice President and Chief Financial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16"/>
          <w:szCs w:val="16"/>
          <w:color w:val="auto"/>
        </w:rPr>
        <w:t>Mr. Hall has served as our President since December 2022 and before that served as our Senior Vice President and Head,</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Diagnostics Business since joining our company in October 2022.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b w:val="1"/>
          <w:bCs w:val="1"/>
          <w:color w:val="auto"/>
        </w:rPr>
        <w:t xml:space="preserve">Richard Chen, M.D., M.S. </w:t>
      </w:r>
      <w:r>
        <w:rPr>
          <w:rFonts w:ascii="Arial" w:cs="Arial" w:eastAsia="Arial" w:hAnsi="Arial"/>
          <w:sz w:val="16"/>
          <w:szCs w:val="16"/>
          <w:color w:val="auto"/>
        </w:rPr>
        <w:t>Dr. Chen was promoted to Senior Vice President, R&amp;D, and Chief Medical Officer in July 2021. Dr. Chen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our Chief Scientific Officer since November 2011.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Stephen Moore. </w:t>
      </w:r>
      <w:r>
        <w:rPr>
          <w:rFonts w:ascii="Arial" w:cs="Arial" w:eastAsia="Arial" w:hAnsi="Arial"/>
          <w:sz w:val="16"/>
          <w:szCs w:val="16"/>
          <w:color w:val="auto"/>
        </w:rPr>
        <w:t>Mr. Moore has served as our Vice President and General Counsel since April 2020 and as Corporate Secretary since May 2020.</w:t>
      </w:r>
      <w:r>
        <w:rPr>
          <w:rFonts w:ascii="Arial" w:cs="Arial" w:eastAsia="Arial" w:hAnsi="Arial"/>
          <w:sz w:val="16"/>
          <w:szCs w:val="16"/>
          <w:b w:val="1"/>
          <w:bCs w:val="1"/>
          <w:color w:val="auto"/>
        </w:rPr>
        <w:t xml:space="preserve"> </w:t>
      </w:r>
      <w:r>
        <w:rPr>
          <w:rFonts w:ascii="Arial" w:cs="Arial" w:eastAsia="Arial" w:hAnsi="Arial"/>
          <w:sz w:val="16"/>
          <w:szCs w:val="16"/>
          <w:color w:val="auto"/>
        </w:rPr>
        <w:t>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including Associate General Counsel. Mr. Moore holds a B.A. in Political Science from San Jose State University and a J.D. from University of California, Davis.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Directors</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b w:val="1"/>
          <w:bCs w:val="1"/>
          <w:color w:val="auto"/>
        </w:rPr>
        <w:t xml:space="preserve">Olivia K. Bloom. </w:t>
      </w:r>
      <w:r>
        <w:rPr>
          <w:rFonts w:ascii="Arial" w:cs="Arial" w:eastAsia="Arial" w:hAnsi="Arial"/>
          <w:sz w:val="16"/>
          <w:szCs w:val="16"/>
          <w:color w:val="auto"/>
        </w:rPr>
        <w:t>Ms. Bloom has served on our Board of Directors since March 2022. Ms. Bloom has served as Executive Vice President,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since February 2014, Chief Financial Officer since December 2012 and Treasurer since February 2011 at Geron Corporation, a publicly traded clinical stage biopharmaceutical company. Ms. Bloom also previously held various other positions at Geron, including Senior Vice President, Finance from December 2012 to February 2014, Chief Accounting Officer from September 2010 to December 2012 and Vice President, Finance from January 2007 to December 2012. Ms. Bloom joined Geron in 1994 as a Senior Financial Analyst and from 1996 to 2011 served as Controller. Ms. Bloom started her career in public accounting at KPMG International Limited and became a Certified Public Accountant in 1994. Ms. Bloom holds a B.S. in Business Administration from the University of California, Berkeley. Ms. Bloom was selected to serve on our Board of Directors because of her expertise in finance and accounting and experience working for and with publicly-traded life science companies.</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b w:val="1"/>
          <w:bCs w:val="1"/>
          <w:color w:val="auto"/>
        </w:rPr>
        <w:t xml:space="preserve">A. Blaine Bowman. </w:t>
      </w:r>
      <w:r>
        <w:rPr>
          <w:rFonts w:ascii="Arial" w:cs="Arial" w:eastAsia="Arial" w:hAnsi="Arial"/>
          <w:sz w:val="16"/>
          <w:szCs w:val="16"/>
          <w:color w:val="auto"/>
        </w:rPr>
        <w:t>Mr. Bowman has served on our Board of Directors since May 2019. Beginning in 2006, Mr. Bowman served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Solexa, Inc., a DNA sequencing company, until its sale to Illumina, Inc., a publicly traded biotechnology company and leader in DNA sequencing in January 2007, after which Mr. Bowman continued to serve on the board of directors of Illumina,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our Board of Directors because of his experience in executive roles and his experience serving on the boards of directors of various instrumentation and biotechnology companies.</w:t>
      </w:r>
    </w:p>
    <w:p>
      <w:pPr>
        <w:spacing w:after="0" w:line="15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b w:val="1"/>
          <w:bCs w:val="1"/>
          <w:color w:val="auto"/>
        </w:rPr>
        <w:t xml:space="preserve">Alan Colowick, M.D. </w:t>
      </w:r>
      <w:r>
        <w:rPr>
          <w:rFonts w:ascii="Arial" w:cs="Arial" w:eastAsia="Arial" w:hAnsi="Arial"/>
          <w:sz w:val="16"/>
          <w:szCs w:val="16"/>
          <w:color w:val="auto"/>
        </w:rPr>
        <w:t>Dr. Colowick has served on our Board of Directors since May 2019. Dr. Colowick has served on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Harpoon Therapeutics, Inc., a publicly traded clinical stage immunotherapy company, since March 2021. Dr. Colowick has also served on the board of directors of AC Immune SA, a publicly traded clinical stage biopharmaceutical company, since March 2021. From May 2017 to January 2021, Dr. Colowick served as a Partner at Sofinnova Investment, Inc., a clinical stage life sciences venture capital firm. From February 2010 to April 2017, Dr. Colowick held various positions, including Executive Vice President, at Celgene Corporation, a pharmaceutical company. From February 2008 to January 2010, Dr. Colowick served as the Chief Executive Officer of Gloucester Pharmaceuticals Inc., an early stage cancer pharmaceutical company, until its acquisition by Celgene Corporation in January 2010. From October 2006 to February 2008, Dr. Colowick served as President, Oncology at Geron Corporation, a publicly traded clinical stage biopharmaceutical company. Earlier in his career, Dr. Colowick served in various capacities at Amgen Inc., a biopharmaceutical company. Dr. Colowick previously served on the boards of directors of Principia Biopharma, Inc., a publicly traded biopharmaceutical company, from February 2017 to September 2020, Achaogen, Inc., a publicly traded biopharmaceutical company, from August 2015 to August 2017, and Dimension Therapeutics, Inc., a publicly traded biopharmaceutical company, from August 2015 to November 2017. Dr. Colowick holds a B.S. in Molecular Biology from the University of Colorado, an M.D. from Stanford University School of Medicine, and an M.P.H. from the Harvard School of Public Health. Dr. Colowick was selected to serve on our Board of Directors because of his educational background in science and medicine and experience in developing oncology therapeutics, as well as financial understanding of the biotechnology industry gained from his investing experience.</w:t>
      </w:r>
    </w:p>
    <w:p>
      <w:pPr>
        <w:spacing w:after="0" w:line="14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b w:val="1"/>
          <w:bCs w:val="1"/>
          <w:color w:val="auto"/>
        </w:rPr>
        <w:t xml:space="preserve">Karin Eastham. </w:t>
      </w:r>
      <w:r>
        <w:rPr>
          <w:rFonts w:ascii="Arial" w:cs="Arial" w:eastAsia="Arial" w:hAnsi="Arial"/>
          <w:sz w:val="16"/>
          <w:szCs w:val="16"/>
          <w:color w:val="auto"/>
        </w:rPr>
        <w:t>Ms. Eastham has served on our Board of Directors since September 2019. Ms. Eastham has served on the boards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Nektar Therapeutics, Inc., a publicly traded biopharmaceutical company, since September 2018, Veracyte, Inc., a publicly traded genomic diagnostics company, since December 2012, and Geron Corporation, a publicly traded clinical stage biopharmaceutical company, since March 2009. Ms. Eastham served as a member of the board of directors of Illumina, Inc., a publicly traded biotechnology company and leader in DNA sequencing, from August 2004 to May 2019. From May 2004 to September 2008, Ms. Eastham served as Executive Vice President and Chief Operating Officer, and as a member of the Board of Trustees, of the Burnham Institute for Medical Research, a non-profit corporation engaged in biomedical research. Ms. Eastham holds a B.S. in Accounting and an M.B.A. from Indiana University and is a Certified Public Accountant (inactive). Ms. Eastham was selected to serve on our Board of Directors because of her expertise in financial and operations management and experience serving on the boards of publicly-traded life science companies.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Kenneth Ludlum. </w:t>
      </w:r>
      <w:r>
        <w:rPr>
          <w:rFonts w:ascii="Arial" w:cs="Arial" w:eastAsia="Arial" w:hAnsi="Arial"/>
          <w:sz w:val="16"/>
          <w:szCs w:val="16"/>
          <w:color w:val="auto"/>
        </w:rPr>
        <w:t>Mr. Ludlum has served on our Board of Directors since July 2015. Mr. Ludlum has served on the board of directors of IRIDEX</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publicly traded medical technology company, since April 2019. From January 2002 to June 2020, Mr. Ludlum served on the board of directors of Natus Medical Inc., a publicly traded medical device and equipment company. From February 2014 to April 2016, Mr. Ludlum served as Chief Financial Officer at CareDx, Inc., a molecular diagnostics company, and prior to that Mr. Ludlum served as a Chief Financial Officer for other publicly traded companies. Mr. Ludlum holds a B.S. in Business Administration from Lehigh University and an M.B.A. from Columbia Business School. Mr. Ludlum was selected to serve on our Board of Directors because of his experience working for and with publicly-traded healthcare, medical device, biotechnology, and diagnostic companies and his expertise in finance, accounting, and general management.</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Woodrow A. Myers, Jr., M.D. </w:t>
      </w:r>
      <w:r>
        <w:rPr>
          <w:rFonts w:ascii="Arial" w:cs="Arial" w:eastAsia="Arial" w:hAnsi="Arial"/>
          <w:sz w:val="16"/>
          <w:szCs w:val="16"/>
          <w:color w:val="auto"/>
        </w:rPr>
        <w:t>Dr. Myers has served on our Board of Directors since March 2021. Dr. Myers has served as an advisor of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and political affairs to Sera Prognostics Inc., a publicly traded health diagnostics company, since November 2021.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our Board of Directors because of his extensive experience in the healthcare industry, including in government and health policy roles.</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Lonnie Shoff. </w:t>
      </w:r>
      <w:r>
        <w:rPr>
          <w:rFonts w:ascii="Arial" w:cs="Arial" w:eastAsia="Arial" w:hAnsi="Arial"/>
          <w:sz w:val="16"/>
          <w:szCs w:val="16"/>
          <w:color w:val="auto"/>
        </w:rPr>
        <w:t>Ms. Shoff has served on our Board of Directors since August 2022. Ms. Shoff has served as President of Antech and Sound</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Diagnostics, a business unit of Mars Petcare, since April 2020.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“Director Compensation,” “Executive Compensation,” and “Compensation Committee Interlocks and Insider Participation” in the Company’s 2023 Proxy Statement to be filed with the SEC within 120 days after December 31, 2022,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“Equity Compensation Plans at December 31, 2022” and “Security Ownership of Certain Beneficial Owners and Management” in the Company’s 2023 Proxy Statement to be filed with the SEC within 120 days after December 31, 2022,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“Corporate Governance and Board of Directors Matters” and “Transactions with Related Persons and Indemnification” in the Company’s 2023 Proxy Statement to be filed with the SEC within 120 days after December 31, 2022,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“Principal Accountant Fees and Services” and “Pre-Approval Procedures” under the proposal “Ratification of Selection of Independent Registered Public Accounting Firm” in the Company’s 2023 Proxy Statement to be filed with the SEC within 120 days after December 31, 2022, and is incorporated herein by reference.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81"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and Schedules</w:t>
      </w:r>
    </w:p>
    <w:p>
      <w:pPr>
        <w:spacing w:after="0" w:line="21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financial statements are set forth under Item 8 of this Annual Report on Form 10-K, as indexed below. Financial statement schedules have been omitted since they either are not required, not applicable, or the information is otherwise included.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60" w:type="dxa"/>
            <w:vAlign w:val="bottom"/>
            <w:gridSpan w:val="9"/>
          </w:tcPr>
          <w:p>
            <w:pPr>
              <w:ind w:left="20"/>
              <w:spacing w:after="0"/>
              <w:rPr>
                <w:sz w:val="20"/>
                <w:szCs w:val="20"/>
                <w:color w:val="auto"/>
              </w:rPr>
            </w:pPr>
            <w:r>
              <w:rPr>
                <w:rFonts w:ascii="Arial" w:cs="Arial" w:eastAsia="Arial" w:hAnsi="Arial"/>
                <w:sz w:val="16"/>
                <w:szCs w:val="16"/>
                <w:b w:val="1"/>
                <w:bCs w:val="1"/>
                <w:color w:val="auto"/>
              </w:rPr>
              <w:t>INDEX TO CONSOLIDATED FINANCIAL STATEMENTS</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10440" w:type="dxa"/>
            <w:vAlign w:val="bottom"/>
            <w:gridSpan w:val="8"/>
            <w:shd w:val="clear" w:color="auto" w:fill="CFF0FC"/>
          </w:tcPr>
          <w:p>
            <w:pPr>
              <w:spacing w:after="0" w:line="158" w:lineRule="exact"/>
              <w:rPr>
                <w:sz w:val="20"/>
                <w:szCs w:val="20"/>
                <w:color w:val="auto"/>
              </w:rPr>
            </w:pPr>
            <w:r>
              <w:rPr>
                <w:rFonts w:ascii="Arial" w:cs="Arial" w:eastAsia="Arial" w:hAnsi="Arial"/>
                <w:sz w:val="16"/>
                <w:szCs w:val="16"/>
                <w:color w:val="0000FF"/>
              </w:rPr>
              <w:t>Consolidated Balance Sheets</w:t>
            </w:r>
          </w:p>
        </w:tc>
        <w:tc>
          <w:tcPr>
            <w:tcW w:w="780" w:type="dxa"/>
            <w:vAlign w:val="bottom"/>
            <w:shd w:val="clear" w:color="auto" w:fill="CFF0FC"/>
          </w:tcPr>
          <w:p>
            <w:pPr>
              <w:jc w:val="center"/>
              <w:spacing w:after="0" w:line="158"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6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440" w:type="dxa"/>
            <w:vAlign w:val="bottom"/>
            <w:gridSpan w:val="8"/>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3560" w:type="dxa"/>
            <w:vAlign w:val="bottom"/>
            <w:tcBorders>
              <w:bottom w:val="single" w:sz="8" w:color="0000FF"/>
            </w:tcBorders>
            <w:gridSpan w:val="6"/>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6880" w:type="dxa"/>
            <w:vAlign w:val="bottom"/>
            <w:tcBorders>
              <w:bottom w:val="single" w:sz="8" w:color="CFF0FC"/>
            </w:tcBorders>
            <w:gridSpan w:val="2"/>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2"/>
        </w:trPr>
        <w:tc>
          <w:tcPr>
            <w:tcW w:w="1046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440" w:type="dxa"/>
            <w:vAlign w:val="bottom"/>
            <w:gridSpan w:val="8"/>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78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6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440" w:type="dxa"/>
            <w:vAlign w:val="bottom"/>
            <w:gridSpan w:val="8"/>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60" w:type="dxa"/>
            <w:vAlign w:val="bottom"/>
            <w:gridSpan w:val="9"/>
            <w:shd w:val="clear" w:color="auto" w:fill="CFF0FC"/>
          </w:tcPr>
          <w:p>
            <w:pPr>
              <w:ind w:left="20"/>
              <w:spacing w:after="0" w:line="162" w:lineRule="exact"/>
              <w:rPr>
                <w:sz w:val="20"/>
                <w:szCs w:val="20"/>
                <w:color w:val="auto"/>
              </w:rPr>
            </w:pPr>
            <w:r>
              <w:rPr>
                <w:rFonts w:ascii="Arial" w:cs="Arial" w:eastAsia="Arial" w:hAnsi="Arial"/>
                <w:sz w:val="16"/>
                <w:szCs w:val="16"/>
                <w:color w:val="0000FF"/>
              </w:rPr>
              <w:t>Report of Independent Registered Public Accounting Firm</w:t>
            </w:r>
          </w:p>
        </w:tc>
        <w:tc>
          <w:tcPr>
            <w:tcW w:w="78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6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tab/>
        <w:t>Exhibits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5"/>
          </w:tcPr>
          <w:p>
            <w:pPr>
              <w:ind w:left="44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1060" w:type="dxa"/>
            <w:vAlign w:val="bottom"/>
          </w:tcPr>
          <w:p>
            <w:pPr>
              <w:ind w:left="20"/>
              <w:spacing w:after="0" w:line="158"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43"/>
          </w:tcPr>
          <w:p>
            <w:pPr>
              <w:spacing w:after="0" w:line="158" w:lineRule="exact"/>
              <w:rPr>
                <w:rFonts w:ascii="Arial" w:cs="Arial" w:eastAsia="Arial" w:hAnsi="Arial"/>
                <w:sz w:val="16"/>
                <w:szCs w:val="16"/>
                <w:color w:val="0000FF"/>
              </w:rPr>
            </w:pPr>
            <w:hyperlink r:id="rId351">
              <w:r>
                <w:rPr>
                  <w:rFonts w:ascii="Arial" w:cs="Arial" w:eastAsia="Arial" w:hAnsi="Arial"/>
                  <w:sz w:val="16"/>
                  <w:szCs w:val="16"/>
                  <w:color w:val="0000FF"/>
                </w:rPr>
                <w:t>Amended and Restated Certificate of Incorporation of the Registrant.</w:t>
              </w:r>
            </w:hyperlink>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r:id="rId352">
              <w:r>
                <w:rPr>
                  <w:rFonts w:ascii="Arial" w:cs="Arial" w:eastAsia="Arial" w:hAnsi="Arial"/>
                  <w:sz w:val="16"/>
                  <w:szCs w:val="16"/>
                  <w:color w:val="0000FF"/>
                </w:rPr>
                <w:t>Amended and Restated Bylaws of the Registrant.</w:t>
              </w:r>
            </w:hyperlink>
          </w:p>
        </w:tc>
        <w:tc>
          <w:tcPr>
            <w:tcW w:w="1380" w:type="dxa"/>
            <w:vAlign w:val="bottom"/>
            <w:tcBorders>
              <w:top w:val="single" w:sz="8" w:color="0000FF"/>
            </w:tcBorders>
            <w:gridSpan w:val="14"/>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rPr>
                <w:rFonts w:ascii="Arial" w:cs="Arial" w:eastAsia="Arial" w:hAnsi="Arial"/>
                <w:sz w:val="16"/>
                <w:szCs w:val="16"/>
                <w:color w:val="0000FF"/>
              </w:rPr>
            </w:pPr>
            <w:hyperlink r:id="rId353">
              <w:r>
                <w:rPr>
                  <w:rFonts w:ascii="Arial" w:cs="Arial" w:eastAsia="Arial" w:hAnsi="Arial"/>
                  <w:sz w:val="16"/>
                  <w:szCs w:val="16"/>
                  <w:color w:val="0000FF"/>
                </w:rPr>
                <w:t>Description of Securities of Personalis, Inc.</w:t>
              </w:r>
            </w:hyperlink>
          </w:p>
        </w:tc>
        <w:tc>
          <w:tcPr>
            <w:tcW w:w="2320" w:type="dxa"/>
            <w:vAlign w:val="bottom"/>
            <w:gridSpan w:val="32"/>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7"/>
          </w:tcPr>
          <w:p>
            <w:pPr>
              <w:spacing w:after="0"/>
              <w:rPr>
                <w:rFonts w:ascii="Arial" w:cs="Arial" w:eastAsia="Arial" w:hAnsi="Arial"/>
                <w:sz w:val="16"/>
                <w:szCs w:val="16"/>
                <w:color w:val="0000FF"/>
              </w:rPr>
            </w:pPr>
            <w:hyperlink r:id="rId354">
              <w:r>
                <w:rPr>
                  <w:rFonts w:ascii="Arial" w:cs="Arial" w:eastAsia="Arial" w:hAnsi="Arial"/>
                  <w:sz w:val="16"/>
                  <w:szCs w:val="16"/>
                  <w:color w:val="0000FF"/>
                </w:rPr>
                <w:t>Form of Common Stock Certificate of the Registrant.</w:t>
              </w:r>
            </w:hyperlink>
          </w:p>
        </w:tc>
        <w:tc>
          <w:tcPr>
            <w:tcW w:w="1640" w:type="dxa"/>
            <w:vAlign w:val="bottom"/>
            <w:gridSpan w:val="26"/>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32"/>
          </w:tcPr>
          <w:p>
            <w:pPr>
              <w:spacing w:after="0"/>
              <w:rPr>
                <w:rFonts w:ascii="Arial" w:cs="Arial" w:eastAsia="Arial" w:hAnsi="Arial"/>
                <w:sz w:val="16"/>
                <w:szCs w:val="16"/>
                <w:color w:val="0000FF"/>
              </w:rPr>
            </w:pPr>
            <w:hyperlink r:id="rId355">
              <w:r>
                <w:rPr>
                  <w:rFonts w:ascii="Arial" w:cs="Arial" w:eastAsia="Arial" w:hAnsi="Arial"/>
                  <w:sz w:val="16"/>
                  <w:szCs w:val="16"/>
                  <w:color w:val="0000FF"/>
                </w:rPr>
                <w:t>Amended and Restated Investor Rights Agreement by and among the</w:t>
              </w:r>
            </w:hyperlink>
          </w:p>
        </w:tc>
        <w:tc>
          <w:tcPr>
            <w:tcW w:w="360" w:type="dxa"/>
            <w:vAlign w:val="bottom"/>
            <w:gridSpan w:val="11"/>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355">
              <w:r>
                <w:rPr>
                  <w:rFonts w:ascii="Arial" w:cs="Arial" w:eastAsia="Arial" w:hAnsi="Arial"/>
                  <w:sz w:val="16"/>
                  <w:szCs w:val="16"/>
                  <w:color w:val="0000FF"/>
                </w:rPr>
                <w:t>Registrant and certain of its stockholders, dated December 16, 2014.</w:t>
              </w:r>
            </w:hyperlink>
          </w:p>
        </w:tc>
        <w:tc>
          <w:tcPr>
            <w:tcW w:w="460" w:type="dxa"/>
            <w:vAlign w:val="bottom"/>
            <w:gridSpan w:val="14"/>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Borders>
              <w:bottom w:val="single" w:sz="8" w:color="0000FF"/>
            </w:tcBorders>
            <w:gridSpan w:val="33"/>
          </w:tcPr>
          <w:p>
            <w:pPr>
              <w:spacing w:after="0" w:line="183" w:lineRule="exact"/>
              <w:rPr>
                <w:rFonts w:ascii="Arial" w:cs="Arial" w:eastAsia="Arial" w:hAnsi="Arial"/>
                <w:sz w:val="16"/>
                <w:szCs w:val="16"/>
                <w:color w:val="0000FF"/>
              </w:rPr>
            </w:pPr>
            <w:hyperlink r:id="rId356">
              <w:r>
                <w:rPr>
                  <w:rFonts w:ascii="Arial" w:cs="Arial" w:eastAsia="Arial" w:hAnsi="Arial"/>
                  <w:sz w:val="16"/>
                  <w:szCs w:val="16"/>
                  <w:color w:val="0000FF"/>
                </w:rPr>
                <w:t>Personalis, Inc. 2011 Equity Incentive Plan, as amended, and forms of</w:t>
              </w:r>
            </w:hyperlink>
          </w:p>
        </w:tc>
        <w:tc>
          <w:tcPr>
            <w:tcW w:w="320" w:type="dxa"/>
            <w:vAlign w:val="bottom"/>
            <w:gridSpan w:val="10"/>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bottom w:val="single" w:sz="8" w:color="0000FF"/>
            </w:tcBorders>
            <w:gridSpan w:val="6"/>
          </w:tcPr>
          <w:p>
            <w:pPr>
              <w:spacing w:after="0" w:line="169" w:lineRule="exact"/>
              <w:rPr>
                <w:rFonts w:ascii="Arial" w:cs="Arial" w:eastAsia="Arial" w:hAnsi="Arial"/>
                <w:sz w:val="16"/>
                <w:szCs w:val="16"/>
                <w:color w:val="0000FF"/>
                <w:w w:val="99"/>
              </w:rPr>
            </w:pPr>
            <w:hyperlink r:id="rId356">
              <w:r>
                <w:rPr>
                  <w:rFonts w:ascii="Arial" w:cs="Arial" w:eastAsia="Arial" w:hAnsi="Arial"/>
                  <w:sz w:val="16"/>
                  <w:szCs w:val="16"/>
                  <w:color w:val="0000FF"/>
                  <w:w w:val="99"/>
                </w:rPr>
                <w:t>agreements thereunder.</w:t>
              </w:r>
            </w:hyperlink>
          </w:p>
        </w:tc>
        <w:tc>
          <w:tcPr>
            <w:tcW w:w="20" w:type="dxa"/>
            <w:vAlign w:val="bottom"/>
            <w:tcBorders>
              <w:bottom w:val="single" w:sz="8" w:color="0000EE"/>
            </w:tcBorders>
          </w:tcPr>
          <w:p>
            <w:pPr>
              <w:spacing w:after="0"/>
              <w:rPr>
                <w:sz w:val="14"/>
                <w:szCs w:val="14"/>
                <w:color w:val="auto"/>
              </w:rPr>
            </w:pPr>
          </w:p>
        </w:tc>
        <w:tc>
          <w:tcPr>
            <w:tcW w:w="3660" w:type="dxa"/>
            <w:vAlign w:val="bottom"/>
            <w:gridSpan w:val="36"/>
          </w:tcPr>
          <w:p>
            <w:pPr>
              <w:spacing w:after="0"/>
              <w:rPr>
                <w:sz w:val="14"/>
                <w:szCs w:val="14"/>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FF"/>
            </w:tcBorders>
            <w:gridSpan w:val="30"/>
          </w:tcPr>
          <w:p>
            <w:pPr>
              <w:spacing w:after="0"/>
              <w:rPr>
                <w:rFonts w:ascii="Arial" w:cs="Arial" w:eastAsia="Arial" w:hAnsi="Arial"/>
                <w:sz w:val="16"/>
                <w:szCs w:val="16"/>
                <w:color w:val="0000FF"/>
              </w:rPr>
            </w:pPr>
            <w:hyperlink r:id="rId357">
              <w:r>
                <w:rPr>
                  <w:rFonts w:ascii="Arial" w:cs="Arial" w:eastAsia="Arial" w:hAnsi="Arial"/>
                  <w:sz w:val="16"/>
                  <w:szCs w:val="16"/>
                  <w:color w:val="0000FF"/>
                </w:rPr>
                <w:t>Personalis, Inc. 2019 Equity Incentive Plan and forms of agreements</w:t>
              </w:r>
            </w:hyperlink>
          </w:p>
        </w:tc>
        <w:tc>
          <w:tcPr>
            <w:tcW w:w="440" w:type="dxa"/>
            <w:vAlign w:val="bottom"/>
            <w:gridSpan w:val="13"/>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0000FF"/>
            </w:tcBorders>
          </w:tcPr>
          <w:p>
            <w:pPr>
              <w:spacing w:after="0" w:line="169" w:lineRule="exact"/>
              <w:rPr>
                <w:rFonts w:ascii="Arial" w:cs="Arial" w:eastAsia="Arial" w:hAnsi="Arial"/>
                <w:sz w:val="16"/>
                <w:szCs w:val="16"/>
                <w:color w:val="0000FF"/>
                <w:w w:val="97"/>
              </w:rPr>
            </w:pPr>
            <w:hyperlink r:id="rId357">
              <w:r>
                <w:rPr>
                  <w:rFonts w:ascii="Arial" w:cs="Arial" w:eastAsia="Arial" w:hAnsi="Arial"/>
                  <w:sz w:val="16"/>
                  <w:szCs w:val="16"/>
                  <w:color w:val="0000FF"/>
                  <w:w w:val="97"/>
                </w:rPr>
                <w:t>thereunder.</w:t>
              </w:r>
            </w:hyperlink>
          </w:p>
        </w:tc>
        <w:tc>
          <w:tcPr>
            <w:tcW w:w="4580" w:type="dxa"/>
            <w:vAlign w:val="bottom"/>
            <w:gridSpan w:val="42"/>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43"/>
          </w:tcPr>
          <w:p>
            <w:pPr>
              <w:spacing w:after="0" w:line="183" w:lineRule="exact"/>
              <w:rPr>
                <w:rFonts w:ascii="Arial" w:cs="Arial" w:eastAsia="Arial" w:hAnsi="Arial"/>
                <w:sz w:val="16"/>
                <w:szCs w:val="16"/>
                <w:color w:val="0000FF"/>
              </w:rPr>
            </w:pPr>
            <w:hyperlink r:id="rId358">
              <w:r>
                <w:rPr>
                  <w:rFonts w:ascii="Arial" w:cs="Arial" w:eastAsia="Arial" w:hAnsi="Arial"/>
                  <w:sz w:val="16"/>
                  <w:szCs w:val="16"/>
                  <w:color w:val="0000FF"/>
                </w:rPr>
                <w:t>Personalis, Inc. 2019 Employee Stock Purchase Plan.</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29"/>
          </w:tcPr>
          <w:p>
            <w:pPr>
              <w:spacing w:after="0"/>
              <w:rPr>
                <w:rFonts w:ascii="Arial" w:cs="Arial" w:eastAsia="Arial" w:hAnsi="Arial"/>
                <w:sz w:val="16"/>
                <w:szCs w:val="16"/>
                <w:color w:val="0000FF"/>
              </w:rPr>
            </w:pPr>
            <w:hyperlink r:id="rId359">
              <w:r>
                <w:rPr>
                  <w:rFonts w:ascii="Arial" w:cs="Arial" w:eastAsia="Arial" w:hAnsi="Arial"/>
                  <w:sz w:val="16"/>
                  <w:szCs w:val="16"/>
                  <w:color w:val="0000FF"/>
                </w:rPr>
                <w:t>Form of Indemnification Agreement entered into by and between the</w:t>
              </w:r>
            </w:hyperlink>
          </w:p>
        </w:tc>
        <w:tc>
          <w:tcPr>
            <w:tcW w:w="460" w:type="dxa"/>
            <w:vAlign w:val="bottom"/>
            <w:gridSpan w:val="14"/>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Registrant and each director and executive officer.</w:t>
              </w:r>
            </w:hyperlink>
          </w:p>
        </w:tc>
        <w:tc>
          <w:tcPr>
            <w:tcW w:w="20" w:type="dxa"/>
            <w:vAlign w:val="bottom"/>
            <w:tcBorders>
              <w:bottom w:val="single" w:sz="8" w:color="0000EE"/>
            </w:tcBorders>
          </w:tcPr>
          <w:p>
            <w:pPr>
              <w:spacing w:after="0"/>
              <w:rPr>
                <w:sz w:val="14"/>
                <w:szCs w:val="14"/>
                <w:color w:val="auto"/>
              </w:rPr>
            </w:pPr>
          </w:p>
        </w:tc>
        <w:tc>
          <w:tcPr>
            <w:tcW w:w="1780" w:type="dxa"/>
            <w:vAlign w:val="bottom"/>
            <w:gridSpan w:val="27"/>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360">
              <w:r>
                <w:rPr>
                  <w:rFonts w:ascii="Arial" w:cs="Arial" w:eastAsia="Arial" w:hAnsi="Arial"/>
                  <w:sz w:val="16"/>
                  <w:szCs w:val="16"/>
                  <w:color w:val="0000FF"/>
                </w:rPr>
                <w:t>Employment Terms Letter, by and between Dr. Richard Chen and the</w:t>
              </w:r>
            </w:hyperlink>
          </w:p>
        </w:tc>
        <w:tc>
          <w:tcPr>
            <w:tcW w:w="420" w:type="dxa"/>
            <w:vAlign w:val="bottom"/>
            <w:gridSpan w:val="12"/>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Registrant, dated June 2, 2019.</w:t>
              </w:r>
            </w:hyperlink>
          </w:p>
        </w:tc>
        <w:tc>
          <w:tcPr>
            <w:tcW w:w="3140" w:type="dxa"/>
            <w:vAlign w:val="bottom"/>
            <w:gridSpan w:val="34"/>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361">
              <w:r>
                <w:rPr>
                  <w:rFonts w:ascii="Arial" w:cs="Arial" w:eastAsia="Arial" w:hAnsi="Arial"/>
                  <w:sz w:val="16"/>
                  <w:szCs w:val="16"/>
                  <w:color w:val="0000FF"/>
                </w:rPr>
                <w:t>Employment Terms Letter, by and between Aaron Tachibana and the</w:t>
              </w:r>
            </w:hyperlink>
          </w:p>
        </w:tc>
        <w:tc>
          <w:tcPr>
            <w:tcW w:w="440" w:type="dxa"/>
            <w:vAlign w:val="bottom"/>
            <w:gridSpan w:val="13"/>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361">
              <w:r>
                <w:rPr>
                  <w:rFonts w:ascii="Arial" w:cs="Arial" w:eastAsia="Arial" w:hAnsi="Arial"/>
                  <w:sz w:val="16"/>
                  <w:szCs w:val="16"/>
                  <w:color w:val="0000FF"/>
                </w:rPr>
                <w:t>Registrant, dated June 2, 2019.</w:t>
              </w:r>
            </w:hyperlink>
          </w:p>
        </w:tc>
        <w:tc>
          <w:tcPr>
            <w:tcW w:w="3140" w:type="dxa"/>
            <w:vAlign w:val="bottom"/>
            <w:gridSpan w:val="34"/>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362">
              <w:r>
                <w:rPr>
                  <w:rFonts w:ascii="Arial" w:cs="Arial" w:eastAsia="Arial" w:hAnsi="Arial"/>
                  <w:sz w:val="16"/>
                  <w:szCs w:val="16"/>
                  <w:color w:val="0000FF"/>
                </w:rPr>
                <w:t>Lease, by and between MENLO PREHC I, LLC, MENLO PREPI I, LLC,</w:t>
              </w:r>
            </w:hyperlink>
          </w:p>
        </w:tc>
        <w:tc>
          <w:tcPr>
            <w:tcW w:w="240" w:type="dxa"/>
            <w:vAlign w:val="bottom"/>
            <w:gridSpan w:val="7"/>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362">
              <w:r>
                <w:rPr>
                  <w:rFonts w:ascii="Arial" w:cs="Arial" w:eastAsia="Arial" w:hAnsi="Arial"/>
                  <w:sz w:val="16"/>
                  <w:szCs w:val="16"/>
                  <w:color w:val="0000FF"/>
                </w:rPr>
                <w:t>TPI INVESTORS 9, LLC and the Registrant, dated February 2, 2015.</w:t>
              </w:r>
            </w:hyperlink>
          </w:p>
        </w:tc>
        <w:tc>
          <w:tcPr>
            <w:tcW w:w="460" w:type="dxa"/>
            <w:vAlign w:val="bottom"/>
            <w:gridSpan w:val="14"/>
          </w:tcPr>
          <w:p>
            <w:pPr>
              <w:spacing w:after="0"/>
              <w:rPr>
                <w:sz w:val="14"/>
                <w:szCs w:val="14"/>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43"/>
          </w:tcPr>
          <w:p>
            <w:pPr>
              <w:spacing w:after="0"/>
              <w:rPr>
                <w:rFonts w:ascii="Arial" w:cs="Arial" w:eastAsia="Arial" w:hAnsi="Arial"/>
                <w:sz w:val="16"/>
                <w:szCs w:val="16"/>
                <w:color w:val="0000FF"/>
              </w:rPr>
            </w:pPr>
            <w:hyperlink r:id="rId363">
              <w:r>
                <w:rPr>
                  <w:rFonts w:ascii="Arial" w:cs="Arial" w:eastAsia="Arial" w:hAnsi="Arial"/>
                  <w:sz w:val="16"/>
                  <w:szCs w:val="16"/>
                  <w:color w:val="0000FF"/>
                </w:rPr>
                <w:t>First Amendment to Lease, by and between MENLO PREPI I, LLC and TPI</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363">
              <w:r>
                <w:rPr>
                  <w:rFonts w:ascii="Arial" w:cs="Arial" w:eastAsia="Arial" w:hAnsi="Arial"/>
                  <w:sz w:val="16"/>
                  <w:szCs w:val="16"/>
                  <w:color w:val="0000FF"/>
                </w:rPr>
                <w:t>INVESTORS 9, LLC and the Registrant, dated April 8, 2020.</w:t>
              </w:r>
            </w:hyperlink>
          </w:p>
        </w:tc>
        <w:tc>
          <w:tcPr>
            <w:tcW w:w="1080" w:type="dxa"/>
            <w:vAlign w:val="bottom"/>
            <w:gridSpan w:val="22"/>
          </w:tcPr>
          <w:p>
            <w:pPr>
              <w:spacing w:after="0"/>
              <w:rPr>
                <w:sz w:val="14"/>
                <w:szCs w:val="14"/>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26"/>
          </w:tcPr>
          <w:p>
            <w:pPr>
              <w:spacing w:after="0"/>
              <w:rPr>
                <w:rFonts w:ascii="Arial" w:cs="Arial" w:eastAsia="Arial" w:hAnsi="Arial"/>
                <w:sz w:val="16"/>
                <w:szCs w:val="16"/>
                <w:color w:val="0000FF"/>
              </w:rPr>
            </w:pPr>
            <w:hyperlink r:id="rId364">
              <w:r>
                <w:rPr>
                  <w:rFonts w:ascii="Arial" w:cs="Arial" w:eastAsia="Arial" w:hAnsi="Arial"/>
                  <w:sz w:val="16"/>
                  <w:szCs w:val="16"/>
                  <w:color w:val="0000FF"/>
                </w:rPr>
                <w:t>Personalis, Inc. 2020 Inducement Plan and forms of agreements</w:t>
              </w:r>
            </w:hyperlink>
          </w:p>
        </w:tc>
        <w:tc>
          <w:tcPr>
            <w:tcW w:w="740" w:type="dxa"/>
            <w:vAlign w:val="bottom"/>
            <w:gridSpan w:val="17"/>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0000FF"/>
            </w:tcBorders>
          </w:tcPr>
          <w:p>
            <w:pPr>
              <w:spacing w:after="0" w:line="169" w:lineRule="exact"/>
              <w:rPr>
                <w:rFonts w:ascii="Arial" w:cs="Arial" w:eastAsia="Arial" w:hAnsi="Arial"/>
                <w:sz w:val="16"/>
                <w:szCs w:val="16"/>
                <w:color w:val="0000FF"/>
                <w:w w:val="97"/>
              </w:rPr>
            </w:pPr>
            <w:hyperlink r:id="rId364">
              <w:r>
                <w:rPr>
                  <w:rFonts w:ascii="Arial" w:cs="Arial" w:eastAsia="Arial" w:hAnsi="Arial"/>
                  <w:sz w:val="16"/>
                  <w:szCs w:val="16"/>
                  <w:color w:val="0000FF"/>
                  <w:w w:val="97"/>
                </w:rPr>
                <w:t>thereunder.</w:t>
              </w:r>
            </w:hyperlink>
          </w:p>
        </w:tc>
        <w:tc>
          <w:tcPr>
            <w:tcW w:w="20" w:type="dxa"/>
            <w:vAlign w:val="bottom"/>
            <w:tcBorders>
              <w:bottom w:val="single" w:sz="8" w:color="0000EE"/>
            </w:tcBorders>
          </w:tcPr>
          <w:p>
            <w:pPr>
              <w:spacing w:after="0"/>
              <w:rPr>
                <w:sz w:val="14"/>
                <w:szCs w:val="14"/>
                <w:color w:val="auto"/>
              </w:rPr>
            </w:pPr>
          </w:p>
        </w:tc>
        <w:tc>
          <w:tcPr>
            <w:tcW w:w="4560" w:type="dxa"/>
            <w:vAlign w:val="bottom"/>
            <w:gridSpan w:val="41"/>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365">
              <w:r>
                <w:rPr>
                  <w:rFonts w:ascii="Arial" w:cs="Arial" w:eastAsia="Arial" w:hAnsi="Arial"/>
                  <w:sz w:val="16"/>
                  <w:szCs w:val="16"/>
                  <w:color w:val="0000FF"/>
                </w:rPr>
                <w:t>Lease, by and between Ardenwood Ventures I, LLC and the Registrant,</w:t>
              </w:r>
            </w:hyperlink>
          </w:p>
        </w:tc>
        <w:tc>
          <w:tcPr>
            <w:tcW w:w="240" w:type="dxa"/>
            <w:vAlign w:val="bottom"/>
            <w:gridSpan w:val="7"/>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365">
              <w:r>
                <w:rPr>
                  <w:rFonts w:ascii="Arial" w:cs="Arial" w:eastAsia="Arial" w:hAnsi="Arial"/>
                  <w:sz w:val="16"/>
                  <w:szCs w:val="16"/>
                  <w:color w:val="0000FF"/>
                </w:rPr>
                <w:t>dated August 25, 2021.</w:t>
              </w:r>
            </w:hyperlink>
          </w:p>
        </w:tc>
        <w:tc>
          <w:tcPr>
            <w:tcW w:w="3720" w:type="dxa"/>
            <w:vAlign w:val="bottom"/>
            <w:gridSpan w:val="38"/>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366">
              <w:r>
                <w:rPr>
                  <w:rFonts w:ascii="Arial" w:cs="Arial" w:eastAsia="Arial" w:hAnsi="Arial"/>
                  <w:sz w:val="16"/>
                  <w:szCs w:val="16"/>
                  <w:color w:val="0000FF"/>
                </w:rPr>
                <w:t>Amendment No. 1 to Lease, by and between Ardenwood Ventures I, LLC</w:t>
              </w:r>
            </w:hyperlink>
          </w:p>
        </w:tc>
        <w:tc>
          <w:tcPr>
            <w:tcW w:w="120" w:type="dxa"/>
            <w:vAlign w:val="bottom"/>
            <w:gridSpan w:val="4"/>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366">
              <w:r>
                <w:rPr>
                  <w:rFonts w:ascii="Arial" w:cs="Arial" w:eastAsia="Arial" w:hAnsi="Arial"/>
                  <w:sz w:val="16"/>
                  <w:szCs w:val="16"/>
                  <w:color w:val="0000FF"/>
                </w:rPr>
                <w:t>and the Registrant, dated December 8, 2021.</w:t>
              </w:r>
            </w:hyperlink>
          </w:p>
        </w:tc>
        <w:tc>
          <w:tcPr>
            <w:tcW w:w="2160" w:type="dxa"/>
            <w:vAlign w:val="bottom"/>
            <w:gridSpan w:val="31"/>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367">
              <w:r>
                <w:rPr>
                  <w:rFonts w:ascii="Arial" w:cs="Arial" w:eastAsia="Arial" w:hAnsi="Arial"/>
                  <w:sz w:val="16"/>
                  <w:szCs w:val="16"/>
                  <w:color w:val="0000FF"/>
                </w:rPr>
                <w:t>At-the-Market Sales Agreement, dated December 30, 2021, by and</w:t>
              </w:r>
            </w:hyperlink>
          </w:p>
        </w:tc>
        <w:tc>
          <w:tcPr>
            <w:tcW w:w="560" w:type="dxa"/>
            <w:vAlign w:val="bottom"/>
            <w:gridSpan w:val="16"/>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367">
              <w:r>
                <w:rPr>
                  <w:rFonts w:ascii="Arial" w:cs="Arial" w:eastAsia="Arial" w:hAnsi="Arial"/>
                  <w:sz w:val="16"/>
                  <w:szCs w:val="16"/>
                  <w:color w:val="0000FF"/>
                </w:rPr>
                <w:t>between the Registrant and BTIG, LLC.</w:t>
              </w:r>
            </w:hyperlink>
          </w:p>
        </w:tc>
        <w:tc>
          <w:tcPr>
            <w:tcW w:w="2560" w:type="dxa"/>
            <w:vAlign w:val="bottom"/>
            <w:gridSpan w:val="33"/>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gridSpan w:val="38"/>
          </w:tcPr>
          <w:p>
            <w:pPr>
              <w:spacing w:after="0" w:line="183" w:lineRule="exact"/>
              <w:rPr>
                <w:rFonts w:ascii="Arial" w:cs="Arial" w:eastAsia="Arial" w:hAnsi="Arial"/>
                <w:sz w:val="16"/>
                <w:szCs w:val="16"/>
                <w:color w:val="0000FF"/>
              </w:rPr>
            </w:pPr>
            <w:hyperlink r:id="rId368">
              <w:r>
                <w:rPr>
                  <w:rFonts w:ascii="Arial" w:cs="Arial" w:eastAsia="Arial" w:hAnsi="Arial"/>
                  <w:sz w:val="16"/>
                  <w:szCs w:val="16"/>
                  <w:color w:val="0000FF"/>
                </w:rPr>
                <w:t>Amended Personalis, Inc. Non-Employee Director Compensation Policy,</w:t>
              </w:r>
            </w:hyperlink>
          </w:p>
        </w:tc>
        <w:tc>
          <w:tcPr>
            <w:tcW w:w="180" w:type="dxa"/>
            <w:vAlign w:val="bottom"/>
            <w:gridSpan w:val="5"/>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368">
              <w:r>
                <w:rPr>
                  <w:rFonts w:ascii="Arial" w:cs="Arial" w:eastAsia="Arial" w:hAnsi="Arial"/>
                  <w:sz w:val="16"/>
                  <w:szCs w:val="16"/>
                  <w:color w:val="0000FF"/>
                </w:rPr>
                <w:t>dated February 17, 2022.</w:t>
              </w:r>
            </w:hyperlink>
          </w:p>
        </w:tc>
        <w:tc>
          <w:tcPr>
            <w:tcW w:w="3580" w:type="dxa"/>
            <w:vAlign w:val="bottom"/>
            <w:gridSpan w:val="35"/>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bottom w:val="single" w:sz="8" w:color="0000FF"/>
            </w:tcBorders>
            <w:gridSpan w:val="42"/>
          </w:tcPr>
          <w:p>
            <w:pPr>
              <w:spacing w:after="0" w:line="183" w:lineRule="exact"/>
              <w:rPr>
                <w:rFonts w:ascii="Arial" w:cs="Arial" w:eastAsia="Arial" w:hAnsi="Arial"/>
                <w:sz w:val="16"/>
                <w:szCs w:val="16"/>
                <w:color w:val="0000FF"/>
              </w:rPr>
            </w:pPr>
            <w:hyperlink r:id="rId369">
              <w:r>
                <w:rPr>
                  <w:rFonts w:ascii="Arial" w:cs="Arial" w:eastAsia="Arial" w:hAnsi="Arial"/>
                  <w:sz w:val="16"/>
                  <w:szCs w:val="16"/>
                  <w:color w:val="0000FF"/>
                </w:rPr>
                <w:t>Amended and Restated Executive Severance Agreement, by and between</w:t>
              </w:r>
            </w:hyperlink>
          </w:p>
        </w:tc>
        <w:tc>
          <w:tcPr>
            <w:tcW w:w="20" w:type="dxa"/>
            <w:vAlign w:val="bottom"/>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369">
              <w:r>
                <w:rPr>
                  <w:rFonts w:ascii="Arial" w:cs="Arial" w:eastAsia="Arial" w:hAnsi="Arial"/>
                  <w:sz w:val="16"/>
                  <w:szCs w:val="16"/>
                  <w:color w:val="0000FF"/>
                </w:rPr>
                <w:t>Dr. Richard Chen and the Registrant, dated February 23, 2022.</w:t>
              </w:r>
            </w:hyperlink>
          </w:p>
        </w:tc>
        <w:tc>
          <w:tcPr>
            <w:tcW w:w="880" w:type="dxa"/>
            <w:vAlign w:val="bottom"/>
            <w:gridSpan w:val="20"/>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bottom w:val="single" w:sz="8" w:color="0000FF"/>
            </w:tcBorders>
            <w:gridSpan w:val="42"/>
          </w:tcPr>
          <w:p>
            <w:pPr>
              <w:spacing w:after="0" w:line="183" w:lineRule="exact"/>
              <w:rPr>
                <w:rFonts w:ascii="Arial" w:cs="Arial" w:eastAsia="Arial" w:hAnsi="Arial"/>
                <w:sz w:val="16"/>
                <w:szCs w:val="16"/>
                <w:color w:val="0000FF"/>
              </w:rPr>
            </w:pPr>
            <w:hyperlink r:id="rId370">
              <w:r>
                <w:rPr>
                  <w:rFonts w:ascii="Arial" w:cs="Arial" w:eastAsia="Arial" w:hAnsi="Arial"/>
                  <w:sz w:val="16"/>
                  <w:szCs w:val="16"/>
                  <w:color w:val="0000FF"/>
                </w:rPr>
                <w:t>Amended and Restated Executive Severance Agreement, by and between</w:t>
              </w:r>
            </w:hyperlink>
          </w:p>
        </w:tc>
        <w:tc>
          <w:tcPr>
            <w:tcW w:w="20" w:type="dxa"/>
            <w:vAlign w:val="bottom"/>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3"/>
          </w:tcPr>
          <w:p>
            <w:pPr>
              <w:spacing w:after="0" w:line="169" w:lineRule="exact"/>
              <w:rPr>
                <w:rFonts w:ascii="Arial" w:cs="Arial" w:eastAsia="Arial" w:hAnsi="Arial"/>
                <w:sz w:val="16"/>
                <w:szCs w:val="16"/>
                <w:color w:val="0000FF"/>
              </w:rPr>
            </w:pPr>
            <w:hyperlink r:id="rId370">
              <w:r>
                <w:rPr>
                  <w:rFonts w:ascii="Arial" w:cs="Arial" w:eastAsia="Arial" w:hAnsi="Arial"/>
                  <w:sz w:val="16"/>
                  <w:szCs w:val="16"/>
                  <w:color w:val="0000FF"/>
                </w:rPr>
                <w:t>Aaron Tachibana and the Registrant, dated February 23, 2022.</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371">
              <w:r>
                <w:rPr>
                  <w:rFonts w:ascii="Arial" w:cs="Arial" w:eastAsia="Arial" w:hAnsi="Arial"/>
                  <w:sz w:val="16"/>
                  <w:szCs w:val="16"/>
                  <w:color w:val="0000FF"/>
                </w:rPr>
                <w:t>Amendment No. 2 to Lease, by and between Ardenwood Ventures I, LLC</w:t>
              </w:r>
            </w:hyperlink>
          </w:p>
        </w:tc>
        <w:tc>
          <w:tcPr>
            <w:tcW w:w="120" w:type="dxa"/>
            <w:vAlign w:val="bottom"/>
            <w:gridSpan w:val="4"/>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3"/>
          </w:tcPr>
          <w:p>
            <w:pPr>
              <w:spacing w:after="0" w:line="169" w:lineRule="exact"/>
              <w:rPr>
                <w:rFonts w:ascii="Arial" w:cs="Arial" w:eastAsia="Arial" w:hAnsi="Arial"/>
                <w:sz w:val="16"/>
                <w:szCs w:val="16"/>
                <w:color w:val="0000FF"/>
              </w:rPr>
            </w:pPr>
            <w:hyperlink r:id="rId371">
              <w:r>
                <w:rPr>
                  <w:rFonts w:ascii="Arial" w:cs="Arial" w:eastAsia="Arial" w:hAnsi="Arial"/>
                  <w:sz w:val="16"/>
                  <w:szCs w:val="16"/>
                  <w:color w:val="0000FF"/>
                </w:rPr>
                <w:t>and the Registrant, dated June 9, 2022.</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372">
              <w:r>
                <w:rPr>
                  <w:rFonts w:ascii="Arial" w:cs="Arial" w:eastAsia="Arial" w:hAnsi="Arial"/>
                  <w:sz w:val="16"/>
                  <w:szCs w:val="16"/>
                  <w:color w:val="0000FF"/>
                </w:rPr>
                <w:t>Contract No. 36C24E22D0031, by and between the U.S. Department of</w:t>
              </w:r>
            </w:hyperlink>
          </w:p>
        </w:tc>
        <w:tc>
          <w:tcPr>
            <w:tcW w:w="220" w:type="dxa"/>
            <w:vAlign w:val="bottom"/>
            <w:gridSpan w:val="6"/>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372">
              <w:r>
                <w:rPr>
                  <w:rFonts w:ascii="Arial" w:cs="Arial" w:eastAsia="Arial" w:hAnsi="Arial"/>
                  <w:sz w:val="16"/>
                  <w:szCs w:val="16"/>
                  <w:color w:val="0000FF"/>
                </w:rPr>
                <w:t>Veterans Affairs and the Registrant, dated September 30, 2022.</w:t>
              </w:r>
            </w:hyperlink>
          </w:p>
        </w:tc>
        <w:tc>
          <w:tcPr>
            <w:tcW w:w="20" w:type="dxa"/>
            <w:vAlign w:val="bottom"/>
            <w:tcBorders>
              <w:bottom w:val="single" w:sz="8" w:color="0000EE"/>
            </w:tcBorders>
          </w:tcPr>
          <w:p>
            <w:pPr>
              <w:spacing w:after="0"/>
              <w:rPr>
                <w:sz w:val="14"/>
                <w:szCs w:val="14"/>
                <w:color w:val="auto"/>
              </w:rPr>
            </w:pPr>
          </w:p>
        </w:tc>
        <w:tc>
          <w:tcPr>
            <w:tcW w:w="820" w:type="dxa"/>
            <w:vAlign w:val="bottom"/>
            <w:gridSpan w:val="18"/>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373">
              <w:r>
                <w:rPr>
                  <w:rFonts w:ascii="Arial" w:cs="Arial" w:eastAsia="Arial" w:hAnsi="Arial"/>
                  <w:sz w:val="16"/>
                  <w:szCs w:val="16"/>
                  <w:color w:val="0000FF"/>
                </w:rPr>
                <w:t>Separation Agreement, dated December 14, 2022, between John West</w:t>
              </w:r>
            </w:hyperlink>
          </w:p>
        </w:tc>
        <w:tc>
          <w:tcPr>
            <w:tcW w:w="260" w:type="dxa"/>
            <w:vAlign w:val="bottom"/>
            <w:gridSpan w:val="8"/>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3"/>
          </w:tcPr>
          <w:p>
            <w:pPr>
              <w:spacing w:after="0" w:line="169" w:lineRule="exact"/>
              <w:rPr>
                <w:rFonts w:ascii="Arial" w:cs="Arial" w:eastAsia="Arial" w:hAnsi="Arial"/>
                <w:sz w:val="16"/>
                <w:szCs w:val="16"/>
                <w:color w:val="0000FF"/>
              </w:rPr>
            </w:pPr>
            <w:hyperlink r:id="rId373">
              <w:r>
                <w:rPr>
                  <w:rFonts w:ascii="Arial" w:cs="Arial" w:eastAsia="Arial" w:hAnsi="Arial"/>
                  <w:sz w:val="16"/>
                  <w:szCs w:val="16"/>
                  <w:color w:val="0000FF"/>
                </w:rPr>
                <w:t>and the Registrant.</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0000FF"/>
            </w:tcBorders>
            <w:gridSpan w:val="39"/>
          </w:tcPr>
          <w:p>
            <w:pPr>
              <w:spacing w:after="0" w:line="183" w:lineRule="exact"/>
              <w:rPr>
                <w:sz w:val="20"/>
                <w:szCs w:val="20"/>
                <w:color w:val="auto"/>
              </w:rPr>
            </w:pPr>
            <w:r>
              <w:rPr>
                <w:rFonts w:ascii="Arial" w:cs="Arial" w:eastAsia="Arial" w:hAnsi="Arial"/>
                <w:sz w:val="16"/>
                <w:szCs w:val="16"/>
                <w:color w:val="0000FF"/>
              </w:rPr>
              <w:t>Amendment No. 3 to Lease, by and between Ardenwood Ventures I, LLC</w:t>
            </w:r>
          </w:p>
        </w:tc>
        <w:tc>
          <w:tcPr>
            <w:tcW w:w="120" w:type="dxa"/>
            <w:vAlign w:val="bottom"/>
            <w:gridSpan w:val="4"/>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3"/>
          </w:tcPr>
          <w:p>
            <w:pPr>
              <w:spacing w:after="0" w:line="169" w:lineRule="exact"/>
              <w:rPr>
                <w:sz w:val="20"/>
                <w:szCs w:val="20"/>
                <w:color w:val="auto"/>
              </w:rPr>
            </w:pPr>
            <w:r>
              <w:rPr>
                <w:rFonts w:ascii="Arial" w:cs="Arial" w:eastAsia="Arial" w:hAnsi="Arial"/>
                <w:sz w:val="16"/>
                <w:szCs w:val="16"/>
                <w:color w:val="0000FF"/>
              </w:rPr>
              <w:t>and the Registrant, dated December 19, 2022.</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9"/>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43"/>
          </w:tcPr>
          <w:p>
            <w:pPr>
              <w:spacing w:after="0" w:line="183" w:lineRule="exact"/>
              <w:rPr>
                <w:sz w:val="20"/>
                <w:szCs w:val="20"/>
                <w:color w:val="auto"/>
              </w:rPr>
            </w:pPr>
            <w:r>
              <w:rPr>
                <w:rFonts w:ascii="Arial" w:cs="Arial" w:eastAsia="Arial" w:hAnsi="Arial"/>
                <w:sz w:val="16"/>
                <w:szCs w:val="16"/>
                <w:color w:val="0000FF"/>
              </w:rPr>
              <w:t>Subsidiaries of the Registrant as of December 31, 2022.</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1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1100" w:type="dxa"/>
            <w:vAlign w:val="bottom"/>
            <w:gridSpan w:val="23"/>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40"/>
          </w:tcPr>
          <w:p>
            <w:pPr>
              <w:spacing w:after="0"/>
              <w:rPr>
                <w:sz w:val="20"/>
                <w:szCs w:val="20"/>
                <w:color w:val="auto"/>
              </w:rPr>
            </w:pPr>
            <w:r>
              <w:rPr>
                <w:rFonts w:ascii="Arial" w:cs="Arial" w:eastAsia="Arial" w:hAnsi="Arial"/>
                <w:sz w:val="16"/>
                <w:szCs w:val="16"/>
                <w:color w:val="0000FF"/>
              </w:rPr>
              <w:t>Power of Attorney (included on the Signatures page of this Annual Report</w:t>
            </w:r>
          </w:p>
        </w:tc>
        <w:tc>
          <w:tcPr>
            <w:tcW w:w="100" w:type="dxa"/>
            <w:vAlign w:val="bottom"/>
            <w:gridSpan w:val="3"/>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3"/>
          </w:tcPr>
          <w:p>
            <w:pPr>
              <w:spacing w:after="0" w:line="169" w:lineRule="exact"/>
              <w:rPr>
                <w:sz w:val="20"/>
                <w:szCs w:val="20"/>
                <w:color w:val="auto"/>
              </w:rPr>
            </w:pPr>
            <w:r>
              <w:rPr>
                <w:rFonts w:ascii="Arial" w:cs="Arial" w:eastAsia="Arial" w:hAnsi="Arial"/>
                <w:sz w:val="16"/>
                <w:szCs w:val="16"/>
                <w:color w:val="0000FF"/>
              </w:rPr>
              <w:t>on Form 10-K).</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gridSpan w:val="2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bottom w:val="single" w:sz="8" w:color="0000FF"/>
            </w:tcBorders>
            <w:gridSpan w:val="41"/>
          </w:tcPr>
          <w:p>
            <w:pPr>
              <w:spacing w:after="0" w:line="183" w:lineRule="exact"/>
              <w:rPr>
                <w:sz w:val="20"/>
                <w:szCs w:val="20"/>
                <w:color w:val="auto"/>
              </w:rPr>
            </w:pPr>
            <w:r>
              <w:rPr>
                <w:rFonts w:ascii="Arial" w:cs="Arial" w:eastAsia="Arial" w:hAnsi="Arial"/>
                <w:sz w:val="16"/>
                <w:szCs w:val="16"/>
                <w:color w:val="0000FF"/>
              </w:rPr>
              <w:t>Certification of Principal Executive and Financial Officer Pursuant to Rules</w:t>
            </w:r>
          </w:p>
        </w:tc>
        <w:tc>
          <w:tcPr>
            <w:tcW w:w="40" w:type="dxa"/>
            <w:vAlign w:val="bottom"/>
            <w:gridSpan w:val="2"/>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bottom w:val="single" w:sz="8" w:color="0000FF"/>
            </w:tcBorders>
            <w:gridSpan w:val="37"/>
          </w:tcPr>
          <w:p>
            <w:pPr>
              <w:spacing w:after="0" w:line="169" w:lineRule="exact"/>
              <w:rPr>
                <w:sz w:val="20"/>
                <w:szCs w:val="20"/>
                <w:color w:val="auto"/>
              </w:rPr>
            </w:pPr>
            <w:r>
              <w:rPr>
                <w:rFonts w:ascii="Arial" w:cs="Arial" w:eastAsia="Arial" w:hAnsi="Arial"/>
                <w:sz w:val="16"/>
                <w:szCs w:val="16"/>
                <w:color w:val="0000FF"/>
              </w:rPr>
              <w:t>13a-14(a) and 15d-14(a) under the Securities Exchange Act of 1934, as</w:t>
            </w:r>
          </w:p>
        </w:tc>
        <w:tc>
          <w:tcPr>
            <w:tcW w:w="220" w:type="dxa"/>
            <w:vAlign w:val="bottom"/>
            <w:gridSpan w:val="6"/>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29"/>
          </w:tcPr>
          <w:p>
            <w:pPr>
              <w:spacing w:after="0" w:line="169" w:lineRule="exact"/>
              <w:rPr>
                <w:sz w:val="20"/>
                <w:szCs w:val="20"/>
                <w:color w:val="auto"/>
              </w:rPr>
            </w:pPr>
            <w:r>
              <w:rPr>
                <w:rFonts w:ascii="Arial" w:cs="Arial" w:eastAsia="Arial" w:hAnsi="Arial"/>
                <w:sz w:val="16"/>
                <w:szCs w:val="16"/>
                <w:color w:val="0000FF"/>
              </w:rPr>
              <w:t>Adopted Pursuant to Section 302 of the Sarbanes-Oxley Act of 2002.</w:t>
            </w:r>
          </w:p>
        </w:tc>
        <w:tc>
          <w:tcPr>
            <w:tcW w:w="460" w:type="dxa"/>
            <w:vAlign w:val="bottom"/>
            <w:gridSpan w:val="14"/>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bottom w:val="single" w:sz="8" w:color="0000FF"/>
            </w:tcBorders>
            <w:gridSpan w:val="34"/>
          </w:tcPr>
          <w:p>
            <w:pPr>
              <w:spacing w:after="0" w:line="183" w:lineRule="exact"/>
              <w:rPr>
                <w:sz w:val="20"/>
                <w:szCs w:val="20"/>
                <w:color w:val="auto"/>
              </w:rPr>
            </w:pPr>
            <w:r>
              <w:rPr>
                <w:rFonts w:ascii="Arial" w:cs="Arial" w:eastAsia="Arial" w:hAnsi="Arial"/>
                <w:sz w:val="16"/>
                <w:szCs w:val="16"/>
                <w:color w:val="0000FF"/>
              </w:rPr>
              <w:t>Certification of Principal Executive and Financial Officer Pursuant to 18</w:t>
            </w:r>
          </w:p>
        </w:tc>
        <w:tc>
          <w:tcPr>
            <w:tcW w:w="280" w:type="dxa"/>
            <w:vAlign w:val="bottom"/>
            <w:gridSpan w:val="9"/>
          </w:tcPr>
          <w:p>
            <w:pPr>
              <w:spacing w:after="0"/>
              <w:rPr>
                <w:sz w:val="15"/>
                <w:szCs w:val="15"/>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bottom w:val="single" w:sz="8" w:color="0000FF"/>
            </w:tcBorders>
            <w:gridSpan w:val="43"/>
          </w:tcPr>
          <w:p>
            <w:pPr>
              <w:spacing w:after="0" w:line="169" w:lineRule="exact"/>
              <w:rPr>
                <w:sz w:val="20"/>
                <w:szCs w:val="20"/>
                <w:color w:val="auto"/>
              </w:rPr>
            </w:pPr>
            <w:r>
              <w:rPr>
                <w:rFonts w:ascii="Arial" w:cs="Arial" w:eastAsia="Arial" w:hAnsi="Arial"/>
                <w:sz w:val="16"/>
                <w:szCs w:val="16"/>
                <w:color w:val="0000FF"/>
              </w:rPr>
              <w:t>U.S.C. Section 1350, as Adopted Pursuant to Section 906 of the Sarbanes-</w:t>
            </w: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Oxley Act of 2002.</w:t>
            </w:r>
          </w:p>
        </w:tc>
        <w:tc>
          <w:tcPr>
            <w:tcW w:w="4020" w:type="dxa"/>
            <w:vAlign w:val="bottom"/>
            <w:gridSpan w:val="39"/>
          </w:tcPr>
          <w:p>
            <w:pPr>
              <w:spacing w:after="0"/>
              <w:rPr>
                <w:sz w:val="14"/>
                <w:szCs w:val="14"/>
                <w:color w:val="auto"/>
              </w:rPr>
            </w:pPr>
          </w:p>
        </w:tc>
      </w:tr>
      <w:tr>
        <w:trPr>
          <w:trHeight w:val="433"/>
        </w:trPr>
        <w:tc>
          <w:tcPr>
            <w:tcW w:w="1060" w:type="dxa"/>
            <w:vAlign w:val="bottom"/>
          </w:tcPr>
          <w:p>
            <w:pPr>
              <w:spacing w:after="0"/>
              <w:rPr>
                <w:sz w:val="24"/>
                <w:szCs w:val="24"/>
                <w:color w:val="auto"/>
              </w:rPr>
            </w:pPr>
          </w:p>
        </w:tc>
        <w:tc>
          <w:tcPr>
            <w:tcW w:w="4800" w:type="dxa"/>
            <w:vAlign w:val="bottom"/>
            <w:gridSpan w:val="28"/>
          </w:tcPr>
          <w:p>
            <w:pPr>
              <w:jc w:val="right"/>
              <w:ind w:right="10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632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Filing Date</w:t>
            </w:r>
          </w:p>
        </w:tc>
      </w:tr>
      <w:tr>
        <w:trPr>
          <w:trHeight w:val="207"/>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6/24/2019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10/31/2022</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2/25/2021</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5/23/2019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5/23/2019</w:t>
            </w:r>
          </w:p>
        </w:tc>
      </w:tr>
      <w:tr>
        <w:trPr>
          <w:trHeight w:val="405"/>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10.2</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10.4</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10.7</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10.8</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10.9</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5/23/2019</w:t>
            </w:r>
          </w:p>
        </w:tc>
      </w:tr>
      <w:tr>
        <w:trPr>
          <w:trHeight w:val="405"/>
        </w:trPr>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8/6/2020</w:t>
            </w:r>
          </w:p>
        </w:tc>
      </w:tr>
      <w:tr>
        <w:trPr>
          <w:trHeight w:val="405"/>
        </w:trPr>
        <w:tc>
          <w:tcPr>
            <w:tcW w:w="1040" w:type="dxa"/>
            <w:vAlign w:val="bottom"/>
          </w:tcPr>
          <w:p>
            <w:pPr>
              <w:jc w:val="center"/>
              <w:spacing w:after="0"/>
              <w:rPr>
                <w:sz w:val="20"/>
                <w:szCs w:val="20"/>
                <w:color w:val="auto"/>
              </w:rPr>
            </w:pPr>
            <w:r>
              <w:rPr>
                <w:rFonts w:ascii="Arial" w:cs="Arial" w:eastAsia="Arial" w:hAnsi="Arial"/>
                <w:sz w:val="16"/>
                <w:szCs w:val="16"/>
                <w:color w:val="auto"/>
              </w:rPr>
              <w:t>S-8</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333-238080</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99.1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5/7/2020</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11/4/2021</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10.16</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2/24/2022</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12/30/2021</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10.18</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2/24/2022</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10.20</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2/24/2022</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10.21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2/24/2022</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8/3/2022</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11/2/2022</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12/14/2022</w:t>
            </w:r>
          </w:p>
        </w:tc>
      </w:tr>
    </w:tbl>
    <w:p>
      <w:pPr>
        <w:sectPr>
          <w:pgSz w:w="11900" w:h="16838" w:orient="portrait"/>
          <w:cols w:equalWidth="0" w:num="2">
            <w:col w:w="6600" w:space="140"/>
            <w:col w:w="4500"/>
          </w:cols>
          <w:pgMar w:left="320" w:top="144"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94" w:lineRule="exact"/>
        <w:rPr>
          <w:sz w:val="20"/>
          <w:szCs w:val="20"/>
          <w:color w:val="auto"/>
        </w:rPr>
      </w:pPr>
    </w:p>
    <w:p>
      <w:pPr>
        <w:ind w:left="1200" w:right="4860" w:hanging="1179"/>
        <w:spacing w:after="0" w:line="252" w:lineRule="auto"/>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Inline XBRL Document Set for the consolidated financial statements and accompanying notes in Part II, Item 8, “Financial Statements and Supplementary Data” of this Annual Report on Form 10-K.</w:t>
      </w:r>
    </w:p>
    <w:p>
      <w:pPr>
        <w:spacing w:after="0" w:line="1" w:lineRule="exact"/>
        <w:rPr>
          <w:sz w:val="20"/>
          <w:szCs w:val="20"/>
          <w:color w:val="auto"/>
        </w:rPr>
      </w:pPr>
    </w:p>
    <w:p>
      <w:pPr>
        <w:ind w:left="1200" w:right="5200" w:hanging="1179"/>
        <w:spacing w:after="0" w:line="260" w:lineRule="auto"/>
        <w:tabs>
          <w:tab w:leader="none" w:pos="12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Inline XBRL for the cover page of this Annual Report on Form 10-K, included in the Exhibit 101 Inline XBRL Document Set.</w:t>
      </w:r>
    </w:p>
    <w:p>
      <w:pPr>
        <w:spacing w:after="0" w:line="184"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8770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2" w:lineRule="exact"/>
        <w:rPr>
          <w:sz w:val="20"/>
          <w:szCs w:val="20"/>
          <w:color w:val="auto"/>
        </w:rPr>
      </w:pPr>
    </w:p>
    <w:p>
      <w:pPr>
        <w:ind w:left="520" w:hanging="512"/>
        <w:spacing w:after="0" w:line="249" w:lineRule="auto"/>
        <w:tabs>
          <w:tab w:leader="none" w:pos="33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2" w:lineRule="exact"/>
        <w:rPr>
          <w:sz w:val="20"/>
          <w:szCs w:val="20"/>
          <w:color w:val="auto"/>
        </w:rPr>
      </w:pPr>
    </w:p>
    <w:p>
      <w:pPr>
        <w:ind w:left="520" w:hanging="512"/>
        <w:spacing w:after="0" w:line="249" w:lineRule="auto"/>
        <w:tabs>
          <w:tab w:leader="none" w:pos="331"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because such schedules and exhibits do not contain information which is material to an investment or voting decision or which is not otherwise disclosed in the filed agreements. The Company will furnish the omitted schedules and exhibits to the SEC upon request by the SEC.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68"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6"/>
          <w:szCs w:val="16"/>
          <w:color w:val="auto"/>
        </w:rPr>
        <w:t>Date: February 23, 2023</w:t>
      </w:r>
      <w:r>
        <w:rPr>
          <w:sz w:val="20"/>
          <w:szCs w:val="20"/>
          <w:color w:val="auto"/>
        </w:rPr>
        <w:tab/>
      </w:r>
      <w:r>
        <w:rPr>
          <w:rFonts w:ascii="Arial" w:cs="Arial" w:eastAsia="Arial" w:hAnsi="Arial"/>
          <w:sz w:val="16"/>
          <w:szCs w:val="16"/>
          <w:color w:val="auto"/>
        </w:rPr>
        <w:t>Personalis, Inc.</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31800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Interim Chief Executive Officer and Chief Financial Officer</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Executive Officer and</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 OF ATTORNEY</w:t>
      </w:r>
    </w:p>
    <w:p>
      <w:pPr>
        <w:spacing w:after="0" w:line="2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Aaron Tachibana,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pacing w:after="0" w:line="363" w:lineRule="exact"/>
        <w:rPr>
          <w:sz w:val="20"/>
          <w:szCs w:val="20"/>
          <w:color w:val="auto"/>
        </w:rPr>
      </w:pPr>
    </w:p>
    <w:p>
      <w:pPr>
        <w:ind w:left="1080"/>
        <w:spacing w:after="0"/>
        <w:tabs>
          <w:tab w:leader="none" w:pos="6100" w:val="left"/>
          <w:tab w:leader="none" w:pos="9840" w:val="left"/>
        </w:tabs>
        <w:rPr>
          <w:sz w:val="20"/>
          <w:szCs w:val="20"/>
          <w:color w:val="auto"/>
        </w:rPr>
      </w:pPr>
      <w:r>
        <w:rPr>
          <w:rFonts w:ascii="Arial" w:cs="Arial" w:eastAsia="Arial" w:hAnsi="Arial"/>
          <w:sz w:val="16"/>
          <w:szCs w:val="16"/>
          <w:b w:val="1"/>
          <w:bCs w:val="1"/>
          <w:color w:val="auto"/>
        </w:rPr>
        <w:t>Name and 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Aaron Tachibana</w:t>
      </w:r>
    </w:p>
    <w:p>
      <w:pPr>
        <w:spacing w:after="0" w:line="12"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571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A. Blaine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A. Blaine Bowman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Alan Colowick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Alan Colowick, M.D.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Karin Eastham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 Kenneth Ludlum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1"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Kenneth Ludlum</w:t>
      </w:r>
    </w:p>
    <w:p>
      <w:pPr>
        <w:spacing w:after="0" w:line="241"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Lonnie Shoff</w:t>
      </w:r>
    </w:p>
    <w:p>
      <w:pPr>
        <w:spacing w:after="0" w:line="12"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Lonnie Shoff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571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Olivia Bloom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 Woodrow A. Myers,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571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Woodrow A. Myers, Jr.,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jc w:val="center"/>
              <w:ind w:right="439"/>
              <w:spacing w:after="0"/>
              <w:rPr>
                <w:sz w:val="20"/>
                <w:szCs w:val="20"/>
                <w:color w:val="auto"/>
              </w:rPr>
            </w:pPr>
            <w:r>
              <w:rPr>
                <w:rFonts w:ascii="Arial" w:cs="Arial" w:eastAsia="Arial" w:hAnsi="Arial"/>
                <w:sz w:val="16"/>
                <w:szCs w:val="16"/>
                <w:color w:val="auto"/>
              </w:rPr>
              <w:t>Interim Chief Executive Officer and Chief Financial Officer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189"/>
        </w:trPr>
        <w:tc>
          <w:tcPr>
            <w:tcW w:w="4640" w:type="dxa"/>
            <w:vAlign w:val="bottom"/>
          </w:tcPr>
          <w:p>
            <w:pPr>
              <w:ind w:left="900"/>
              <w:spacing w:after="0"/>
              <w:rPr>
                <w:sz w:val="20"/>
                <w:szCs w:val="20"/>
                <w:color w:val="auto"/>
              </w:rPr>
            </w:pPr>
            <w:r>
              <w:rPr>
                <w:rFonts w:ascii="Arial" w:cs="Arial" w:eastAsia="Arial" w:hAnsi="Arial"/>
                <w:sz w:val="16"/>
                <w:szCs w:val="16"/>
                <w:i w:val="1"/>
                <w:iCs w:val="1"/>
                <w:color w:val="auto"/>
              </w:rPr>
              <w:t>(Principal Executive Officer and</w:t>
            </w:r>
          </w:p>
        </w:tc>
        <w:tc>
          <w:tcPr>
            <w:tcW w:w="1840" w:type="dxa"/>
            <w:vAlign w:val="bottom"/>
          </w:tcPr>
          <w:p>
            <w:pPr>
              <w:spacing w:after="0"/>
              <w:rPr>
                <w:sz w:val="16"/>
                <w:szCs w:val="16"/>
                <w:color w:val="auto"/>
              </w:rPr>
            </w:pPr>
          </w:p>
        </w:tc>
      </w:tr>
      <w:tr>
        <w:trPr>
          <w:trHeight w:val="211"/>
        </w:trPr>
        <w:tc>
          <w:tcPr>
            <w:tcW w:w="4640" w:type="dxa"/>
            <w:vAlign w:val="bottom"/>
          </w:tcPr>
          <w:p>
            <w:pPr>
              <w:jc w:val="center"/>
              <w:ind w:right="439"/>
              <w:spacing w:after="0"/>
              <w:rPr>
                <w:sz w:val="20"/>
                <w:szCs w:val="20"/>
                <w:color w:val="auto"/>
              </w:rPr>
            </w:pPr>
            <w:r>
              <w:rPr>
                <w:rFonts w:ascii="Arial" w:cs="Arial" w:eastAsia="Arial" w:hAnsi="Arial"/>
                <w:sz w:val="16"/>
                <w:szCs w:val="16"/>
                <w:i w:val="1"/>
                <w:iCs w:val="1"/>
                <w:color w:val="auto"/>
              </w:rPr>
              <w:t>Principal Financial and Accounting Officer)</w:t>
            </w:r>
          </w:p>
        </w:tc>
        <w:tc>
          <w:tcPr>
            <w:tcW w:w="1840" w:type="dxa"/>
            <w:vAlign w:val="bottom"/>
          </w:tcPr>
          <w:p>
            <w:pPr>
              <w:spacing w:after="0"/>
              <w:rPr>
                <w:sz w:val="18"/>
                <w:szCs w:val="18"/>
                <w:color w:val="auto"/>
              </w:rPr>
            </w:pPr>
          </w:p>
        </w:tc>
      </w:tr>
      <w:tr>
        <w:trPr>
          <w:trHeight w:val="783"/>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1175"/>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1174"/>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1175"/>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810"/>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985"/>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r>
        <w:trPr>
          <w:trHeight w:val="1174"/>
        </w:trPr>
        <w:tc>
          <w:tcPr>
            <w:tcW w:w="4640" w:type="dxa"/>
            <w:vAlign w:val="bottom"/>
          </w:tcPr>
          <w:p>
            <w:pPr>
              <w:jc w:val="center"/>
              <w:ind w:right="439"/>
              <w:spacing w:after="0"/>
              <w:rPr>
                <w:sz w:val="20"/>
                <w:szCs w:val="20"/>
                <w:color w:val="auto"/>
              </w:rPr>
            </w:pPr>
            <w:r>
              <w:rPr>
                <w:rFonts w:ascii="Arial" w:cs="Arial" w:eastAsia="Arial" w:hAnsi="Arial"/>
                <w:sz w:val="16"/>
                <w:szCs w:val="16"/>
                <w:color w:val="auto"/>
                <w:w w:val="99"/>
              </w:rPr>
              <w:t>Director</w:t>
            </w:r>
          </w:p>
        </w:tc>
        <w:tc>
          <w:tcPr>
            <w:tcW w:w="1840" w:type="dxa"/>
            <w:vAlign w:val="bottom"/>
          </w:tcPr>
          <w:p>
            <w:pPr>
              <w:ind w:left="520"/>
              <w:spacing w:after="0"/>
              <w:rPr>
                <w:sz w:val="20"/>
                <w:szCs w:val="20"/>
                <w:color w:val="auto"/>
              </w:rPr>
            </w:pPr>
            <w:r>
              <w:rPr>
                <w:rFonts w:ascii="Arial" w:cs="Arial" w:eastAsia="Arial" w:hAnsi="Arial"/>
                <w:sz w:val="16"/>
                <w:szCs w:val="16"/>
                <w:color w:val="auto"/>
                <w:w w:val="99"/>
              </w:rPr>
              <w:t>February 23, 2023</w:t>
            </w:r>
          </w:p>
        </w:tc>
      </w:tr>
    </w:tbl>
    <w:p>
      <w:pPr>
        <w:spacing w:after="0" w:line="560" w:lineRule="exact"/>
        <w:rPr>
          <w:sz w:val="20"/>
          <w:szCs w:val="20"/>
          <w:color w:val="auto"/>
        </w:rPr>
      </w:pPr>
    </w:p>
    <w:p>
      <w:pPr>
        <w:sectPr>
          <w:pgSz w:w="11900" w:h="16838" w:orient="portrait"/>
          <w:cols w:equalWidth="0" w:num="2">
            <w:col w:w="3500" w:space="720"/>
            <w:col w:w="7020"/>
          </w:cols>
          <w:pgMar w:left="320" w:top="144" w:right="339" w:bottom="1440" w:gutter="0" w:footer="0" w:header="0"/>
          <w:type w:val="continuous"/>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AMENDMENT NO. 3 TO LEASE</w:t>
      </w:r>
    </w:p>
    <w:p>
      <w:pPr>
        <w:spacing w:after="0" w:line="217" w:lineRule="exact"/>
        <w:rPr>
          <w:sz w:val="20"/>
          <w:szCs w:val="20"/>
          <w:color w:val="auto"/>
        </w:rPr>
      </w:pPr>
    </w:p>
    <w:p>
      <w:pPr>
        <w:ind w:right="360" w:firstLine="749"/>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3 T</w:t>
      </w:r>
      <w:r>
        <w:rPr>
          <w:rFonts w:ascii="Arial" w:cs="Arial" w:eastAsia="Arial" w:hAnsi="Arial"/>
          <w:sz w:val="13"/>
          <w:szCs w:val="13"/>
          <w:b w:val="1"/>
          <w:bCs w:val="1"/>
          <w:color w:val="auto"/>
        </w:rPr>
        <w:t>o</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ease</w:t>
      </w:r>
      <w:r>
        <w:rPr>
          <w:rFonts w:ascii="Arial" w:cs="Arial" w:eastAsia="Arial" w:hAnsi="Arial"/>
          <w:sz w:val="20"/>
          <w:szCs w:val="20"/>
          <w:color w:val="auto"/>
        </w:rPr>
        <w:t xml:space="preserve"> (“Amendment”) is dated as of December 19, 2022 (the “</w:t>
      </w:r>
      <w:r>
        <w:rPr>
          <w:rFonts w:ascii="Arial" w:cs="Arial" w:eastAsia="Arial" w:hAnsi="Arial"/>
          <w:sz w:val="20"/>
          <w:szCs w:val="20"/>
          <w:b w:val="1"/>
          <w:bCs w:val="1"/>
          <w:color w:val="auto"/>
        </w:rPr>
        <w:t>Amendment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rdenwood</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entures</w:t>
      </w:r>
      <w:r>
        <w:rPr>
          <w:rFonts w:ascii="Arial" w:cs="Arial" w:eastAsia="Arial" w:hAnsi="Arial"/>
          <w:sz w:val="20"/>
          <w:szCs w:val="20"/>
          <w:b w:val="1"/>
          <w:bCs w:val="1"/>
          <w:color w:val="auto"/>
        </w:rPr>
        <w:t xml:space="preserve"> I,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ersonalis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2" w:lineRule="exact"/>
        <w:rPr>
          <w:sz w:val="20"/>
          <w:szCs w:val="20"/>
          <w:color w:val="auto"/>
        </w:rPr>
      </w:pPr>
    </w:p>
    <w:p>
      <w:pPr>
        <w:ind w:right="140" w:firstLine="757"/>
        <w:spacing w:after="0" w:line="263" w:lineRule="auto"/>
        <w:tabs>
          <w:tab w:leader="none" w:pos="1613"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Landlord and Tenant entered into that certain Lease Agreement dated as of August 24, 2021, as amended by that certain Amendment No. 1 to Lease dated as of December 8, 2021, and as further amended by that certain Amendment No. 2 to Lease dated as of June 9, 2022 (collectively, the “</w:t>
      </w:r>
      <w:r>
        <w:rPr>
          <w:rFonts w:ascii="Arial" w:cs="Arial" w:eastAsia="Arial" w:hAnsi="Arial"/>
          <w:sz w:val="19"/>
          <w:szCs w:val="19"/>
          <w:b w:val="1"/>
          <w:bCs w:val="1"/>
          <w:color w:val="auto"/>
        </w:rPr>
        <w:t>Lease</w:t>
      </w:r>
      <w:r>
        <w:rPr>
          <w:rFonts w:ascii="Arial" w:cs="Arial" w:eastAsia="Arial" w:hAnsi="Arial"/>
          <w:sz w:val="19"/>
          <w:szCs w:val="19"/>
          <w:color w:val="auto"/>
        </w:rPr>
        <w:t>”) for premises located at 6600 Dumbarton Circle in Fremont, California, comprised of approximately 100,808 rentable square feet of floor area as more particularly described in the Lease.</w:t>
      </w:r>
    </w:p>
    <w:p>
      <w:pPr>
        <w:spacing w:after="0" w:line="176" w:lineRule="exact"/>
        <w:rPr>
          <w:rFonts w:ascii="Arial" w:cs="Arial" w:eastAsia="Arial" w:hAnsi="Arial"/>
          <w:sz w:val="19"/>
          <w:szCs w:val="19"/>
          <w:b w:val="1"/>
          <w:bCs w:val="1"/>
          <w:color w:val="auto"/>
        </w:rPr>
      </w:pPr>
    </w:p>
    <w:p>
      <w:pPr>
        <w:ind w:right="240" w:firstLine="757"/>
        <w:spacing w:after="0" w:line="260" w:lineRule="auto"/>
        <w:tabs>
          <w:tab w:leader="none" w:pos="1613"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Landlord and Tenant now desire to amend the Lease on the terms and conditions set forth herein in order to bring their respective funding obligations into balance.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and valuable consideration, the receipt and sufficiency of which are hereby acknowledged, Landlord and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Tenant hereby agree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9"/>
          <w:szCs w:val="19"/>
          <w:b w:val="1"/>
          <w:bCs w:val="1"/>
          <w:color w:val="auto"/>
        </w:rPr>
        <w:t>Recitals.</w:t>
      </w:r>
      <w:r>
        <w:rPr>
          <w:rFonts w:ascii="Arial" w:cs="Arial" w:eastAsia="Arial" w:hAnsi="Arial"/>
          <w:sz w:val="22"/>
          <w:szCs w:val="22"/>
          <w:b w:val="1"/>
          <w:bCs w:val="1"/>
          <w:color w:val="auto"/>
        </w:rPr>
        <w:t xml:space="preserve"> </w:t>
      </w:r>
      <w:r>
        <w:rPr>
          <w:rFonts w:ascii="Arial" w:cs="Arial" w:eastAsia="Arial" w:hAnsi="Arial"/>
          <w:sz w:val="19"/>
          <w:szCs w:val="19"/>
          <w:color w:val="auto"/>
        </w:rPr>
        <w:t>The foregoing Recitals are hereby incorporated into this Amendment and agreed to by Landlord and Tenant.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2.</w:t>
      </w:r>
      <w:r>
        <w:rPr>
          <w:rFonts w:ascii="Arial" w:cs="Arial" w:eastAsia="Arial" w:hAnsi="Arial"/>
          <w:sz w:val="19"/>
          <w:szCs w:val="19"/>
          <w:b w:val="1"/>
          <w:bCs w:val="1"/>
          <w:color w:val="auto"/>
        </w:rPr>
        <w:t>Definitions.</w:t>
      </w:r>
      <w:r>
        <w:rPr>
          <w:rFonts w:ascii="Arial" w:cs="Arial" w:eastAsia="Arial" w:hAnsi="Arial"/>
          <w:sz w:val="22"/>
          <w:szCs w:val="22"/>
          <w:b w:val="1"/>
          <w:bCs w:val="1"/>
          <w:color w:val="auto"/>
        </w:rPr>
        <w:t xml:space="preserve"> </w:t>
      </w:r>
      <w:r>
        <w:rPr>
          <w:rFonts w:ascii="Arial" w:cs="Arial" w:eastAsia="Arial" w:hAnsi="Arial"/>
          <w:sz w:val="19"/>
          <w:szCs w:val="19"/>
          <w:color w:val="auto"/>
        </w:rPr>
        <w:t>All capitalized terms used in this Amendment but not otherwise defined shall have the meanings assigned to them in the</w:t>
      </w:r>
      <w:r>
        <w:rPr>
          <w:rFonts w:ascii="Arial" w:cs="Arial" w:eastAsia="Arial" w:hAnsi="Arial"/>
          <w:sz w:val="22"/>
          <w:szCs w:val="22"/>
          <w:b w:val="1"/>
          <w:bCs w:val="1"/>
          <w:color w:val="auto"/>
        </w:rPr>
        <w:t xml:space="preserve"> </w:t>
      </w:r>
      <w:r>
        <w:rPr>
          <w:rFonts w:ascii="Arial" w:cs="Arial" w:eastAsia="Arial" w:hAnsi="Arial"/>
          <w:sz w:val="19"/>
          <w:szCs w:val="19"/>
          <w:color w:val="auto"/>
        </w:rPr>
        <w:t>Lease.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3.</w:t>
      </w:r>
      <w:r>
        <w:rPr>
          <w:rFonts w:ascii="Arial" w:cs="Arial" w:eastAsia="Arial" w:hAnsi="Arial"/>
          <w:sz w:val="18"/>
          <w:szCs w:val="18"/>
          <w:b w:val="1"/>
          <w:bCs w:val="1"/>
          <w:color w:val="auto"/>
        </w:rPr>
        <w:t>Building Roof.</w:t>
      </w:r>
      <w:r>
        <w:rPr>
          <w:rFonts w:ascii="Arial" w:cs="Arial" w:eastAsia="Arial" w:hAnsi="Arial"/>
          <w:sz w:val="21"/>
          <w:szCs w:val="21"/>
          <w:b w:val="1"/>
          <w:bCs w:val="1"/>
          <w:color w:val="auto"/>
        </w:rPr>
        <w:t xml:space="preserve"> </w:t>
      </w:r>
      <w:r>
        <w:rPr>
          <w:rFonts w:ascii="Arial" w:cs="Arial" w:eastAsia="Arial" w:hAnsi="Arial"/>
          <w:sz w:val="18"/>
          <w:szCs w:val="18"/>
          <w:color w:val="auto"/>
        </w:rPr>
        <w:t>Landlord shall cause the Building’s roof membrane to be replaced at Landlord’s sole cost and expense, and no portion of</w:t>
      </w:r>
      <w:r>
        <w:rPr>
          <w:rFonts w:ascii="Arial" w:cs="Arial" w:eastAsia="Arial" w:hAnsi="Arial"/>
          <w:sz w:val="21"/>
          <w:szCs w:val="21"/>
          <w:b w:val="1"/>
          <w:bCs w:val="1"/>
          <w:color w:val="auto"/>
        </w:rPr>
        <w:t xml:space="preserve"> </w:t>
      </w:r>
      <w:r>
        <w:rPr>
          <w:rFonts w:ascii="Arial" w:cs="Arial" w:eastAsia="Arial" w:hAnsi="Arial"/>
          <w:sz w:val="18"/>
          <w:szCs w:val="18"/>
          <w:color w:val="auto"/>
        </w:rPr>
        <w:t>the cost incurred by Landlord in connection therewith will passed through to Tenant. Landlord shall exercise reasonable efforts to cause the roof replacement to be completed by June 30, 2023. Further, until such time the roof membrane is replaced, Landlord shall pay all costs and expenses associated with repair to the roof and the replacement of any ceiling tiles that are damaged due to leaks.</w:t>
      </w:r>
    </w:p>
    <w:p>
      <w:pPr>
        <w:spacing w:after="0" w:line="168"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b w:val="1"/>
          <w:bCs w:val="1"/>
          <w:color w:val="auto"/>
        </w:rPr>
        <w:t>4.</w:t>
      </w:r>
      <w:r>
        <w:rPr>
          <w:rFonts w:ascii="Arial" w:cs="Arial" w:eastAsia="Arial" w:hAnsi="Arial"/>
          <w:sz w:val="19"/>
          <w:szCs w:val="19"/>
          <w:b w:val="1"/>
          <w:bCs w:val="1"/>
          <w:color w:val="auto"/>
        </w:rPr>
        <w:t>Freight Elevator.</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not be obligated to pay for any portion of the cost to replace the freight elevator and such obligation set</w:t>
      </w:r>
      <w:r>
        <w:rPr>
          <w:rFonts w:ascii="Arial" w:cs="Arial" w:eastAsia="Arial" w:hAnsi="Arial"/>
          <w:sz w:val="22"/>
          <w:szCs w:val="22"/>
          <w:b w:val="1"/>
          <w:bCs w:val="1"/>
          <w:color w:val="auto"/>
        </w:rPr>
        <w:t xml:space="preserve"> </w:t>
      </w:r>
      <w:r>
        <w:rPr>
          <w:rFonts w:ascii="Arial" w:cs="Arial" w:eastAsia="Arial" w:hAnsi="Arial"/>
          <w:sz w:val="19"/>
          <w:szCs w:val="19"/>
          <w:color w:val="auto"/>
        </w:rPr>
        <w:t>forth in the Lease is hereby terminated, and all references in the Lease to the Elevator Allowance are hereby deleted.</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5.</w:t>
      </w:r>
      <w:r>
        <w:rPr>
          <w:rFonts w:ascii="Arial" w:cs="Arial" w:eastAsia="Arial" w:hAnsi="Arial"/>
          <w:sz w:val="19"/>
          <w:szCs w:val="19"/>
          <w:b w:val="1"/>
          <w:bCs w:val="1"/>
          <w:color w:val="auto"/>
        </w:rPr>
        <w:t>Ratification.</w:t>
      </w:r>
      <w:r>
        <w:rPr>
          <w:rFonts w:ascii="Arial" w:cs="Arial" w:eastAsia="Arial" w:hAnsi="Arial"/>
          <w:sz w:val="22"/>
          <w:szCs w:val="22"/>
          <w:b w:val="1"/>
          <w:bCs w:val="1"/>
          <w:color w:val="auto"/>
        </w:rPr>
        <w:t xml:space="preserve"> </w:t>
      </w:r>
      <w:r>
        <w:rPr>
          <w:rFonts w:ascii="Arial" w:cs="Arial" w:eastAsia="Arial" w:hAnsi="Arial"/>
          <w:sz w:val="19"/>
          <w:szCs w:val="19"/>
          <w:color w:val="auto"/>
        </w:rPr>
        <w:t>The Lease, as amended by this Amendment, is hereby ratified by Landlord and Tenant and Landlord and Tenant hereby</w:t>
      </w:r>
      <w:r>
        <w:rPr>
          <w:rFonts w:ascii="Arial" w:cs="Arial" w:eastAsia="Arial" w:hAnsi="Arial"/>
          <w:sz w:val="22"/>
          <w:szCs w:val="22"/>
          <w:b w:val="1"/>
          <w:bCs w:val="1"/>
          <w:color w:val="auto"/>
        </w:rPr>
        <w:t xml:space="preserve"> </w:t>
      </w:r>
      <w:r>
        <w:rPr>
          <w:rFonts w:ascii="Arial" w:cs="Arial" w:eastAsia="Arial" w:hAnsi="Arial"/>
          <w:sz w:val="19"/>
          <w:szCs w:val="19"/>
          <w:color w:val="auto"/>
        </w:rPr>
        <w:t>agree that the Lease, as so amended, shall continue in full force and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w:t>
      </w:r>
      <w:r>
        <w:rPr>
          <w:rFonts w:ascii="Arial" w:cs="Arial" w:eastAsia="Arial" w:hAnsi="Arial"/>
          <w:sz w:val="19"/>
          <w:szCs w:val="19"/>
          <w:b w:val="1"/>
          <w:bCs w:val="1"/>
          <w:color w:val="auto"/>
        </w:rPr>
        <w:t>Miscellaneous.</w:t>
      </w:r>
    </w:p>
    <w:p>
      <w:pPr>
        <w:spacing w:after="0" w:line="206" w:lineRule="exact"/>
        <w:rPr>
          <w:sz w:val="20"/>
          <w:szCs w:val="20"/>
          <w:color w:val="auto"/>
        </w:rPr>
      </w:pPr>
    </w:p>
    <w:p>
      <w:pPr>
        <w:ind w:firstLine="749"/>
        <w:spacing w:after="0" w:line="275"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color w:val="auto"/>
        </w:rPr>
        <w:t>Voluntary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The parties have read this Amendment and the mutual releases contained in it, and on</w:t>
      </w:r>
      <w:r>
        <w:rPr>
          <w:rFonts w:ascii="Arial" w:cs="Arial" w:eastAsia="Arial" w:hAnsi="Arial"/>
          <w:sz w:val="22"/>
          <w:szCs w:val="22"/>
          <w:b w:val="1"/>
          <w:bCs w:val="1"/>
          <w:color w:val="auto"/>
        </w:rPr>
        <w:t xml:space="preserve"> </w:t>
      </w:r>
      <w:r>
        <w:rPr>
          <w:rFonts w:ascii="Arial" w:cs="Arial" w:eastAsia="Arial" w:hAnsi="Arial"/>
          <w:sz w:val="19"/>
          <w:szCs w:val="19"/>
          <w:color w:val="auto"/>
        </w:rPr>
        <w:t>the advice of counsel they have freely and voluntarily entered into this Amendment.</w:t>
      </w:r>
    </w:p>
    <w:p>
      <w:pPr>
        <w:spacing w:after="0" w:line="148"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If either party commences an action against the other party arising out of or in connection with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the prevailing party shall be entitled to recover from the non-prevailing party, reasonable attorney’s fees and costs of suit.</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tbl>
      <w:tblPr>
        <w:tblLayout w:type="fixed"/>
        <w:tblInd w:w="760" w:type="dxa"/>
        <w:tblCellMar>
          <w:top w:w="0" w:type="dxa"/>
          <w:left w:w="0" w:type="dxa"/>
          <w:bottom w:w="0" w:type="dxa"/>
          <w:right w:w="0" w:type="dxa"/>
        </w:tblCellMar>
      </w:tblPr>
      <w:tr>
        <w:trPr>
          <w:trHeight w:val="281"/>
        </w:trPr>
        <w:tc>
          <w:tcPr>
            <w:tcW w:w="880" w:type="dxa"/>
            <w:vAlign w:val="bottom"/>
          </w:tcPr>
          <w:p>
            <w:pPr>
              <w:jc w:val="right"/>
              <w:ind w:right="512"/>
              <w:spacing w:after="0"/>
              <w:rPr>
                <w:sz w:val="20"/>
                <w:szCs w:val="20"/>
                <w:color w:val="auto"/>
              </w:rPr>
            </w:pPr>
            <w:r>
              <w:rPr>
                <w:rFonts w:ascii="Arial" w:cs="Arial" w:eastAsia="Arial" w:hAnsi="Arial"/>
                <w:sz w:val="22"/>
                <w:szCs w:val="22"/>
                <w:b w:val="1"/>
                <w:bCs w:val="1"/>
                <w:color w:val="auto"/>
                <w:w w:val="78"/>
              </w:rPr>
              <w:t>6.3</w:t>
            </w:r>
          </w:p>
        </w:tc>
        <w:tc>
          <w:tcPr>
            <w:tcW w:w="9580" w:type="dxa"/>
            <w:vAlign w:val="bottom"/>
          </w:tcPr>
          <w:p>
            <w:pPr>
              <w:ind w:left="620"/>
              <w:spacing w:after="0"/>
              <w:rPr>
                <w:sz w:val="20"/>
                <w:szCs w:val="20"/>
                <w:color w:val="auto"/>
              </w:rPr>
            </w:pPr>
            <w:r>
              <w:rPr>
                <w:rFonts w:ascii="Arial" w:cs="Arial" w:eastAsia="Arial" w:hAnsi="Arial"/>
                <w:sz w:val="20"/>
                <w:szCs w:val="20"/>
                <w:b w:val="1"/>
                <w:bCs w:val="1"/>
                <w:color w:val="auto"/>
                <w:w w:val="91"/>
              </w:rPr>
              <w:t xml:space="preserve">Successors. </w:t>
            </w:r>
            <w:r>
              <w:rPr>
                <w:rFonts w:ascii="Arial" w:cs="Arial" w:eastAsia="Arial" w:hAnsi="Arial"/>
                <w:sz w:val="20"/>
                <w:szCs w:val="20"/>
                <w:color w:val="auto"/>
                <w:w w:val="91"/>
              </w:rPr>
              <w:t>This Amendment shall be binding on and inure to the benefit of the parties and their successors.</w:t>
            </w:r>
          </w:p>
        </w:tc>
      </w:tr>
      <w:tr>
        <w:trPr>
          <w:trHeight w:val="448"/>
        </w:trPr>
        <w:tc>
          <w:tcPr>
            <w:tcW w:w="880" w:type="dxa"/>
            <w:vAlign w:val="bottom"/>
          </w:tcPr>
          <w:p>
            <w:pPr>
              <w:jc w:val="right"/>
              <w:ind w:right="512"/>
              <w:spacing w:after="0"/>
              <w:rPr>
                <w:sz w:val="20"/>
                <w:szCs w:val="20"/>
                <w:color w:val="auto"/>
              </w:rPr>
            </w:pPr>
            <w:r>
              <w:rPr>
                <w:rFonts w:ascii="Arial" w:cs="Arial" w:eastAsia="Arial" w:hAnsi="Arial"/>
                <w:sz w:val="22"/>
                <w:szCs w:val="22"/>
                <w:b w:val="1"/>
                <w:bCs w:val="1"/>
                <w:color w:val="auto"/>
                <w:w w:val="78"/>
              </w:rPr>
              <w:t>6.4</w:t>
            </w:r>
          </w:p>
        </w:tc>
        <w:tc>
          <w:tcPr>
            <w:tcW w:w="9580" w:type="dxa"/>
            <w:vAlign w:val="bottom"/>
          </w:tcPr>
          <w:p>
            <w:pPr>
              <w:ind w:left="620"/>
              <w:spacing w:after="0"/>
              <w:rPr>
                <w:sz w:val="20"/>
                <w:szCs w:val="20"/>
                <w:color w:val="auto"/>
              </w:rPr>
            </w:pPr>
            <w:r>
              <w:rPr>
                <w:rFonts w:ascii="Arial" w:cs="Arial" w:eastAsia="Arial" w:hAnsi="Arial"/>
                <w:sz w:val="20"/>
                <w:szCs w:val="20"/>
                <w:b w:val="1"/>
                <w:bCs w:val="1"/>
                <w:color w:val="auto"/>
                <w:w w:val="98"/>
              </w:rPr>
              <w:t xml:space="preserve">Counterparts.  </w:t>
            </w:r>
            <w:r>
              <w:rPr>
                <w:rFonts w:ascii="Arial" w:cs="Arial" w:eastAsia="Arial" w:hAnsi="Arial"/>
                <w:sz w:val="20"/>
                <w:szCs w:val="20"/>
                <w:color w:val="auto"/>
                <w:w w:val="98"/>
              </w:rPr>
              <w:t>This Amendment may be signed in two or more counterparts.  When at least one such</w:t>
            </w:r>
          </w:p>
        </w:tc>
      </w:tr>
    </w:tbl>
    <w:p>
      <w:pPr>
        <w:jc w:val="both"/>
        <w:ind w:right="20"/>
        <w:spacing w:after="0" w:line="244" w:lineRule="auto"/>
        <w:rPr>
          <w:sz w:val="20"/>
          <w:szCs w:val="20"/>
          <w:color w:val="auto"/>
        </w:rPr>
      </w:pPr>
      <w:r>
        <w:rPr>
          <w:rFonts w:ascii="Arial" w:cs="Arial" w:eastAsia="Arial" w:hAnsi="Arial"/>
          <w:sz w:val="20"/>
          <w:szCs w:val="20"/>
          <w:color w:val="auto"/>
        </w:rPr>
        <w:t>counterpart has been signed by each party, this Amendment shall be deemed to have been fully executed, each counterpart shall be deemed to be an original, and all counterparts shall be deemed to be one and the same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ind w:left="760"/>
              <w:spacing w:after="0"/>
              <w:rPr>
                <w:sz w:val="20"/>
                <w:szCs w:val="20"/>
                <w:color w:val="auto"/>
              </w:rPr>
            </w:pPr>
            <w:r>
              <w:rPr>
                <w:rFonts w:ascii="Arial" w:cs="Arial" w:eastAsia="Arial" w:hAnsi="Arial"/>
                <w:sz w:val="22"/>
                <w:szCs w:val="22"/>
                <w:b w:val="1"/>
                <w:bCs w:val="1"/>
                <w:color w:val="auto"/>
              </w:rPr>
              <w:t>6.5</w:t>
            </w:r>
          </w:p>
        </w:tc>
        <w:tc>
          <w:tcPr>
            <w:tcW w:w="9400" w:type="dxa"/>
            <w:vAlign w:val="bottom"/>
            <w:gridSpan w:val="4"/>
          </w:tcPr>
          <w:p>
            <w:pPr>
              <w:ind w:left="420"/>
              <w:spacing w:after="0"/>
              <w:rPr>
                <w:sz w:val="20"/>
                <w:szCs w:val="20"/>
                <w:color w:val="auto"/>
              </w:rPr>
            </w:pPr>
            <w:r>
              <w:rPr>
                <w:rFonts w:ascii="Arial" w:cs="Arial" w:eastAsia="Arial" w:hAnsi="Arial"/>
                <w:sz w:val="20"/>
                <w:szCs w:val="20"/>
                <w:b w:val="1"/>
                <w:bCs w:val="1"/>
                <w:color w:val="auto"/>
                <w:w w:val="91"/>
              </w:rPr>
              <w:t xml:space="preserve">Capitalized Terms. </w:t>
            </w:r>
            <w:r>
              <w:rPr>
                <w:rFonts w:ascii="Arial" w:cs="Arial" w:eastAsia="Arial" w:hAnsi="Arial"/>
                <w:sz w:val="20"/>
                <w:szCs w:val="20"/>
                <w:color w:val="auto"/>
                <w:w w:val="91"/>
              </w:rPr>
              <w:t>Capitalized terms used in this Amendment and not otherwise defined herein shall have the</w:t>
            </w:r>
          </w:p>
        </w:tc>
      </w:tr>
      <w:tr>
        <w:trPr>
          <w:trHeight w:val="250"/>
        </w:trPr>
        <w:tc>
          <w:tcPr>
            <w:tcW w:w="7900" w:type="dxa"/>
            <w:vAlign w:val="bottom"/>
            <w:gridSpan w:val="4"/>
          </w:tcPr>
          <w:p>
            <w:pPr>
              <w:spacing w:after="0"/>
              <w:rPr>
                <w:sz w:val="20"/>
                <w:szCs w:val="20"/>
                <w:color w:val="auto"/>
              </w:rPr>
            </w:pPr>
            <w:r>
              <w:rPr>
                <w:rFonts w:ascii="Arial" w:cs="Arial" w:eastAsia="Arial" w:hAnsi="Arial"/>
                <w:sz w:val="20"/>
                <w:szCs w:val="20"/>
                <w:color w:val="auto"/>
              </w:rPr>
              <w:t>same meaning ascribed to such terms in the Lease.</w:t>
            </w:r>
          </w:p>
        </w:tc>
        <w:tc>
          <w:tcPr>
            <w:tcW w:w="3340" w:type="dxa"/>
            <w:vAlign w:val="bottom"/>
          </w:tcPr>
          <w:p>
            <w:pPr>
              <w:spacing w:after="0"/>
              <w:rPr>
                <w:sz w:val="21"/>
                <w:szCs w:val="21"/>
                <w:color w:val="auto"/>
              </w:rPr>
            </w:pPr>
          </w:p>
        </w:tc>
      </w:tr>
      <w:tr>
        <w:trPr>
          <w:trHeight w:val="445"/>
        </w:trPr>
        <w:tc>
          <w:tcPr>
            <w:tcW w:w="11240" w:type="dxa"/>
            <w:vAlign w:val="bottom"/>
            <w:gridSpan w:val="5"/>
          </w:tcPr>
          <w:p>
            <w:pPr>
              <w:ind w:left="76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have executed this Amendment as of the date first written above.</w:t>
            </w:r>
          </w:p>
        </w:tc>
      </w:tr>
      <w:tr>
        <w:trPr>
          <w:trHeight w:val="446"/>
        </w:trPr>
        <w:tc>
          <w:tcPr>
            <w:tcW w:w="1840" w:type="dxa"/>
            <w:vAlign w:val="bottom"/>
          </w:tcPr>
          <w:p>
            <w:pPr>
              <w:spacing w:after="0"/>
              <w:rPr>
                <w:sz w:val="20"/>
                <w:szCs w:val="20"/>
                <w:color w:val="auto"/>
              </w:rPr>
            </w:pPr>
            <w:r>
              <w:rPr>
                <w:rFonts w:ascii="Arial" w:cs="Arial" w:eastAsia="Arial" w:hAnsi="Arial"/>
                <w:sz w:val="20"/>
                <w:szCs w:val="20"/>
                <w:b w:val="1"/>
                <w:bCs w:val="1"/>
                <w:color w:val="auto"/>
              </w:rPr>
              <w:t>LANDLORD:</w:t>
            </w:r>
          </w:p>
        </w:tc>
        <w:tc>
          <w:tcPr>
            <w:tcW w:w="6060" w:type="dxa"/>
            <w:vAlign w:val="bottom"/>
            <w:gridSpan w:val="3"/>
          </w:tcPr>
          <w:p>
            <w:pPr>
              <w:ind w:left="1720"/>
              <w:spacing w:after="0"/>
              <w:rPr>
                <w:sz w:val="20"/>
                <w:szCs w:val="20"/>
                <w:color w:val="auto"/>
              </w:rPr>
            </w:pPr>
            <w:r>
              <w:rPr>
                <w:rFonts w:ascii="Arial" w:cs="Arial" w:eastAsia="Arial" w:hAnsi="Arial"/>
                <w:sz w:val="20"/>
                <w:szCs w:val="20"/>
                <w:b w:val="1"/>
                <w:bCs w:val="1"/>
                <w:color w:val="auto"/>
              </w:rPr>
              <w:t>TENANT:</w:t>
            </w:r>
          </w:p>
        </w:tc>
        <w:tc>
          <w:tcPr>
            <w:tcW w:w="3340" w:type="dxa"/>
            <w:vAlign w:val="bottom"/>
          </w:tcPr>
          <w:p>
            <w:pPr>
              <w:spacing w:after="0"/>
              <w:rPr>
                <w:sz w:val="24"/>
                <w:szCs w:val="24"/>
                <w:color w:val="auto"/>
              </w:rPr>
            </w:pPr>
          </w:p>
        </w:tc>
      </w:tr>
      <w:tr>
        <w:trPr>
          <w:trHeight w:val="425"/>
        </w:trPr>
        <w:tc>
          <w:tcPr>
            <w:tcW w:w="3840" w:type="dxa"/>
            <w:vAlign w:val="bottom"/>
            <w:gridSpan w:val="2"/>
          </w:tcPr>
          <w:p>
            <w:pPr>
              <w:spacing w:after="0"/>
              <w:rPr>
                <w:sz w:val="20"/>
                <w:szCs w:val="20"/>
                <w:color w:val="auto"/>
              </w:rPr>
            </w:pPr>
            <w:r>
              <w:rPr>
                <w:rFonts w:ascii="Arial" w:cs="Arial" w:eastAsia="Arial" w:hAnsi="Arial"/>
                <w:sz w:val="20"/>
                <w:szCs w:val="20"/>
                <w:b w:val="1"/>
                <w:bCs w:val="1"/>
                <w:color w:val="auto"/>
              </w:rPr>
              <w:t>ARDENWOOD VENTURES I, LLC,</w:t>
            </w:r>
          </w:p>
        </w:tc>
        <w:tc>
          <w:tcPr>
            <w:tcW w:w="4060" w:type="dxa"/>
            <w:vAlign w:val="bottom"/>
            <w:gridSpan w:val="2"/>
          </w:tcPr>
          <w:p>
            <w:pPr>
              <w:ind w:left="520"/>
              <w:spacing w:after="0"/>
              <w:rPr>
                <w:sz w:val="20"/>
                <w:szCs w:val="20"/>
                <w:color w:val="auto"/>
              </w:rPr>
            </w:pPr>
            <w:r>
              <w:rPr>
                <w:rFonts w:ascii="Arial" w:cs="Arial" w:eastAsia="Arial" w:hAnsi="Arial"/>
                <w:sz w:val="20"/>
                <w:szCs w:val="20"/>
                <w:b w:val="1"/>
                <w:bCs w:val="1"/>
                <w:color w:val="auto"/>
              </w:rPr>
              <w:t>PERSONALIS, INC.</w:t>
            </w:r>
            <w:r>
              <w:rPr>
                <w:rFonts w:ascii="Arial" w:cs="Arial" w:eastAsia="Arial" w:hAnsi="Arial"/>
                <w:sz w:val="20"/>
                <w:szCs w:val="20"/>
                <w:color w:val="auto"/>
              </w:rPr>
              <w:t>,</w:t>
            </w:r>
          </w:p>
        </w:tc>
        <w:tc>
          <w:tcPr>
            <w:tcW w:w="3340" w:type="dxa"/>
            <w:vAlign w:val="bottom"/>
          </w:tcPr>
          <w:p>
            <w:pPr>
              <w:spacing w:after="0"/>
              <w:rPr>
                <w:sz w:val="24"/>
                <w:szCs w:val="24"/>
                <w:color w:val="auto"/>
              </w:rPr>
            </w:pPr>
          </w:p>
        </w:tc>
      </w:tr>
      <w:tr>
        <w:trPr>
          <w:trHeight w:val="250"/>
        </w:trPr>
        <w:tc>
          <w:tcPr>
            <w:tcW w:w="3840" w:type="dxa"/>
            <w:vAlign w:val="bottom"/>
            <w:gridSpan w:val="2"/>
          </w:tcPr>
          <w:p>
            <w:pPr>
              <w:spacing w:after="0"/>
              <w:rPr>
                <w:sz w:val="20"/>
                <w:szCs w:val="20"/>
                <w:color w:val="auto"/>
              </w:rPr>
            </w:pPr>
            <w:r>
              <w:rPr>
                <w:rFonts w:ascii="Arial" w:cs="Arial" w:eastAsia="Arial" w:hAnsi="Arial"/>
                <w:sz w:val="20"/>
                <w:szCs w:val="20"/>
                <w:color w:val="auto"/>
              </w:rPr>
              <w:t>a Delaware limited liability company</w:t>
            </w:r>
          </w:p>
        </w:tc>
        <w:tc>
          <w:tcPr>
            <w:tcW w:w="4060" w:type="dxa"/>
            <w:vAlign w:val="bottom"/>
            <w:gridSpan w:val="2"/>
          </w:tcPr>
          <w:p>
            <w:pPr>
              <w:ind w:left="120"/>
              <w:spacing w:after="0"/>
              <w:rPr>
                <w:sz w:val="20"/>
                <w:szCs w:val="20"/>
                <w:color w:val="auto"/>
              </w:rPr>
            </w:pPr>
            <w:r>
              <w:rPr>
                <w:rFonts w:ascii="Arial" w:cs="Arial" w:eastAsia="Arial" w:hAnsi="Arial"/>
                <w:sz w:val="20"/>
                <w:szCs w:val="20"/>
                <w:color w:val="auto"/>
              </w:rPr>
              <w:t>a Delaware corporation</w:t>
            </w:r>
          </w:p>
        </w:tc>
        <w:tc>
          <w:tcPr>
            <w:tcW w:w="3340" w:type="dxa"/>
            <w:vAlign w:val="bottom"/>
          </w:tcPr>
          <w:p>
            <w:pPr>
              <w:spacing w:after="0"/>
              <w:rPr>
                <w:sz w:val="21"/>
                <w:szCs w:val="21"/>
                <w:color w:val="auto"/>
              </w:rPr>
            </w:pPr>
          </w:p>
        </w:tc>
      </w:tr>
      <w:tr>
        <w:trPr>
          <w:trHeight w:val="462"/>
        </w:trPr>
        <w:tc>
          <w:tcPr>
            <w:tcW w:w="1840" w:type="dxa"/>
            <w:vAlign w:val="bottom"/>
          </w:tcPr>
          <w:p>
            <w:pPr>
              <w:ind w:left="100"/>
              <w:spacing w:after="0"/>
              <w:rPr>
                <w:sz w:val="20"/>
                <w:szCs w:val="20"/>
                <w:color w:val="auto"/>
              </w:rPr>
            </w:pPr>
            <w:r>
              <w:rPr>
                <w:rFonts w:ascii="Arial" w:cs="Arial" w:eastAsia="Arial" w:hAnsi="Arial"/>
                <w:sz w:val="20"/>
                <w:szCs w:val="20"/>
                <w:color w:val="auto"/>
              </w:rPr>
              <w:t>By:</w:t>
            </w: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MARK PEARSON</w:t>
            </w:r>
          </w:p>
        </w:tc>
        <w:tc>
          <w:tcPr>
            <w:tcW w:w="1140" w:type="dxa"/>
            <w:vAlign w:val="bottom"/>
            <w:tcBorders>
              <w:bottom w:val="single" w:sz="8" w:color="auto"/>
            </w:tcBorders>
          </w:tcPr>
          <w:p>
            <w:pPr>
              <w:spacing w:after="0"/>
              <w:rPr>
                <w:sz w:val="24"/>
                <w:szCs w:val="24"/>
                <w:color w:val="auto"/>
              </w:rPr>
            </w:pPr>
          </w:p>
        </w:tc>
        <w:tc>
          <w:tcPr>
            <w:tcW w:w="2920" w:type="dxa"/>
            <w:vAlign w:val="bottom"/>
          </w:tcPr>
          <w:p>
            <w:pPr>
              <w:ind w:left="1180"/>
              <w:spacing w:after="0"/>
              <w:rPr>
                <w:sz w:val="20"/>
                <w:szCs w:val="20"/>
                <w:color w:val="auto"/>
              </w:rPr>
            </w:pPr>
            <w:r>
              <w:rPr>
                <w:rFonts w:ascii="Arial" w:cs="Arial" w:eastAsia="Arial" w:hAnsi="Arial"/>
                <w:sz w:val="20"/>
                <w:szCs w:val="20"/>
                <w:color w:val="auto"/>
              </w:rPr>
              <w:t>By:</w:t>
            </w: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CAROL TILLIS</w:t>
            </w:r>
          </w:p>
        </w:tc>
      </w:tr>
      <w:tr>
        <w:trPr>
          <w:trHeight w:val="250"/>
        </w:trPr>
        <w:tc>
          <w:tcPr>
            <w:tcW w:w="1840" w:type="dxa"/>
            <w:vAlign w:val="bottom"/>
          </w:tcPr>
          <w:p>
            <w:pPr>
              <w:ind w:left="100"/>
              <w:spacing w:after="0"/>
              <w:rPr>
                <w:sz w:val="20"/>
                <w:szCs w:val="20"/>
                <w:color w:val="auto"/>
              </w:rPr>
            </w:pPr>
            <w:r>
              <w:rPr>
                <w:rFonts w:ascii="Arial" w:cs="Arial" w:eastAsia="Arial" w:hAnsi="Arial"/>
                <w:sz w:val="20"/>
                <w:szCs w:val="20"/>
                <w:color w:val="auto"/>
              </w:rPr>
              <w:t>Printed Name:</w:t>
            </w: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Mark Pearson</w:t>
            </w:r>
          </w:p>
        </w:tc>
        <w:tc>
          <w:tcPr>
            <w:tcW w:w="1140" w:type="dxa"/>
            <w:vAlign w:val="bottom"/>
            <w:tcBorders>
              <w:bottom w:val="single" w:sz="8" w:color="auto"/>
            </w:tcBorders>
          </w:tcPr>
          <w:p>
            <w:pPr>
              <w:spacing w:after="0"/>
              <w:rPr>
                <w:sz w:val="21"/>
                <w:szCs w:val="21"/>
                <w:color w:val="auto"/>
              </w:rPr>
            </w:pPr>
          </w:p>
        </w:tc>
        <w:tc>
          <w:tcPr>
            <w:tcW w:w="2920" w:type="dxa"/>
            <w:vAlign w:val="bottom"/>
          </w:tcPr>
          <w:p>
            <w:pPr>
              <w:ind w:left="1180"/>
              <w:spacing w:after="0"/>
              <w:rPr>
                <w:sz w:val="20"/>
                <w:szCs w:val="20"/>
                <w:color w:val="auto"/>
              </w:rPr>
            </w:pPr>
            <w:r>
              <w:rPr>
                <w:rFonts w:ascii="Arial" w:cs="Arial" w:eastAsia="Arial" w:hAnsi="Arial"/>
                <w:sz w:val="20"/>
                <w:szCs w:val="20"/>
                <w:color w:val="auto"/>
              </w:rPr>
              <w:t>Printed Name:</w:t>
            </w: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Carol Tillis</w:t>
            </w:r>
          </w:p>
        </w:tc>
      </w:tr>
      <w:tr>
        <w:trPr>
          <w:trHeight w:val="253"/>
        </w:trPr>
        <w:tc>
          <w:tcPr>
            <w:tcW w:w="1840" w:type="dxa"/>
            <w:vAlign w:val="bottom"/>
          </w:tcPr>
          <w:p>
            <w:pPr>
              <w:ind w:left="100"/>
              <w:spacing w:after="0"/>
              <w:rPr>
                <w:sz w:val="20"/>
                <w:szCs w:val="20"/>
                <w:color w:val="auto"/>
              </w:rPr>
            </w:pPr>
            <w:r>
              <w:rPr>
                <w:rFonts w:ascii="Arial" w:cs="Arial" w:eastAsia="Arial" w:hAnsi="Arial"/>
                <w:sz w:val="20"/>
                <w:szCs w:val="20"/>
                <w:color w:val="auto"/>
              </w:rPr>
              <w:t>Title:</w:t>
            </w: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Authorized Signatory</w:t>
            </w:r>
          </w:p>
        </w:tc>
        <w:tc>
          <w:tcPr>
            <w:tcW w:w="1140" w:type="dxa"/>
            <w:vAlign w:val="bottom"/>
            <w:tcBorders>
              <w:bottom w:val="single" w:sz="8" w:color="auto"/>
            </w:tcBorders>
          </w:tcPr>
          <w:p>
            <w:pPr>
              <w:spacing w:after="0"/>
              <w:rPr>
                <w:sz w:val="22"/>
                <w:szCs w:val="22"/>
                <w:color w:val="auto"/>
              </w:rPr>
            </w:pPr>
          </w:p>
        </w:tc>
        <w:tc>
          <w:tcPr>
            <w:tcW w:w="2920" w:type="dxa"/>
            <w:vAlign w:val="bottom"/>
          </w:tcPr>
          <w:p>
            <w:pPr>
              <w:ind w:left="1180"/>
              <w:spacing w:after="0"/>
              <w:rPr>
                <w:sz w:val="20"/>
                <w:szCs w:val="20"/>
                <w:color w:val="auto"/>
              </w:rPr>
            </w:pPr>
            <w:r>
              <w:rPr>
                <w:rFonts w:ascii="Arial" w:cs="Arial" w:eastAsia="Arial" w:hAnsi="Arial"/>
                <w:sz w:val="20"/>
                <w:szCs w:val="20"/>
                <w:color w:val="auto"/>
              </w:rPr>
              <w:t>Title:</w:t>
            </w: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VP, Finance &amp; Admin</w:t>
            </w:r>
          </w:p>
        </w:tc>
      </w:tr>
    </w:tbl>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21.1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7540" w:type="dxa"/>
            <w:vAlign w:val="bottom"/>
          </w:tcPr>
          <w:p>
            <w:pPr>
              <w:ind w:left="460"/>
              <w:spacing w:after="0"/>
              <w:rPr>
                <w:sz w:val="20"/>
                <w:szCs w:val="20"/>
                <w:color w:val="auto"/>
              </w:rPr>
            </w:pPr>
            <w:r>
              <w:rPr>
                <w:rFonts w:ascii="Arial" w:cs="Arial" w:eastAsia="Arial" w:hAnsi="Arial"/>
                <w:sz w:val="16"/>
                <w:szCs w:val="16"/>
                <w:b w:val="1"/>
                <w:bCs w:val="1"/>
                <w:color w:val="auto"/>
              </w:rPr>
              <w:t>SUBSIDIARIES OF PERSONALIS, INC.</w:t>
            </w:r>
          </w:p>
        </w:tc>
      </w:tr>
      <w:tr>
        <w:trPr>
          <w:trHeight w:val="729"/>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Name of Subsidiary</w:t>
            </w:r>
          </w:p>
        </w:tc>
        <w:tc>
          <w:tcPr>
            <w:tcW w:w="7540" w:type="dxa"/>
            <w:vAlign w:val="bottom"/>
          </w:tcPr>
          <w:p>
            <w:pPr>
              <w:ind w:left="760"/>
              <w:spacing w:after="0"/>
              <w:rPr>
                <w:sz w:val="20"/>
                <w:szCs w:val="20"/>
                <w:color w:val="auto"/>
              </w:rPr>
            </w:pPr>
            <w:r>
              <w:rPr>
                <w:rFonts w:ascii="Arial" w:cs="Arial" w:eastAsia="Arial" w:hAnsi="Arial"/>
                <w:sz w:val="16"/>
                <w:szCs w:val="16"/>
                <w:b w:val="1"/>
                <w:bCs w:val="1"/>
                <w:color w:val="auto"/>
              </w:rPr>
              <w:t>Jurisdiction of Incorporation</w:t>
            </w:r>
          </w:p>
        </w:tc>
      </w:tr>
      <w:tr>
        <w:trPr>
          <w:trHeight w:val="208"/>
        </w:trPr>
        <w:tc>
          <w:tcPr>
            <w:tcW w:w="370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r>
      <w:tr>
        <w:trPr>
          <w:trHeight w:val="338"/>
        </w:trPr>
        <w:tc>
          <w:tcPr>
            <w:tcW w:w="3700" w:type="dxa"/>
            <w:vAlign w:val="bottom"/>
          </w:tcPr>
          <w:p>
            <w:pPr>
              <w:ind w:left="40"/>
              <w:spacing w:after="0"/>
              <w:rPr>
                <w:sz w:val="20"/>
                <w:szCs w:val="20"/>
                <w:color w:val="auto"/>
              </w:rPr>
            </w:pPr>
            <w:r>
              <w:rPr>
                <w:rFonts w:ascii="Arial" w:cs="Arial" w:eastAsia="Arial" w:hAnsi="Arial"/>
                <w:sz w:val="16"/>
                <w:szCs w:val="16"/>
                <w:color w:val="auto"/>
              </w:rPr>
              <w:t>Personalis (UK) Ltd.</w:t>
            </w:r>
          </w:p>
        </w:tc>
        <w:tc>
          <w:tcPr>
            <w:tcW w:w="7540" w:type="dxa"/>
            <w:vAlign w:val="bottom"/>
          </w:tcPr>
          <w:p>
            <w:pPr>
              <w:ind w:left="760"/>
              <w:spacing w:after="0"/>
              <w:rPr>
                <w:sz w:val="20"/>
                <w:szCs w:val="20"/>
                <w:color w:val="auto"/>
              </w:rPr>
            </w:pPr>
            <w:r>
              <w:rPr>
                <w:rFonts w:ascii="Arial" w:cs="Arial" w:eastAsia="Arial" w:hAnsi="Arial"/>
                <w:sz w:val="16"/>
                <w:szCs w:val="16"/>
                <w:color w:val="auto"/>
              </w:rPr>
              <w:t>United Kingdom</w:t>
            </w:r>
          </w:p>
        </w:tc>
      </w:tr>
      <w:tr>
        <w:trPr>
          <w:trHeight w:val="365"/>
        </w:trPr>
        <w:tc>
          <w:tcPr>
            <w:tcW w:w="3700" w:type="dxa"/>
            <w:vAlign w:val="bottom"/>
          </w:tcPr>
          <w:p>
            <w:pPr>
              <w:ind w:left="40"/>
              <w:spacing w:after="0"/>
              <w:rPr>
                <w:sz w:val="20"/>
                <w:szCs w:val="20"/>
                <w:color w:val="auto"/>
              </w:rPr>
            </w:pPr>
            <w:r>
              <w:rPr>
                <w:rFonts w:ascii="Arial" w:cs="Arial" w:eastAsia="Arial" w:hAnsi="Arial"/>
                <w:sz w:val="16"/>
                <w:szCs w:val="16"/>
                <w:color w:val="auto"/>
              </w:rPr>
              <w:t>Shanghai Personalis Biotechnology Co., Ltd.</w:t>
            </w:r>
          </w:p>
        </w:tc>
        <w:tc>
          <w:tcPr>
            <w:tcW w:w="7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1147"/>
        </w:trPr>
        <w:tc>
          <w:tcPr>
            <w:tcW w:w="3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333-239649 and 333-251824 on Form S-3 and Registration Statement Nos. 333-232233, 333-237386, 333-238080, 333-253528, and 333-262998 on Form S-8 of our report dated February 23, 2023, relating to the consolidated financial statements of Personalis, Inc. and subsidiaries (the “Company”), appearing in this Annual Report on Form 10-K of the Company for the year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rPr>
          <w:sz w:val="20"/>
          <w:szCs w:val="20"/>
          <w:color w:val="auto"/>
        </w:rPr>
      </w:pPr>
      <w:r>
        <w:rPr>
          <w:rFonts w:ascii="Arial" w:cs="Arial" w:eastAsia="Arial" w:hAnsi="Arial"/>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AND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20" w:right="260" w:hanging="512"/>
        <w:spacing w:after="0" w:line="253"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20" w:right="380" w:hanging="512"/>
        <w:spacing w:after="0" w:line="260"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20" w:right="260" w:hanging="512"/>
        <w:spacing w:after="0" w:line="260"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6"/>
          <w:szCs w:val="16"/>
          <w:color w:val="auto"/>
        </w:rPr>
      </w:pPr>
    </w:p>
    <w:p>
      <w:pPr>
        <w:ind w:left="1500" w:right="200" w:hanging="690"/>
        <w:spacing w:after="0" w:line="253"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500" w:right="180" w:hanging="690"/>
        <w:spacing w:after="0" w:line="253"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1500" w:right="280" w:hanging="690"/>
        <w:spacing w:after="0" w:line="253"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6"/>
          <w:szCs w:val="16"/>
          <w:color w:val="auto"/>
        </w:rPr>
      </w:pPr>
    </w:p>
    <w:p>
      <w:pPr>
        <w:ind w:left="1500" w:hanging="690"/>
        <w:spacing w:after="0" w:line="253"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20" w:right="180" w:hanging="512"/>
        <w:spacing w:after="0" w:line="260"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jc w:val="right"/>
        <w:ind w:left="1500" w:right="760" w:hanging="690"/>
        <w:spacing w:after="0" w:line="260"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500" w:right="420" w:hanging="690"/>
        <w:spacing w:after="0" w:line="260" w:lineRule="auto"/>
        <w:tabs>
          <w:tab w:leader="none" w:pos="11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23, 2023</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10795</wp:posOffset>
            </wp:positionV>
            <wp:extent cx="33089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Interim Chief Executive Officer and Chief Financial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CHIEF EXECUTIVE AND FINANCIAL OFFICER PURSUANT TO 18 U.S.C. SECTION 1350, AS ADOPTED PURSUANT TO SECTION 906 OF THE SARBANES-OXLEY ACT OF 2002</w:t>
      </w:r>
    </w:p>
    <w:p>
      <w:pPr>
        <w:spacing w:after="0" w:line="191" w:lineRule="exact"/>
        <w:rPr>
          <w:sz w:val="20"/>
          <w:szCs w:val="20"/>
          <w:color w:val="auto"/>
        </w:rPr>
      </w:pPr>
    </w:p>
    <w:p>
      <w:pPr>
        <w:ind w:right="500" w:firstLine="509"/>
        <w:spacing w:after="0" w:line="253" w:lineRule="auto"/>
        <w:rPr>
          <w:sz w:val="20"/>
          <w:szCs w:val="20"/>
          <w:color w:val="auto"/>
        </w:rPr>
      </w:pPr>
      <w:r>
        <w:rPr>
          <w:rFonts w:ascii="Arial" w:cs="Arial" w:eastAsia="Arial" w:hAnsi="Arial"/>
          <w:sz w:val="16"/>
          <w:szCs w:val="16"/>
          <w:color w:val="auto"/>
        </w:rPr>
        <w:t>In connection with the Annual Report of Personalis,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180" w:hanging="370"/>
        <w:spacing w:after="0"/>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500" w:right="560" w:hanging="690"/>
        <w:spacing w:after="0" w:line="260" w:lineRule="auto"/>
        <w:tabs>
          <w:tab w:leader="none" w:pos="11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23, 2023</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10795</wp:posOffset>
            </wp:positionV>
            <wp:extent cx="330898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Interim Chief Executive Officer and Chief Financial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101"/>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upp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351" Type="http://schemas.openxmlformats.org/officeDocument/2006/relationships/hyperlink" Target="https://www.sec.gov/Archives/edgar/data/0001527753/000119312519180246/d750323dex31.htm" TargetMode="External"/><Relationship Id="rId352" Type="http://schemas.openxmlformats.org/officeDocument/2006/relationships/hyperlink" Target="https://www.sec.gov/Archives/edgar/data/1527753/000095017022020631/psnl-ex3_1.htm" TargetMode="External"/><Relationship Id="rId353" Type="http://schemas.openxmlformats.org/officeDocument/2006/relationships/hyperlink" Target="https://www.sec.gov/Archives/edgar/data/1527753/000156459021008848/psnl-ex41_300.htm" TargetMode="External"/><Relationship Id="rId354" Type="http://schemas.openxmlformats.org/officeDocument/2006/relationships/hyperlink" Target="https://www.sec.gov/Archives/edgar/data/0001527753/000119312519167583/d677649dex41.htm" TargetMode="External"/><Relationship Id="rId355" Type="http://schemas.openxmlformats.org/officeDocument/2006/relationships/hyperlink" Target="https://www.sec.gov/Archives/edgar/data/0001527753/000119312519155338/d677649dex42.htm" TargetMode="External"/><Relationship Id="rId356" Type="http://schemas.openxmlformats.org/officeDocument/2006/relationships/hyperlink" Target="https://www.sec.gov/Archives/edgar/data/0001527753/000119312519155338/d677649dex101.htm" TargetMode="External"/><Relationship Id="rId357" Type="http://schemas.openxmlformats.org/officeDocument/2006/relationships/hyperlink" Target="https://www.sec.gov/Archives/edgar/data/0001527753/000119312519167583/d677649dex102.htm" TargetMode="External"/><Relationship Id="rId358" Type="http://schemas.openxmlformats.org/officeDocument/2006/relationships/hyperlink" Target="https://www.sec.gov/Archives/edgar/data/0001527753/000119312519167583/d677649dex103.htm" TargetMode="External"/><Relationship Id="rId359" Type="http://schemas.openxmlformats.org/officeDocument/2006/relationships/hyperlink" Target="https://www.sec.gov/Archives/edgar/data/0001527753/000119312519167583/d677649dex104.htm" TargetMode="External"/><Relationship Id="rId360" Type="http://schemas.openxmlformats.org/officeDocument/2006/relationships/hyperlink" Target="https://www.sec.gov/Archives/edgar/data/0001527753/000119312519167583/d677649dex107.htm" TargetMode="External"/><Relationship Id="rId361" Type="http://schemas.openxmlformats.org/officeDocument/2006/relationships/hyperlink" Target="https://www.sec.gov/Archives/edgar/data/0001527753/000119312519167583/d677649dex108.htm" TargetMode="External"/><Relationship Id="rId362" Type="http://schemas.openxmlformats.org/officeDocument/2006/relationships/hyperlink" Target="https://www.sec.gov/Archives/edgar/data/0001527753/000119312519155338/d677649dex109.htm" TargetMode="External"/><Relationship Id="rId363" Type="http://schemas.openxmlformats.org/officeDocument/2006/relationships/hyperlink" Target="https://www.sec.gov/Archives/edgar/data/1527753/000156459020037746/psnl-ex101_178.htm" TargetMode="External"/><Relationship Id="rId364" Type="http://schemas.openxmlformats.org/officeDocument/2006/relationships/hyperlink" Target="https://www.sec.gov/Archives/edgar/data/1527753/000119312520136423/d927926dex991.htm" TargetMode="External"/><Relationship Id="rId365" Type="http://schemas.openxmlformats.org/officeDocument/2006/relationships/hyperlink" Target="https://www.sec.gov/Archives/edgar/data/1527753/000156459021054262/psnl-ex101_67.htm" TargetMode="External"/><Relationship Id="rId366" Type="http://schemas.openxmlformats.org/officeDocument/2006/relationships/hyperlink" Target="https://www.sec.gov/Archives/edgar/data/1527753/000156459022006722/psnl-ex1016_256.htm" TargetMode="External"/><Relationship Id="rId367" Type="http://schemas.openxmlformats.org/officeDocument/2006/relationships/hyperlink" Target="https://www.sec.gov/Archives/edgar/data/1527753/000119312521370873/d279132dex11.htm" TargetMode="External"/><Relationship Id="rId368" Type="http://schemas.openxmlformats.org/officeDocument/2006/relationships/hyperlink" Target="https://www.sec.gov/Archives/edgar/data/1527753/000156459022006722/psnl-ex1018_257.htm" TargetMode="External"/><Relationship Id="rId369" Type="http://schemas.openxmlformats.org/officeDocument/2006/relationships/hyperlink" Target="https://www.sec.gov/Archives/edgar/data/1527753/000156459022006722/psnl-ex1020_362.htm" TargetMode="External"/><Relationship Id="rId370" Type="http://schemas.openxmlformats.org/officeDocument/2006/relationships/hyperlink" Target="https://www.sec.gov/Archives/edgar/data/1527753/000156459022006722/psnl-ex1021_361.htm" TargetMode="External"/><Relationship Id="rId371" Type="http://schemas.openxmlformats.org/officeDocument/2006/relationships/hyperlink" Target="https://www.sec.gov/Archives/edgar/data/1527753/000156459022027773/psnl-ex101_102.htm" TargetMode="External"/><Relationship Id="rId372" Type="http://schemas.openxmlformats.org/officeDocument/2006/relationships/hyperlink" Target="https://www.sec.gov/Archives/edgar/data/1527753/000095017022021272/psnl-ex10_1.htm" TargetMode="External"/><Relationship Id="rId373" Type="http://schemas.openxmlformats.org/officeDocument/2006/relationships/hyperlink" Target="https://www.sec.gov/Archives/edgar/data/1527753/000119312522304802/d4294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2023-02-23T20:47:52Z</dcterms:created>
  <dcterms:modified xsi:type="dcterms:W3CDTF">2023-02-23T20:47:52Z</dcterms:modified>
</cp:coreProperties>
</file>