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3860" w:right="2420" w:hanging="3852"/>
        <w:spacing w:after="0" w:line="455" w:lineRule="auto"/>
        <w:tabs>
          <w:tab w:leader="none" w:pos="51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spacing w:after="0" w:line="207" w:lineRule="exact"/>
        <w:rPr>
          <w:sz w:val="24"/>
          <w:szCs w:val="24"/>
          <w:color w:val="auto"/>
        </w:rPr>
      </w:pPr>
    </w:p>
    <w:p>
      <w:pPr>
        <w:ind w:left="3620" w:right="2420" w:hanging="3612"/>
        <w:spacing w:after="0" w:line="396" w:lineRule="auto"/>
        <w:tabs>
          <w:tab w:leader="none" w:pos="50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226695</wp:posOffset>
            </wp:positionV>
            <wp:extent cx="245173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76"/>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1330 O’Brien Drive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Menlo Park, California 94025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94025</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35"/>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Symbol(s)</w:t>
            </w:r>
          </w:p>
        </w:tc>
        <w:tc>
          <w:tcPr>
            <w:tcW w:w="3940" w:type="dxa"/>
            <w:vAlign w:val="bottom"/>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4140" w:type="dxa"/>
            <w:vAlign w:val="bottom"/>
            <w:tcBorders>
              <w:top w:val="single" w:sz="8" w:color="auto"/>
            </w:tcBorders>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PSNL</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both"/>
        <w:ind w:right="46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48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8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76"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1780"/>
        <w:spacing w:after="0" w:line="27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April 28, 2022 was 45,446,930.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6"/>
                <w:szCs w:val="16"/>
                <w:b w:val="1"/>
                <w:bCs w:val="1"/>
                <w:color w:val="auto"/>
              </w:rPr>
              <w:t>PERSONALIS, INC.</w:t>
            </w:r>
          </w:p>
        </w:tc>
        <w:tc>
          <w:tcPr>
            <w:tcW w:w="960" w:type="dxa"/>
            <w:vAlign w:val="bottom"/>
          </w:tcPr>
          <w:p>
            <w:pPr>
              <w:spacing w:after="0"/>
              <w:rPr>
                <w:sz w:val="19"/>
                <w:szCs w:val="19"/>
                <w:color w:val="auto"/>
              </w:rPr>
            </w:pPr>
          </w:p>
        </w:tc>
      </w:tr>
      <w:tr>
        <w:trPr>
          <w:trHeight w:val="398"/>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6"/>
                <w:szCs w:val="16"/>
                <w:b w:val="1"/>
                <w:bCs w:val="1"/>
                <w:color w:val="auto"/>
                <w:w w:val="99"/>
              </w:rPr>
              <w:t>Form 10-Q</w:t>
            </w:r>
          </w:p>
        </w:tc>
        <w:tc>
          <w:tcPr>
            <w:tcW w:w="960" w:type="dxa"/>
            <w:vAlign w:val="bottom"/>
          </w:tcPr>
          <w:p>
            <w:pPr>
              <w:spacing w:after="0"/>
              <w:rPr>
                <w:sz w:val="24"/>
                <w:szCs w:val="24"/>
                <w:color w:val="auto"/>
              </w:rPr>
            </w:pPr>
          </w:p>
        </w:tc>
      </w:tr>
      <w:tr>
        <w:trPr>
          <w:trHeight w:val="223"/>
        </w:trPr>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0" w:type="dxa"/>
            <w:vAlign w:val="bottom"/>
            <w:gridSpan w:val="14"/>
          </w:tcPr>
          <w:p>
            <w:pPr>
              <w:jc w:val="center"/>
              <w:ind w:right="2720"/>
              <w:spacing w:after="0"/>
              <w:rPr>
                <w:sz w:val="20"/>
                <w:szCs w:val="20"/>
                <w:color w:val="auto"/>
              </w:rPr>
            </w:pPr>
            <w:r>
              <w:rPr>
                <w:rFonts w:ascii="Arial" w:cs="Arial" w:eastAsia="Arial" w:hAnsi="Arial"/>
                <w:sz w:val="16"/>
                <w:szCs w:val="16"/>
                <w:b w:val="1"/>
                <w:bCs w:val="1"/>
                <w:color w:val="auto"/>
              </w:rPr>
              <w:t>For the Quarterly Period Ended March 31, 2022</w:t>
            </w:r>
          </w:p>
        </w:tc>
        <w:tc>
          <w:tcPr>
            <w:tcW w:w="960" w:type="dxa"/>
            <w:vAlign w:val="bottom"/>
          </w:tcPr>
          <w:p>
            <w:pPr>
              <w:spacing w:after="0"/>
              <w:rPr>
                <w:sz w:val="19"/>
                <w:szCs w:val="19"/>
                <w:color w:val="auto"/>
              </w:rPr>
            </w:pPr>
          </w:p>
        </w:tc>
      </w:tr>
      <w:tr>
        <w:trPr>
          <w:trHeight w:val="418"/>
        </w:trPr>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6"/>
                <w:szCs w:val="16"/>
                <w:b w:val="1"/>
                <w:bCs w:val="1"/>
                <w:color w:val="auto"/>
                <w:w w:val="99"/>
              </w:rPr>
              <w:t>TABLE OF CONTENTS</w:t>
            </w:r>
          </w:p>
        </w:tc>
        <w:tc>
          <w:tcPr>
            <w:tcW w:w="960" w:type="dxa"/>
            <w:vAlign w:val="bottom"/>
          </w:tcPr>
          <w:p>
            <w:pPr>
              <w:spacing w:after="0"/>
              <w:rPr>
                <w:sz w:val="24"/>
                <w:szCs w:val="24"/>
                <w:color w:val="auto"/>
              </w:rPr>
            </w:pPr>
          </w:p>
        </w:tc>
      </w:tr>
      <w:tr>
        <w:trPr>
          <w:trHeight w:val="386"/>
        </w:trPr>
        <w:tc>
          <w:tcPr>
            <w:tcW w:w="138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25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76"/>
        </w:trPr>
        <w:tc>
          <w:tcPr>
            <w:tcW w:w="1380" w:type="dxa"/>
            <w:vAlign w:val="bottom"/>
            <w:shd w:val="clear" w:color="auto" w:fill="CFF0FC"/>
          </w:tcPr>
          <w:p>
            <w:pPr>
              <w:spacing w:after="0"/>
              <w:rPr>
                <w:sz w:val="15"/>
                <w:szCs w:val="15"/>
                <w:color w:val="auto"/>
              </w:rPr>
            </w:pPr>
          </w:p>
        </w:tc>
        <w:tc>
          <w:tcPr>
            <w:tcW w:w="8900" w:type="dxa"/>
            <w:vAlign w:val="bottom"/>
            <w:gridSpan w:val="24"/>
            <w:shd w:val="clear" w:color="auto" w:fill="CFF0FC"/>
          </w:tcPr>
          <w:p>
            <w:pPr>
              <w:spacing w:after="0" w:line="169" w:lineRule="exact"/>
              <w:rPr>
                <w:sz w:val="20"/>
                <w:szCs w:val="20"/>
                <w:color w:val="auto"/>
              </w:rPr>
            </w:pPr>
            <w:r>
              <w:rPr>
                <w:rFonts w:ascii="Arial" w:cs="Arial" w:eastAsia="Arial" w:hAnsi="Arial"/>
                <w:sz w:val="16"/>
                <w:szCs w:val="16"/>
                <w:color w:val="0000EE"/>
              </w:rPr>
              <w:t>Special Note Regarding Forward-Looking Statements</w:t>
            </w:r>
          </w:p>
        </w:tc>
        <w:tc>
          <w:tcPr>
            <w:tcW w:w="960" w:type="dxa"/>
            <w:vAlign w:val="bottom"/>
            <w:shd w:val="clear" w:color="auto" w:fill="CFF0FC"/>
          </w:tcPr>
          <w:p>
            <w:pPr>
              <w:jc w:val="center"/>
              <w:spacing w:after="0" w:line="169" w:lineRule="exact"/>
              <w:rPr>
                <w:sz w:val="20"/>
                <w:szCs w:val="20"/>
                <w:color w:val="auto"/>
              </w:rPr>
            </w:pPr>
            <w:r>
              <w:rPr>
                <w:rFonts w:ascii="Arial" w:cs="Arial" w:eastAsia="Arial" w:hAnsi="Arial"/>
                <w:sz w:val="16"/>
                <w:szCs w:val="16"/>
                <w:color w:val="auto"/>
              </w:rPr>
              <w:t>3</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880" w:type="dxa"/>
            <w:vAlign w:val="bottom"/>
            <w:gridSpan w:val="13"/>
            <w:shd w:val="clear" w:color="auto" w:fill="CFF0FC"/>
          </w:tcPr>
          <w:p>
            <w:pPr>
              <w:jc w:val="center"/>
              <w:ind w:right="3460"/>
              <w:spacing w:after="0"/>
              <w:rPr>
                <w:sz w:val="20"/>
                <w:szCs w:val="20"/>
                <w:color w:val="auto"/>
              </w:rPr>
            </w:pPr>
            <w:r>
              <w:rPr>
                <w:rFonts w:ascii="Arial" w:cs="Arial" w:eastAsia="Arial" w:hAnsi="Arial"/>
                <w:sz w:val="14"/>
                <w:szCs w:val="14"/>
                <w:b w:val="1"/>
                <w:bCs w:val="1"/>
                <w:color w:val="0000EE"/>
              </w:rPr>
              <w:t>PART I—FINANCIAL INFORMATION</w:t>
            </w:r>
          </w:p>
        </w:tc>
        <w:tc>
          <w:tcPr>
            <w:tcW w:w="960" w:type="dxa"/>
            <w:vAlign w:val="bottom"/>
            <w:shd w:val="clear" w:color="auto" w:fill="CFF0FC"/>
          </w:tcPr>
          <w:p>
            <w:pPr>
              <w:spacing w:after="0"/>
              <w:rPr>
                <w:sz w:val="14"/>
                <w:szCs w:val="14"/>
                <w:color w:val="auto"/>
              </w:rPr>
            </w:pPr>
          </w:p>
        </w:tc>
      </w:tr>
      <w:tr>
        <w:trPr>
          <w:trHeight w:val="176"/>
        </w:trPr>
        <w:tc>
          <w:tcPr>
            <w:tcW w:w="13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Item 1.</w:t>
            </w:r>
          </w:p>
        </w:tc>
        <w:tc>
          <w:tcPr>
            <w:tcW w:w="1520" w:type="dxa"/>
            <w:vAlign w:val="bottom"/>
            <w:tcBorders>
              <w:top w:val="single" w:sz="8" w:color="CFF0FC"/>
              <w:bottom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Financial Statements</w:t>
            </w:r>
          </w:p>
        </w:tc>
        <w:tc>
          <w:tcPr>
            <w:tcW w:w="1500" w:type="dxa"/>
            <w:vAlign w:val="bottom"/>
            <w:tcBorders>
              <w:top w:val="single" w:sz="8" w:color="CFF0FC"/>
            </w:tcBorders>
            <w:gridSpan w:val="4"/>
          </w:tcPr>
          <w:p>
            <w:pPr>
              <w:spacing w:after="0"/>
              <w:rPr>
                <w:sz w:val="15"/>
                <w:szCs w:val="15"/>
                <w:color w:val="auto"/>
              </w:rPr>
            </w:pPr>
          </w:p>
        </w:tc>
        <w:tc>
          <w:tcPr>
            <w:tcW w:w="2420" w:type="dxa"/>
            <w:vAlign w:val="bottom"/>
            <w:tcBorders>
              <w:top w:val="single" w:sz="8" w:color="0000EE"/>
            </w:tcBorders>
            <w:gridSpan w:val="11"/>
          </w:tcPr>
          <w:p>
            <w:pPr>
              <w:spacing w:after="0"/>
              <w:rPr>
                <w:sz w:val="15"/>
                <w:szCs w:val="15"/>
                <w:color w:val="auto"/>
              </w:rPr>
            </w:pPr>
          </w:p>
        </w:tc>
        <w:tc>
          <w:tcPr>
            <w:tcW w:w="3460" w:type="dxa"/>
            <w:vAlign w:val="bottom"/>
            <w:tcBorders>
              <w:top w:val="single" w:sz="8" w:color="CFF0FC"/>
            </w:tcBorders>
            <w:gridSpan w:val="2"/>
          </w:tcPr>
          <w:p>
            <w:pPr>
              <w:spacing w:after="0"/>
              <w:rPr>
                <w:sz w:val="15"/>
                <w:szCs w:val="15"/>
                <w:color w:val="auto"/>
              </w:rPr>
            </w:pPr>
          </w:p>
        </w:tc>
        <w:tc>
          <w:tcPr>
            <w:tcW w:w="960" w:type="dxa"/>
            <w:vAlign w:val="bottom"/>
            <w:tcBorders>
              <w:top w:val="single" w:sz="8" w:color="CFF0FC"/>
            </w:tcBorders>
          </w:tcPr>
          <w:p>
            <w:pPr>
              <w:jc w:val="center"/>
              <w:spacing w:after="0" w:line="169"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0" w:type="dxa"/>
            <w:vAlign w:val="bottom"/>
            <w:tcBorders>
              <w:bottom w:val="single" w:sz="8" w:color="0000EE"/>
            </w:tcBorders>
            <w:gridSpan w:val="12"/>
            <w:shd w:val="clear" w:color="auto" w:fill="CFF0FC"/>
          </w:tcPr>
          <w:p>
            <w:pPr>
              <w:spacing w:after="0" w:line="175" w:lineRule="exact"/>
              <w:rPr>
                <w:sz w:val="20"/>
                <w:szCs w:val="20"/>
                <w:color w:val="auto"/>
              </w:rPr>
            </w:pPr>
            <w:r>
              <w:rPr>
                <w:rFonts w:ascii="Arial" w:cs="Arial" w:eastAsia="Arial" w:hAnsi="Arial"/>
                <w:sz w:val="16"/>
                <w:szCs w:val="16"/>
                <w:color w:val="0000EE"/>
              </w:rPr>
              <w:t>Condensed Consolidated Balance Sheets</w:t>
            </w:r>
          </w:p>
        </w:tc>
        <w:tc>
          <w:tcPr>
            <w:tcW w:w="5640" w:type="dxa"/>
            <w:vAlign w:val="bottom"/>
            <w:tcBorders>
              <w:bottom w:val="single" w:sz="8" w:color="CFF0FC"/>
            </w:tcBorders>
            <w:gridSpan w:val="11"/>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Borders>
              <w:bottom w:val="single" w:sz="8" w:color="0000EE"/>
            </w:tcBorders>
            <w:gridSpan w:val="14"/>
          </w:tcPr>
          <w:p>
            <w:pPr>
              <w:spacing w:after="0" w:line="175" w:lineRule="exact"/>
              <w:rPr>
                <w:sz w:val="20"/>
                <w:szCs w:val="20"/>
                <w:color w:val="auto"/>
              </w:rPr>
            </w:pPr>
            <w:r>
              <w:rPr>
                <w:rFonts w:ascii="Arial" w:cs="Arial" w:eastAsia="Arial" w:hAnsi="Arial"/>
                <w:sz w:val="16"/>
                <w:szCs w:val="16"/>
                <w:color w:val="0000EE"/>
              </w:rPr>
              <w:t>Condensed Consolidated Statements of Operations</w:t>
            </w:r>
          </w:p>
        </w:tc>
        <w:tc>
          <w:tcPr>
            <w:tcW w:w="4900" w:type="dxa"/>
            <w:vAlign w:val="bottom"/>
            <w:gridSpan w:val="9"/>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5</w:t>
            </w:r>
          </w:p>
        </w:tc>
      </w:tr>
      <w:tr>
        <w:trPr>
          <w:trHeight w:val="183"/>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40" w:type="dxa"/>
            <w:vAlign w:val="bottom"/>
            <w:gridSpan w:val="23"/>
            <w:shd w:val="clear" w:color="auto" w:fill="CFF0FC"/>
          </w:tcPr>
          <w:p>
            <w:pPr>
              <w:spacing w:after="0" w:line="175" w:lineRule="exact"/>
              <w:rPr>
                <w:sz w:val="20"/>
                <w:szCs w:val="20"/>
                <w:color w:val="auto"/>
              </w:rPr>
            </w:pPr>
            <w:r>
              <w:rPr>
                <w:rFonts w:ascii="Arial" w:cs="Arial" w:eastAsia="Arial" w:hAnsi="Arial"/>
                <w:sz w:val="16"/>
                <w:szCs w:val="16"/>
                <w:color w:val="0000EE"/>
              </w:rPr>
              <w:t>Condensed Consolidated Statements of Comprehensive Loss</w:t>
            </w: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w:t>
            </w:r>
          </w:p>
        </w:tc>
      </w:tr>
      <w:tr>
        <w:trPr>
          <w:trHeight w:val="183"/>
        </w:trPr>
        <w:tc>
          <w:tcPr>
            <w:tcW w:w="138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420" w:type="dxa"/>
            <w:vAlign w:val="bottom"/>
            <w:tcBorders>
              <w:top w:val="single" w:sz="8" w:color="0000EE"/>
            </w:tcBorders>
            <w:gridSpan w:val="18"/>
          </w:tcPr>
          <w:p>
            <w:pPr>
              <w:spacing w:after="0" w:line="175" w:lineRule="exact"/>
              <w:rPr>
                <w:sz w:val="20"/>
                <w:szCs w:val="20"/>
                <w:color w:val="auto"/>
              </w:rPr>
            </w:pPr>
            <w:r>
              <w:rPr>
                <w:rFonts w:ascii="Arial" w:cs="Arial" w:eastAsia="Arial" w:hAnsi="Arial"/>
                <w:sz w:val="16"/>
                <w:szCs w:val="16"/>
                <w:color w:val="0000EE"/>
              </w:rPr>
              <w:t>Condensed Consolidated Statements of Stockholders’ Equity</w:t>
            </w:r>
          </w:p>
        </w:tc>
        <w:tc>
          <w:tcPr>
            <w:tcW w:w="4220" w:type="dxa"/>
            <w:vAlign w:val="bottom"/>
            <w:tcBorders>
              <w:top w:val="single" w:sz="8" w:color="CFF0FC"/>
            </w:tcBorders>
            <w:gridSpan w:val="5"/>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w:t>
            </w:r>
          </w:p>
        </w:tc>
      </w:tr>
      <w:tr>
        <w:trPr>
          <w:trHeight w:val="176"/>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360" w:type="dxa"/>
            <w:vAlign w:val="bottom"/>
            <w:tcBorders>
              <w:top w:val="single" w:sz="8" w:color="0000EE"/>
            </w:tcBorders>
            <w:gridSpan w:val="17"/>
            <w:shd w:val="clear" w:color="auto" w:fill="CFF0FC"/>
          </w:tcPr>
          <w:p>
            <w:pPr>
              <w:spacing w:after="0" w:line="175" w:lineRule="exact"/>
              <w:rPr>
                <w:sz w:val="20"/>
                <w:szCs w:val="20"/>
                <w:color w:val="auto"/>
              </w:rPr>
            </w:pPr>
            <w:r>
              <w:rPr>
                <w:rFonts w:ascii="Arial" w:cs="Arial" w:eastAsia="Arial" w:hAnsi="Arial"/>
                <w:sz w:val="16"/>
                <w:szCs w:val="16"/>
                <w:color w:val="0000EE"/>
              </w:rPr>
              <w:t>Condensed Consolidated Statements of Cash Flows</w:t>
            </w:r>
          </w:p>
        </w:tc>
        <w:tc>
          <w:tcPr>
            <w:tcW w:w="4280" w:type="dxa"/>
            <w:vAlign w:val="bottom"/>
            <w:gridSpan w:val="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8</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0" w:type="dxa"/>
            <w:vAlign w:val="bottom"/>
            <w:tcBorders>
              <w:bottom w:val="single" w:sz="8" w:color="0000EE"/>
            </w:tcBorders>
            <w:gridSpan w:val="19"/>
          </w:tcPr>
          <w:p>
            <w:pPr>
              <w:spacing w:after="0" w:line="175" w:lineRule="exact"/>
              <w:rPr>
                <w:sz w:val="20"/>
                <w:szCs w:val="20"/>
                <w:color w:val="auto"/>
              </w:rPr>
            </w:pPr>
            <w:r>
              <w:rPr>
                <w:rFonts w:ascii="Arial" w:cs="Arial" w:eastAsia="Arial" w:hAnsi="Arial"/>
                <w:sz w:val="16"/>
                <w:szCs w:val="16"/>
                <w:color w:val="0000EE"/>
              </w:rPr>
              <w:t>Notes to Unaudited Condensed Consolidated Financial Statements</w:t>
            </w:r>
          </w:p>
        </w:tc>
        <w:tc>
          <w:tcPr>
            <w:tcW w:w="3840" w:type="dxa"/>
            <w:vAlign w:val="bottom"/>
            <w:gridSpan w:val="4"/>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9</w:t>
            </w:r>
          </w:p>
        </w:tc>
      </w:tr>
      <w:tr>
        <w:trPr>
          <w:trHeight w:val="183"/>
        </w:trPr>
        <w:tc>
          <w:tcPr>
            <w:tcW w:w="13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EE"/>
            </w:tcBorders>
            <w:gridSpan w:val="23"/>
            <w:shd w:val="clear" w:color="auto" w:fill="CFF0FC"/>
          </w:tcPr>
          <w:p>
            <w:pPr>
              <w:spacing w:after="0" w:line="175"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25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20</w:t>
            </w: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tcPr>
          <w:p>
            <w:pPr>
              <w:spacing w:after="0" w:line="175" w:lineRule="exact"/>
              <w:rPr>
                <w:sz w:val="20"/>
                <w:szCs w:val="20"/>
                <w:color w:val="auto"/>
              </w:rPr>
            </w:pPr>
            <w:r>
              <w:rPr>
                <w:rFonts w:ascii="Arial" w:cs="Arial" w:eastAsia="Arial" w:hAnsi="Arial"/>
                <w:sz w:val="16"/>
                <w:szCs w:val="16"/>
                <w:color w:val="0000EE"/>
              </w:rPr>
              <w:t>Quantitative and Qualitative Disclosures About Market Risk</w:t>
            </w: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27</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EE"/>
            </w:tcBorders>
            <w:gridSpan w:val="16"/>
            <w:shd w:val="clear" w:color="auto" w:fill="CFF0FC"/>
          </w:tcPr>
          <w:p>
            <w:pPr>
              <w:spacing w:after="0" w:line="175" w:lineRule="exact"/>
              <w:rPr>
                <w:sz w:val="20"/>
                <w:szCs w:val="20"/>
                <w:color w:val="auto"/>
              </w:rPr>
            </w:pPr>
            <w:r>
              <w:rPr>
                <w:rFonts w:ascii="Arial" w:cs="Arial" w:eastAsia="Arial" w:hAnsi="Arial"/>
                <w:sz w:val="16"/>
                <w:szCs w:val="16"/>
                <w:color w:val="0000EE"/>
              </w:rPr>
              <w:t>Controls and Procedures</w:t>
            </w:r>
          </w:p>
        </w:tc>
        <w:tc>
          <w:tcPr>
            <w:tcW w:w="4660" w:type="dxa"/>
            <w:vAlign w:val="bottom"/>
            <w:gridSpan w:val="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27</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0000EE"/>
            </w:tcBorders>
            <w:gridSpan w:val="9"/>
            <w:shd w:val="clear" w:color="auto" w:fill="CFF0FC"/>
          </w:tcPr>
          <w:p>
            <w:pPr>
              <w:jc w:val="center"/>
              <w:spacing w:after="0"/>
              <w:rPr>
                <w:sz w:val="20"/>
                <w:szCs w:val="20"/>
                <w:color w:val="auto"/>
              </w:rPr>
            </w:pPr>
            <w:r>
              <w:rPr>
                <w:rFonts w:ascii="Arial" w:cs="Arial" w:eastAsia="Arial" w:hAnsi="Arial"/>
                <w:sz w:val="14"/>
                <w:szCs w:val="14"/>
                <w:b w:val="1"/>
                <w:bCs w:val="1"/>
                <w:color w:val="0000EE"/>
              </w:rPr>
              <w:t>PART II—OTHER INFORMATION</w:t>
            </w:r>
          </w:p>
        </w:tc>
        <w:tc>
          <w:tcPr>
            <w:tcW w:w="3560" w:type="dxa"/>
            <w:vAlign w:val="bottom"/>
            <w:tcBorders>
              <w:bottom w:val="single" w:sz="8" w:color="CFF0FC"/>
            </w:tcBorders>
            <w:gridSpan w:val="3"/>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r>
      <w:tr>
        <w:trPr>
          <w:trHeight w:val="176"/>
        </w:trPr>
        <w:tc>
          <w:tcPr>
            <w:tcW w:w="1380" w:type="dxa"/>
            <w:vAlign w:val="bottom"/>
          </w:tcPr>
          <w:p>
            <w:pPr>
              <w:spacing w:after="0" w:line="169" w:lineRule="exact"/>
              <w:rPr>
                <w:sz w:val="20"/>
                <w:szCs w:val="20"/>
                <w:color w:val="auto"/>
              </w:rPr>
            </w:pPr>
            <w:r>
              <w:rPr>
                <w:rFonts w:ascii="Arial" w:cs="Arial" w:eastAsia="Arial" w:hAnsi="Arial"/>
                <w:sz w:val="16"/>
                <w:szCs w:val="16"/>
                <w:color w:val="auto"/>
              </w:rPr>
              <w:t>Item 1.</w:t>
            </w:r>
          </w:p>
        </w:tc>
        <w:tc>
          <w:tcPr>
            <w:tcW w:w="8900" w:type="dxa"/>
            <w:vAlign w:val="bottom"/>
            <w:gridSpan w:val="24"/>
          </w:tcPr>
          <w:p>
            <w:pPr>
              <w:spacing w:after="0" w:line="169" w:lineRule="exact"/>
              <w:rPr>
                <w:sz w:val="20"/>
                <w:szCs w:val="20"/>
                <w:color w:val="auto"/>
              </w:rPr>
            </w:pPr>
            <w:r>
              <w:rPr>
                <w:rFonts w:ascii="Arial" w:cs="Arial" w:eastAsia="Arial" w:hAnsi="Arial"/>
                <w:sz w:val="16"/>
                <w:szCs w:val="16"/>
                <w:color w:val="0000EE"/>
              </w:rPr>
              <w:t>Legal Proceedings</w:t>
            </w:r>
          </w:p>
        </w:tc>
        <w:tc>
          <w:tcPr>
            <w:tcW w:w="960" w:type="dxa"/>
            <w:vAlign w:val="bottom"/>
          </w:tcPr>
          <w:p>
            <w:pPr>
              <w:jc w:val="center"/>
              <w:spacing w:after="0" w:line="169" w:lineRule="exact"/>
              <w:rPr>
                <w:sz w:val="20"/>
                <w:szCs w:val="20"/>
                <w:color w:val="auto"/>
              </w:rPr>
            </w:pPr>
            <w:r>
              <w:rPr>
                <w:rFonts w:ascii="Arial" w:cs="Arial" w:eastAsia="Arial" w:hAnsi="Arial"/>
                <w:sz w:val="16"/>
                <w:szCs w:val="16"/>
                <w:color w:val="auto"/>
              </w:rPr>
              <w:t>28</w:t>
            </w:r>
          </w:p>
        </w:tc>
      </w:tr>
      <w:tr>
        <w:trPr>
          <w:trHeight w:val="175"/>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tcBorders>
              <w:top w:val="single" w:sz="8" w:color="0000EE"/>
            </w:tcBorders>
            <w:gridSpan w:val="6"/>
            <w:shd w:val="clear" w:color="auto" w:fill="CFF0FC"/>
          </w:tcPr>
          <w:p>
            <w:pPr>
              <w:spacing w:after="0" w:line="175" w:lineRule="exact"/>
              <w:rPr>
                <w:sz w:val="20"/>
                <w:szCs w:val="20"/>
                <w:color w:val="auto"/>
              </w:rPr>
            </w:pPr>
            <w:r>
              <w:rPr>
                <w:rFonts w:ascii="Arial" w:cs="Arial" w:eastAsia="Arial" w:hAnsi="Arial"/>
                <w:sz w:val="16"/>
                <w:szCs w:val="16"/>
                <w:color w:val="0000EE"/>
              </w:rPr>
              <w:t>Risk Factors</w:t>
            </w:r>
          </w:p>
        </w:tc>
        <w:tc>
          <w:tcPr>
            <w:tcW w:w="7560" w:type="dxa"/>
            <w:vAlign w:val="bottom"/>
            <w:gridSpan w:val="1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29</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EE"/>
            </w:tcBorders>
            <w:gridSpan w:val="17"/>
          </w:tcPr>
          <w:p>
            <w:pPr>
              <w:spacing w:after="0" w:line="175" w:lineRule="exact"/>
              <w:rPr>
                <w:sz w:val="20"/>
                <w:szCs w:val="20"/>
                <w:color w:val="auto"/>
              </w:rPr>
            </w:pPr>
            <w:r>
              <w:rPr>
                <w:rFonts w:ascii="Arial" w:cs="Arial" w:eastAsia="Arial" w:hAnsi="Arial"/>
                <w:sz w:val="16"/>
                <w:szCs w:val="16"/>
                <w:color w:val="0000EE"/>
              </w:rPr>
              <w:t>Unregistered Sales of Equity Securities and Use of Proceeds</w:t>
            </w:r>
          </w:p>
        </w:tc>
        <w:tc>
          <w:tcPr>
            <w:tcW w:w="4520" w:type="dxa"/>
            <w:vAlign w:val="bottom"/>
            <w:gridSpan w:val="7"/>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68</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shd w:val="clear" w:color="auto" w:fill="CFF0FC"/>
          </w:tcPr>
          <w:p>
            <w:pPr>
              <w:spacing w:after="0" w:line="175" w:lineRule="exact"/>
              <w:rPr>
                <w:sz w:val="20"/>
                <w:szCs w:val="20"/>
                <w:color w:val="auto"/>
              </w:rPr>
            </w:pPr>
            <w:r>
              <w:rPr>
                <w:rFonts w:ascii="Arial" w:cs="Arial" w:eastAsia="Arial" w:hAnsi="Arial"/>
                <w:sz w:val="16"/>
                <w:szCs w:val="16"/>
                <w:color w:val="0000EE"/>
              </w:rPr>
              <w:t>Defaults Upon Senior Securities</w:t>
            </w: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68</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4.</w:t>
            </w:r>
          </w:p>
        </w:tc>
        <w:tc>
          <w:tcPr>
            <w:tcW w:w="2300" w:type="dxa"/>
            <w:vAlign w:val="bottom"/>
            <w:tcBorders>
              <w:top w:val="single" w:sz="8" w:color="0000EE"/>
            </w:tcBorders>
            <w:gridSpan w:val="10"/>
          </w:tcPr>
          <w:p>
            <w:pPr>
              <w:spacing w:after="0" w:line="175" w:lineRule="exact"/>
              <w:rPr>
                <w:sz w:val="20"/>
                <w:szCs w:val="20"/>
                <w:color w:val="auto"/>
              </w:rPr>
            </w:pPr>
            <w:r>
              <w:rPr>
                <w:rFonts w:ascii="Arial" w:cs="Arial" w:eastAsia="Arial" w:hAnsi="Arial"/>
                <w:sz w:val="16"/>
                <w:szCs w:val="16"/>
                <w:color w:val="0000EE"/>
              </w:rPr>
              <w:t>Mine Safety Disclosures</w:t>
            </w:r>
          </w:p>
        </w:tc>
        <w:tc>
          <w:tcPr>
            <w:tcW w:w="6600" w:type="dxa"/>
            <w:vAlign w:val="bottom"/>
            <w:tcBorders>
              <w:top w:val="single" w:sz="8" w:color="CFF0FC"/>
            </w:tcBorders>
            <w:gridSpan w:val="14"/>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68</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EE"/>
            </w:tcBorders>
            <w:gridSpan w:val="8"/>
            <w:shd w:val="clear" w:color="auto" w:fill="CFF0FC"/>
          </w:tcPr>
          <w:p>
            <w:pPr>
              <w:spacing w:after="0" w:line="175" w:lineRule="exact"/>
              <w:rPr>
                <w:sz w:val="20"/>
                <w:szCs w:val="20"/>
                <w:color w:val="auto"/>
              </w:rPr>
            </w:pPr>
            <w:r>
              <w:rPr>
                <w:rFonts w:ascii="Arial" w:cs="Arial" w:eastAsia="Arial" w:hAnsi="Arial"/>
                <w:sz w:val="16"/>
                <w:szCs w:val="16"/>
                <w:color w:val="0000EE"/>
              </w:rPr>
              <w:t>Other Information</w:t>
            </w:r>
          </w:p>
        </w:tc>
        <w:tc>
          <w:tcPr>
            <w:tcW w:w="7160" w:type="dxa"/>
            <w:vAlign w:val="bottom"/>
            <w:gridSpan w:val="1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68</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6.</w:t>
            </w:r>
          </w:p>
        </w:tc>
        <w:tc>
          <w:tcPr>
            <w:tcW w:w="580" w:type="dxa"/>
            <w:vAlign w:val="bottom"/>
            <w:tcBorders>
              <w:top w:val="single" w:sz="8" w:color="0000EE"/>
              <w:bottom w:val="single" w:sz="8" w:color="0000EE"/>
            </w:tcBorders>
            <w:gridSpan w:val="2"/>
          </w:tcPr>
          <w:p>
            <w:pPr>
              <w:spacing w:after="0" w:line="175" w:lineRule="exact"/>
              <w:rPr>
                <w:sz w:val="20"/>
                <w:szCs w:val="20"/>
                <w:color w:val="auto"/>
              </w:rPr>
            </w:pPr>
            <w:r>
              <w:rPr>
                <w:rFonts w:ascii="Arial" w:cs="Arial" w:eastAsia="Arial" w:hAnsi="Arial"/>
                <w:sz w:val="16"/>
                <w:szCs w:val="16"/>
                <w:color w:val="0000EE"/>
                <w:w w:val="99"/>
              </w:rPr>
              <w:t>Exhibits</w:t>
            </w:r>
          </w:p>
        </w:tc>
        <w:tc>
          <w:tcPr>
            <w:tcW w:w="680" w:type="dxa"/>
            <w:vAlign w:val="bottom"/>
            <w:tcBorders>
              <w:top w:val="single" w:sz="8" w:color="0000EE"/>
            </w:tcBorders>
            <w:gridSpan w:val="3"/>
          </w:tcPr>
          <w:p>
            <w:pPr>
              <w:spacing w:after="0"/>
              <w:rPr>
                <w:sz w:val="15"/>
                <w:szCs w:val="15"/>
                <w:color w:val="auto"/>
              </w:rPr>
            </w:pPr>
          </w:p>
        </w:tc>
        <w:tc>
          <w:tcPr>
            <w:tcW w:w="7640" w:type="dxa"/>
            <w:vAlign w:val="bottom"/>
            <w:tcBorders>
              <w:top w:val="single" w:sz="8" w:color="CFF0FC"/>
            </w:tcBorders>
            <w:gridSpan w:val="19"/>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96"/>
        </w:trPr>
        <w:tc>
          <w:tcPr>
            <w:tcW w:w="1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0000EE"/>
            </w:tcBorders>
            <w:gridSpan w:val="3"/>
            <w:shd w:val="clear" w:color="auto" w:fill="CFF0FC"/>
          </w:tcPr>
          <w:p>
            <w:pPr>
              <w:spacing w:after="0"/>
              <w:rPr>
                <w:sz w:val="20"/>
                <w:szCs w:val="20"/>
                <w:color w:val="auto"/>
              </w:rPr>
            </w:pPr>
            <w:r>
              <w:rPr>
                <w:rFonts w:ascii="Arial" w:cs="Arial" w:eastAsia="Arial" w:hAnsi="Arial"/>
                <w:sz w:val="16"/>
                <w:szCs w:val="16"/>
                <w:color w:val="0000EE"/>
                <w:w w:val="99"/>
              </w:rPr>
              <w:t>Signatures</w:t>
            </w:r>
          </w:p>
        </w:tc>
        <w:tc>
          <w:tcPr>
            <w:tcW w:w="8120" w:type="dxa"/>
            <w:vAlign w:val="bottom"/>
            <w:tcBorders>
              <w:bottom w:val="single" w:sz="8" w:color="CFF0FC"/>
            </w:tcBorders>
            <w:gridSpan w:val="21"/>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71</w:t>
            </w:r>
          </w:p>
        </w:tc>
      </w:tr>
      <w:tr>
        <w:trPr>
          <w:trHeight w:val="619"/>
        </w:trPr>
        <w:tc>
          <w:tcPr>
            <w:tcW w:w="1380" w:type="dxa"/>
            <w:vAlign w:val="bottom"/>
          </w:tcPr>
          <w:p>
            <w:pPr>
              <w:spacing w:after="0"/>
              <w:rPr>
                <w:sz w:val="24"/>
                <w:szCs w:val="24"/>
                <w:color w:val="auto"/>
              </w:rPr>
            </w:pPr>
          </w:p>
        </w:tc>
        <w:tc>
          <w:tcPr>
            <w:tcW w:w="4380" w:type="dxa"/>
            <w:vAlign w:val="bottom"/>
            <w:gridSpan w:val="17"/>
          </w:tcPr>
          <w:p>
            <w:pPr>
              <w:jc w:val="center"/>
              <w:ind w:left="4019"/>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3"/>
        </w:trPr>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362" w:lineRule="exact"/>
        <w:rPr>
          <w:sz w:val="20"/>
          <w:szCs w:val="20"/>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9"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and compete in new markets;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the COVID-19 pandemic on our business, our customers’ and suppliers’ businesses and the general economy;</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scale our infrastructure;</w:t>
      </w:r>
    </w:p>
    <w:p>
      <w:pPr>
        <w:spacing w:after="0" w:line="17" w:lineRule="exact"/>
        <w:rPr>
          <w:rFonts w:ascii="Times New Roman" w:cs="Times New Roman" w:eastAsia="Times New Roman" w:hAnsi="Times New Roman"/>
          <w:sz w:val="16"/>
          <w:szCs w:val="16"/>
          <w:color w:val="auto"/>
        </w:rPr>
      </w:pPr>
    </w:p>
    <w:p>
      <w:pPr>
        <w:ind w:left="1120" w:hanging="370"/>
        <w:spacing w:after="0" w:line="248" w:lineRule="auto"/>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expectations regarding our relationship with the U.S. Department of Veterans Affairs’ Million Veteran Program;</w:t>
      </w:r>
    </w:p>
    <w:p>
      <w:pPr>
        <w:spacing w:after="0" w:line="1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effects of extensive government regulation;</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hire and retain key personnel;</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financing in future offerings;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volatility of the trading price of our common stock;</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 and</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proper and effective internal controls.</w:t>
      </w:r>
    </w:p>
    <w:p>
      <w:pPr>
        <w:spacing w:after="0" w:line="19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3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55" w:lineRule="exact"/>
        <w:rPr>
          <w:sz w:val="20"/>
          <w:szCs w:val="20"/>
          <w:color w:val="auto"/>
        </w:rPr>
      </w:pPr>
    </w:p>
    <w:p>
      <w:pPr>
        <w:jc w:val="both"/>
        <w:ind w:right="20" w:firstLine="749"/>
        <w:spacing w:after="0" w:line="283"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480" w:type="dxa"/>
            <w:vAlign w:val="bottom"/>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91,586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105,585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174,954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181,479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13,519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18,468</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8,065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5,610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5,904</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7,089</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294,028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318,231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30,600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19,650</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51,727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53,822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4,292</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4,825</w:t>
            </w:r>
          </w:p>
        </w:tc>
      </w:tr>
      <w:tr>
        <w:trPr>
          <w:trHeight w:val="23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380,647</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396,528</w:t>
            </w:r>
          </w:p>
        </w:tc>
      </w:tr>
      <w:tr>
        <w:trPr>
          <w:trHeight w:val="18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12,275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9,221</w:t>
            </w:r>
          </w:p>
        </w:tc>
      </w:tr>
      <w:tr>
        <w:trPr>
          <w:trHeight w:val="202"/>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24,108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18,110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3,461</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3,982</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39,844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31,313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52,364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52,797</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1,724</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2,117</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93,932</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86,227</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28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188"/>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45,250,087 and 44,904,512</w:t>
            </w:r>
          </w:p>
        </w:tc>
        <w:tc>
          <w:tcPr>
            <w:tcW w:w="2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at March 31, 2022 and December 31, 2021, respectively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562,889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557,558</w:t>
            </w: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r>
      <w:tr>
        <w:trPr>
          <w:trHeight w:val="20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(275,304)</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(247,095)</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286,715</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310,301</w:t>
            </w:r>
          </w:p>
        </w:tc>
      </w:tr>
      <w:tr>
        <w:trPr>
          <w:trHeight w:val="196"/>
        </w:trPr>
        <w:tc>
          <w:tcPr>
            <w:tcW w:w="7720" w:type="dxa"/>
            <w:vAlign w:val="bottom"/>
          </w:tcPr>
          <w:p>
            <w:pPr>
              <w:ind w:left="10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380,647</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396,528</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15,227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20,881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10,949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13,454</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17,098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9,496</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15,486</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10,421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43,533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33,371</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(12,407)</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(28,209)</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vMerge w:val="continue"/>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44,995,752</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42,265,596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(28,209)</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loss on available-for-sale debt securities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(28,918)</w:t>
            </w: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(12,431)</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March 31,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71"/>
        </w:trPr>
        <w:tc>
          <w:tcPr>
            <w:tcW w:w="442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4420" w:type="dxa"/>
            <w:vAlign w:val="bottom"/>
          </w:tcPr>
          <w:p>
            <w:pPr>
              <w:spacing w:after="0"/>
              <w:rPr>
                <w:sz w:val="14"/>
                <w:szCs w:val="14"/>
                <w:color w:val="auto"/>
              </w:rPr>
            </w:pPr>
          </w:p>
        </w:tc>
        <w:tc>
          <w:tcPr>
            <w:tcW w:w="1060" w:type="dxa"/>
            <w:vAlign w:val="bottom"/>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Equity</w:t>
            </w:r>
          </w:p>
        </w:tc>
      </w:tr>
      <w:tr>
        <w:trPr>
          <w:trHeight w:val="196"/>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0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39,105,548</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376,788</w:t>
            </w: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(181,869)</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194,945</w:t>
            </w:r>
          </w:p>
        </w:tc>
      </w:tr>
      <w:tr>
        <w:trPr>
          <w:trHeight w:val="188"/>
        </w:trPr>
        <w:tc>
          <w:tcPr>
            <w:tcW w:w="4420" w:type="dxa"/>
            <w:vAlign w:val="bottom"/>
          </w:tcPr>
          <w:p>
            <w:pPr>
              <w:ind w:left="500"/>
              <w:spacing w:after="0"/>
              <w:rPr>
                <w:sz w:val="20"/>
                <w:szCs w:val="20"/>
                <w:color w:val="auto"/>
              </w:rPr>
            </w:pPr>
            <w:r>
              <w:rPr>
                <w:rFonts w:ascii="Arial" w:cs="Arial" w:eastAsia="Arial" w:hAnsi="Arial"/>
                <w:sz w:val="16"/>
                <w:szCs w:val="16"/>
                <w:color w:val="auto"/>
              </w:rPr>
              <w:t>Proceeds from follow-on equity offering, net of</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offering costs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4,542,500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161,916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161,916</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114,026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933</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36,587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3,057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3,057</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(12,404)</w:t>
            </w:r>
          </w:p>
        </w:tc>
      </w:tr>
      <w:tr>
        <w:trPr>
          <w:trHeight w:val="196"/>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0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43,798,661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542,694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(194,273)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348,420</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5"/>
        </w:trPr>
        <w:tc>
          <w:tcPr>
            <w:tcW w:w="4420" w:type="dxa"/>
            <w:vAlign w:val="bottom"/>
          </w:tcPr>
          <w:p>
            <w:pPr>
              <w:spacing w:after="0"/>
              <w:rPr>
                <w:sz w:val="20"/>
                <w:szCs w:val="20"/>
                <w:color w:val="auto"/>
              </w:rPr>
            </w:pPr>
            <w:r>
              <w:rPr>
                <w:rFonts w:ascii="Arial" w:cs="Arial" w:eastAsia="Arial" w:hAnsi="Arial"/>
                <w:sz w:val="16"/>
                <w:szCs w:val="16"/>
                <w:color w:val="auto"/>
              </w:rPr>
              <w:t>Balance—December 31, 2021</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44,904,512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557,558</w:t>
            </w: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(247,095)</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310,301</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279,205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516</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66,370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4,816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4,816</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4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r>
      <w:tr>
        <w:trPr>
          <w:trHeight w:val="203"/>
        </w:trPr>
        <w:tc>
          <w:tcPr>
            <w:tcW w:w="4420" w:type="dxa"/>
            <w:vAlign w:val="bottom"/>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(28,209)</w:t>
            </w:r>
          </w:p>
        </w:tc>
      </w:tr>
      <w:tr>
        <w:trPr>
          <w:trHeight w:val="196"/>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2022</w:t>
            </w:r>
          </w:p>
        </w:tc>
        <w:tc>
          <w:tcPr>
            <w:tcW w:w="10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45,250,087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562,889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(275,304)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286,715</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(28,209)</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(12,404)</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4,816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3,057</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1,523</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2,096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372</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on short-term investments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496</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4,949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(1,703)</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and other deferred costs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1,720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63</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(2,175)</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Accrued and other current liabilities</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3,398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2,471</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liabilities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(2,797)</w:t>
            </w:r>
          </w:p>
        </w:tc>
      </w:tr>
      <w:tr>
        <w:trPr>
          <w:trHeight w:val="202"/>
        </w:trPr>
        <w:tc>
          <w:tcPr>
            <w:tcW w:w="7720" w:type="dxa"/>
            <w:vAlign w:val="bottom"/>
          </w:tcPr>
          <w:p>
            <w:pPr>
              <w:ind w:left="50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r>
      <w:tr>
        <w:trPr>
          <w:trHeight w:val="19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(11,743)</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(59,702)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(114,056)</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65,175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26,892</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sales of available-for-sale debt securities</w:t>
            </w:r>
          </w:p>
        </w:tc>
        <w:tc>
          <w:tcPr>
            <w:tcW w:w="9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5,059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(8,634)</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w:t>
            </w:r>
          </w:p>
        </w:tc>
      </w:tr>
      <w:tr>
        <w:trPr>
          <w:trHeight w:val="19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(82,544)</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9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162,258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Payments of costs related to public offerings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exercise of equity awards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933</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515</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162,849</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68,564</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107,375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68,525</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93,376</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137,089</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88"/>
        </w:trPr>
        <w:tc>
          <w:tcPr>
            <w:tcW w:w="868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91,586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137,089</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 included in other long-term assets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1,790</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93,376</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137,089</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provider of advanced genetic tests for cancer. The Company also provides sequencing and data analysis services to support population sequencing initiatives. The Company’s genetic tests for cancer are sold primarily to pharmaceutical companies, biopharmaceutical companies, universities, non-profits, and government entities, while services for population sequencing initiatives are sold primarily to government entities. The principal markets for the Company’s services are in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5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service and product development and sales and marketing efforts. The Company’s activities have been financed to date primarily through the sale of its equity securities and cash from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2021.</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and At-the-Market Equity Offerings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On August 14, 2020, the Company completed a follow-on equity offering in which it issued and sold 6,578,947 shares of its common stock at a public offering price of $19.00 per share. The Company received net proceeds of $117.5 million after deducting underwriting discounts and commissions. The Company also incurred $0.4 million of offering costs, including legal, accounting, printing and other offering-related costs.</w:t>
      </w:r>
    </w:p>
    <w:p>
      <w:pPr>
        <w:spacing w:after="0" w:line="13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On December 30, 2021, the Company entered into an At-the-Market Sales Agreement (the “Sales Agreement”) with BTIG, LLC (“BTIG”) under which it may offer and sell its common stock having aggregate sales proceeds of up to $100.0 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 w:name="page10"/>
    <w:bookmarkEnd w:id="9"/>
    <w:p>
      <w:pPr>
        <w:jc w:val="both"/>
        <w:ind w:right="20"/>
        <w:spacing w:after="0" w:line="286" w:lineRule="auto"/>
        <w:rPr>
          <w:sz w:val="20"/>
          <w:szCs w:val="20"/>
          <w:color w:val="auto"/>
        </w:rPr>
      </w:pPr>
      <w:r>
        <w:rPr>
          <w:rFonts w:ascii="Arial" w:cs="Arial" w:eastAsia="Arial" w:hAnsi="Arial"/>
          <w:sz w:val="16"/>
          <w:szCs w:val="16"/>
          <w:color w:val="auto"/>
        </w:rPr>
        <w:t>sold through BTIG under the Sales Agreement. The Company is not obligated to make any sales of common stock under the Sales Agreement. No shares of the Company’s common stock have been offered or sold under the Sales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05" w:lineRule="exact"/>
        <w:rPr>
          <w:sz w:val="20"/>
          <w:szCs w:val="20"/>
          <w:color w:val="auto"/>
        </w:rPr>
      </w:pPr>
    </w:p>
    <w:p>
      <w:pPr>
        <w:jc w:val="both"/>
        <w:ind w:firstLine="749"/>
        <w:spacing w:after="0" w:line="202"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66"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March 31, 2022 and December 31, 2021. The Company had no bad debt expense for the periods presented.</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Significant customers are those that represent more than 10% of the Company’s total revenue in each period or accounts receivable balance at each respective balance sheet date. For each significant customer, revenue as a percentage of total revenue and accounts receivable as a percentage of total accounts receivable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1019"/>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8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2022</w:t>
            </w:r>
          </w:p>
        </w:tc>
        <w:tc>
          <w:tcPr>
            <w:tcW w:w="136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5"/>
        </w:trPr>
        <w:tc>
          <w:tcPr>
            <w:tcW w:w="5380" w:type="dxa"/>
            <w:vAlign w:val="bottom"/>
          </w:tcPr>
          <w:p>
            <w:pPr>
              <w:spacing w:after="0"/>
              <w:rPr>
                <w:sz w:val="10"/>
                <w:szCs w:val="10"/>
                <w:color w:val="auto"/>
              </w:rPr>
            </w:pPr>
          </w:p>
        </w:tc>
        <w:tc>
          <w:tcPr>
            <w:tcW w:w="2940" w:type="dxa"/>
            <w:vAlign w:val="bottom"/>
            <w:gridSpan w:val="4"/>
            <w:vMerge w:val="restart"/>
          </w:tcPr>
          <w:p>
            <w:pPr>
              <w:jc w:val="center"/>
              <w:ind w:right="5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3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6"/>
        </w:trPr>
        <w:tc>
          <w:tcPr>
            <w:tcW w:w="5380" w:type="dxa"/>
            <w:vAlign w:val="bottom"/>
          </w:tcPr>
          <w:p>
            <w:pPr>
              <w:spacing w:after="0"/>
              <w:rPr>
                <w:sz w:val="4"/>
                <w:szCs w:val="4"/>
                <w:color w:val="auto"/>
              </w:rPr>
            </w:pPr>
          </w:p>
        </w:tc>
        <w:tc>
          <w:tcPr>
            <w:tcW w:w="2940" w:type="dxa"/>
            <w:vAlign w:val="bottom"/>
            <w:tcBorders>
              <w:bottom w:val="single" w:sz="8" w:color="auto"/>
            </w:tcBorders>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960" w:type="dxa"/>
            <w:vAlign w:val="bottom"/>
          </w:tcPr>
          <w:p>
            <w:pPr>
              <w:jc w:val="center"/>
              <w:ind w:left="242"/>
              <w:spacing w:after="0"/>
              <w:rPr>
                <w:sz w:val="20"/>
                <w:szCs w:val="20"/>
                <w:color w:val="auto"/>
              </w:rPr>
            </w:pPr>
            <w:r>
              <w:rPr>
                <w:rFonts w:ascii="Arial" w:cs="Arial" w:eastAsia="Arial" w:hAnsi="Arial"/>
                <w:sz w:val="14"/>
                <w:szCs w:val="14"/>
                <w:b w:val="1"/>
                <w:bCs w:val="1"/>
                <w:color w:val="auto"/>
              </w:rPr>
              <w:t>2022</w:t>
            </w:r>
          </w:p>
        </w:tc>
        <w:tc>
          <w:tcPr>
            <w:tcW w:w="198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Natera, Inc.</w:t>
            </w:r>
          </w:p>
        </w:tc>
        <w:tc>
          <w:tcPr>
            <w:tcW w:w="960" w:type="dxa"/>
            <w:vAlign w:val="bottom"/>
            <w:tcBorders>
              <w:top w:val="single" w:sz="8" w:color="auto"/>
            </w:tcBorders>
            <w:shd w:val="clear" w:color="auto" w:fill="CFF0FC"/>
          </w:tcPr>
          <w:p>
            <w:pPr>
              <w:jc w:val="center"/>
              <w:ind w:left="242"/>
              <w:spacing w:after="0"/>
              <w:rPr>
                <w:sz w:val="20"/>
                <w:szCs w:val="20"/>
                <w:color w:val="auto"/>
              </w:rPr>
            </w:pPr>
            <w:r>
              <w:rPr>
                <w:rFonts w:ascii="Arial" w:cs="Arial" w:eastAsia="Arial" w:hAnsi="Arial"/>
                <w:sz w:val="16"/>
                <w:szCs w:val="16"/>
                <w:color w:val="auto"/>
                <w:w w:val="99"/>
              </w:rPr>
              <w:t>27%</w:t>
            </w: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6"/>
                <w:szCs w:val="16"/>
                <w:color w:val="auto"/>
                <w:w w:val="99"/>
              </w:rPr>
              <w:t>17%</w:t>
            </w:r>
          </w:p>
        </w:tc>
        <w:tc>
          <w:tcPr>
            <w:tcW w:w="12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CFF0FC"/>
            </w:tcBorders>
            <w:shd w:val="clear" w:color="auto" w:fill="CFF0FC"/>
          </w:tcPr>
          <w:p>
            <w:pPr>
              <w:jc w:val="center"/>
              <w:ind w:right="6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20"/>
                <w:szCs w:val="20"/>
                <w:color w:val="auto"/>
              </w:rPr>
            </w:pPr>
            <w:r>
              <w:rPr>
                <w:rFonts w:ascii="Arial" w:cs="Arial" w:eastAsia="Arial" w:hAnsi="Arial"/>
                <w:sz w:val="16"/>
                <w:szCs w:val="16"/>
                <w:color w:val="auto"/>
              </w:rPr>
              <w:t>U.S. Department of Veterans Affairs Million Veteran Program (the “VA</w:t>
            </w:r>
          </w:p>
        </w:tc>
        <w:tc>
          <w:tcPr>
            <w:tcW w:w="960" w:type="dxa"/>
            <w:vAlign w:val="bottom"/>
          </w:tcPr>
          <w:p>
            <w:pPr>
              <w:jc w:val="center"/>
              <w:ind w:left="242"/>
              <w:spacing w:after="0"/>
              <w:rPr>
                <w:sz w:val="20"/>
                <w:szCs w:val="20"/>
                <w:color w:val="auto"/>
              </w:rPr>
            </w:pPr>
            <w:r>
              <w:rPr>
                <w:rFonts w:ascii="Arial" w:cs="Arial" w:eastAsia="Arial" w:hAnsi="Arial"/>
                <w:sz w:val="16"/>
                <w:szCs w:val="16"/>
                <w:color w:val="auto"/>
                <w:w w:val="99"/>
              </w:rPr>
              <w:t>23%</w:t>
            </w:r>
          </w:p>
        </w:tc>
        <w:tc>
          <w:tcPr>
            <w:tcW w:w="1980" w:type="dxa"/>
            <w:vAlign w:val="bottom"/>
            <w:gridSpan w:val="3"/>
          </w:tcPr>
          <w:p>
            <w:pPr>
              <w:jc w:val="center"/>
              <w:ind w:left="342"/>
              <w:spacing w:after="0"/>
              <w:rPr>
                <w:sz w:val="20"/>
                <w:szCs w:val="20"/>
                <w:color w:val="auto"/>
              </w:rPr>
            </w:pPr>
            <w:r>
              <w:rPr>
                <w:rFonts w:ascii="Arial" w:cs="Arial" w:eastAsia="Arial" w:hAnsi="Arial"/>
                <w:sz w:val="16"/>
                <w:szCs w:val="16"/>
                <w:color w:val="auto"/>
                <w:w w:val="99"/>
              </w:rPr>
              <w:t>63%</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6"/>
                <w:szCs w:val="16"/>
                <w:color w:val="auto"/>
              </w:rPr>
            </w:pPr>
          </w:p>
        </w:tc>
        <w:tc>
          <w:tcPr>
            <w:tcW w:w="1360" w:type="dxa"/>
            <w:vAlign w:val="bottom"/>
          </w:tcPr>
          <w:p>
            <w:pPr>
              <w:jc w:val="center"/>
              <w:ind w:right="6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MVP”)</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960" w:type="dxa"/>
            <w:vAlign w:val="bottom"/>
            <w:shd w:val="clear" w:color="auto" w:fill="CFF0FC"/>
          </w:tcPr>
          <w:p>
            <w:pPr>
              <w:jc w:val="center"/>
              <w:ind w:left="242"/>
              <w:spacing w:after="0"/>
              <w:rPr>
                <w:sz w:val="20"/>
                <w:szCs w:val="20"/>
                <w:color w:val="auto"/>
              </w:rPr>
            </w:pPr>
            <w:r>
              <w:rPr>
                <w:rFonts w:ascii="Arial" w:cs="Arial" w:eastAsia="Arial" w:hAnsi="Arial"/>
                <w:sz w:val="16"/>
                <w:szCs w:val="16"/>
                <w:color w:val="auto"/>
                <w:w w:val="99"/>
              </w:rPr>
              <w:t>11%</w:t>
            </w:r>
          </w:p>
        </w:tc>
        <w:tc>
          <w:tcPr>
            <w:tcW w:w="1980" w:type="dxa"/>
            <w:vAlign w:val="bottom"/>
            <w:gridSpan w:val="3"/>
            <w:shd w:val="clear" w:color="auto" w:fill="CFF0FC"/>
          </w:tcPr>
          <w:p>
            <w:pPr>
              <w:jc w:val="center"/>
              <w:ind w:left="342"/>
              <w:spacing w:after="0"/>
              <w:rPr>
                <w:sz w:val="20"/>
                <w:szCs w:val="20"/>
                <w:color w:val="auto"/>
              </w:rPr>
            </w:pPr>
            <w:r>
              <w:rPr>
                <w:rFonts w:ascii="Arial" w:cs="Arial" w:eastAsia="Arial" w:hAnsi="Arial"/>
                <w:sz w:val="16"/>
                <w:szCs w:val="16"/>
                <w:color w:val="auto"/>
                <w:w w:val="99"/>
              </w:rPr>
              <w:t>12%</w:t>
            </w:r>
          </w:p>
        </w:tc>
        <w:tc>
          <w:tcPr>
            <w:tcW w:w="14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18%</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AbbVie Inc.</w:t>
            </w:r>
          </w:p>
        </w:tc>
        <w:tc>
          <w:tcPr>
            <w:tcW w:w="960" w:type="dxa"/>
            <w:vAlign w:val="bottom"/>
          </w:tcPr>
          <w:p>
            <w:pPr>
              <w:jc w:val="center"/>
              <w:ind w:left="262"/>
              <w:spacing w:after="0"/>
              <w:rPr>
                <w:sz w:val="20"/>
                <w:szCs w:val="20"/>
                <w:color w:val="auto"/>
              </w:rPr>
            </w:pPr>
            <w:r>
              <w:rPr>
                <w:rFonts w:ascii="Arial" w:cs="Arial" w:eastAsia="Arial" w:hAnsi="Arial"/>
                <w:sz w:val="16"/>
                <w:szCs w:val="16"/>
                <w:color w:val="auto"/>
                <w:w w:val="95"/>
              </w:rPr>
              <w:t>*</w:t>
            </w:r>
          </w:p>
        </w:tc>
        <w:tc>
          <w:tcPr>
            <w:tcW w:w="1980" w:type="dxa"/>
            <w:vAlign w:val="bottom"/>
            <w:gridSpan w:val="3"/>
          </w:tcPr>
          <w:p>
            <w:pPr>
              <w:jc w:val="center"/>
              <w:ind w:left="342"/>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9"/>
              </w:rPr>
              <w:t>18%</w:t>
            </w:r>
          </w:p>
        </w:tc>
        <w:tc>
          <w:tcPr>
            <w:tcW w:w="120" w:type="dxa"/>
            <w:vAlign w:val="bottom"/>
          </w:tcPr>
          <w:p>
            <w:pPr>
              <w:spacing w:after="0"/>
              <w:rPr>
                <w:sz w:val="17"/>
                <w:szCs w:val="17"/>
                <w:color w:val="auto"/>
              </w:rPr>
            </w:pPr>
          </w:p>
        </w:tc>
        <w:tc>
          <w:tcPr>
            <w:tcW w:w="1360" w:type="dxa"/>
            <w:vAlign w:val="bottom"/>
          </w:tcPr>
          <w:p>
            <w:pPr>
              <w:jc w:val="center"/>
              <w:ind w:right="6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960" w:type="dxa"/>
            <w:vAlign w:val="bottom"/>
            <w:shd w:val="clear" w:color="auto" w:fill="CFF0FC"/>
          </w:tcPr>
          <w:p>
            <w:pPr>
              <w:jc w:val="center"/>
              <w:ind w:left="262"/>
              <w:spacing w:after="0"/>
              <w:rPr>
                <w:sz w:val="20"/>
                <w:szCs w:val="20"/>
                <w:color w:val="auto"/>
              </w:rPr>
            </w:pPr>
            <w:r>
              <w:rPr>
                <w:rFonts w:ascii="Arial" w:cs="Arial" w:eastAsia="Arial" w:hAnsi="Arial"/>
                <w:sz w:val="16"/>
                <w:szCs w:val="16"/>
                <w:color w:val="auto"/>
                <w:w w:val="95"/>
              </w:rPr>
              <w:t>*</w:t>
            </w:r>
          </w:p>
        </w:tc>
        <w:tc>
          <w:tcPr>
            <w:tcW w:w="1980" w:type="dxa"/>
            <w:vAlign w:val="bottom"/>
            <w:gridSpan w:val="3"/>
            <w:shd w:val="clear" w:color="auto" w:fill="CFF0FC"/>
          </w:tcPr>
          <w:p>
            <w:pPr>
              <w:jc w:val="center"/>
              <w:ind w:left="342"/>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14%</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 or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derives revenue from sequencing and data analysis services to support the development of next-generation cancer therapies and to support large-scale genetic research programs.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jc w:val="both"/>
        <w:ind w:firstLine="749"/>
        <w:spacing w:after="0" w:line="266" w:lineRule="auto"/>
        <w:rPr>
          <w:sz w:val="20"/>
          <w:szCs w:val="20"/>
          <w:color w:val="auto"/>
        </w:rPr>
      </w:pPr>
      <w:r>
        <w:rPr>
          <w:rFonts w:ascii="Arial" w:cs="Arial" w:eastAsia="Arial" w:hAnsi="Arial"/>
          <w:sz w:val="16"/>
          <w:szCs w:val="16"/>
          <w:color w:val="auto"/>
        </w:rPr>
        <w:t>The sequencing and data analysis services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purposes, depreciation and maintenance on equipment, and allocated facilities and IT costs.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Expected Volatility. The Company used an average historical stock price volatility of a peer group of publicly traded companies to be 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1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Expected Dividend Rate. The Company has not paid and does not anticipate paying any dividends in the near future. Accordingly, the Company has estimated the dividend yield to be zero.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U.S. treasuries, and non-U.S. Government notes.</w:t>
      </w:r>
    </w:p>
    <w:p>
      <w:pPr>
        <w:spacing w:after="0" w:line="16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29"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15" w:lineRule="exact"/>
        <w:rPr>
          <w:sz w:val="20"/>
          <w:szCs w:val="20"/>
          <w:color w:val="auto"/>
        </w:rPr>
      </w:pPr>
    </w:p>
    <w:p>
      <w:pPr>
        <w:ind w:left="1120" w:hanging="370"/>
        <w:spacing w:after="0"/>
        <w:tabs>
          <w:tab w:leader="none" w:pos="11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Quoted prices for similar assets and liabilities in active markets.</w:t>
      </w:r>
    </w:p>
    <w:p>
      <w:pPr>
        <w:spacing w:after="0" w:line="19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3" w:lineRule="exact"/>
        <w:rPr>
          <w:rFonts w:ascii="Times New Roman" w:cs="Times New Roman" w:eastAsia="Times New Roman" w:hAnsi="Times New Roman"/>
          <w:sz w:val="16"/>
          <w:szCs w:val="16"/>
          <w:color w:val="auto"/>
        </w:rPr>
      </w:pPr>
    </w:p>
    <w:p>
      <w:pPr>
        <w:ind w:left="1120" w:hanging="370"/>
        <w:spacing w:after="0" w:line="285" w:lineRule="auto"/>
        <w:tabs>
          <w:tab w:leader="none" w:pos="11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Observable inputs other than quoted prices that are used in the valuation of the asset or liability (e.g., interest rate and yield curve quotes at commonly quoted intervals).</w:t>
      </w:r>
    </w:p>
    <w:p>
      <w:pPr>
        <w:spacing w:after="0" w:line="115"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93"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15"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1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 Other deferred costs represent materials used in sequencing services, labor, and overhead allocations.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92"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Company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March 31, 2022, the Company had no finance leases.</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5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Lease payments are recognized as an expense on a straight-line basis over the lease term. The Company has also elected to include expenses related to leases with a term of one month or less in the short-term lease cost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is currently evaluating the impact of the new guidance on its consolidated financial statements and related disclosures. The Company will adopt the new guidance in the first quarter of 2023 by means of a cumulative-effect adjustment to opening retained earnings.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 disaggregated by customer type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000" w:type="dxa"/>
            <w:vAlign w:val="bottom"/>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3,501</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13,210</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11,726</w:t>
            </w:r>
          </w:p>
        </w:tc>
        <w:tc>
          <w:tcPr>
            <w:tcW w:w="1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7,671</w:t>
            </w: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1000" w:type="dxa"/>
            <w:vAlign w:val="bottom"/>
            <w:tcBorders>
              <w:bottom w:val="single" w:sz="8" w:color="auto"/>
            </w:tcBorders>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15,227</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20,881</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approximately 18% and 8% of the Company’s revenue for the three months ended March 31, 2022 and 2021.</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March 31, 2022 and December 31, 2021 were immaterial.</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Company’s contract liabilities consist of customer deposits in excess of revenue recognized and are presented as current liabilities in the condensed consolidated balance sheets.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13" w:name="page14"/>
    <w:bookmarkEnd w:id="13"/>
    <w:p>
      <w:pPr>
        <w:jc w:val="both"/>
        <w:ind w:firstLine="749"/>
        <w:spacing w:after="0" w:line="266" w:lineRule="auto"/>
        <w:rPr>
          <w:sz w:val="20"/>
          <w:szCs w:val="20"/>
          <w:color w:val="auto"/>
        </w:rPr>
      </w:pPr>
      <w:r>
        <w:rPr>
          <w:rFonts w:ascii="Arial" w:cs="Arial" w:eastAsia="Arial" w:hAnsi="Arial"/>
          <w:sz w:val="16"/>
          <w:szCs w:val="16"/>
          <w:color w:val="auto"/>
        </w:rPr>
        <w:t>The balance of contract liabilities was $3.5 million and $4.0 million as of March 31, 2022 and December 31, 2021, respectively. Revenue recognized for the three months ended March 31, 2022 and 2021 that were included in the contract liability balance at the beginning of each reporting period were $2.5 million and $9.5 million, respectively.</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Revenue allocated to remaining performance obligations represent contracted revenue that has not yet been recognized (“contracted not recognized revenue”), which include VA MVP contract liabilities and amounts that will be invoiced and recognized as revenue in future periods. Contracted not recognized revenue was $4.1 million as of March 31, 2022, which the Company expects to recognize as revenue within the next three months. The Company has elected the optional exemption that allows for the exclusion of contracts with an original expected duration of one year or less.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ind w:right="40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Pr>
          <w:p>
            <w:pPr>
              <w:spacing w:after="0"/>
              <w:rPr>
                <w:sz w:val="14"/>
                <w:szCs w:val="14"/>
                <w:color w:val="auto"/>
              </w:rPr>
            </w:pPr>
          </w:p>
        </w:tc>
        <w:tc>
          <w:tcPr>
            <w:tcW w:w="338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723"/>
              <w:spacing w:after="0"/>
              <w:rPr>
                <w:sz w:val="20"/>
                <w:szCs w:val="20"/>
                <w:color w:val="auto"/>
              </w:rPr>
            </w:pPr>
            <w:r>
              <w:rPr>
                <w:rFonts w:ascii="Arial" w:cs="Arial" w:eastAsia="Arial" w:hAnsi="Arial"/>
                <w:sz w:val="14"/>
                <w:szCs w:val="14"/>
                <w:b w:val="1"/>
                <w:bCs w:val="1"/>
                <w:color w:val="auto"/>
              </w:rPr>
              <w:t>2021</w:t>
            </w:r>
          </w:p>
        </w:tc>
      </w:tr>
      <w:tr>
        <w:trPr>
          <w:trHeight w:val="196"/>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6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4,818</w:t>
            </w: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4,081</w:t>
            </w: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224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3,247</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1,529</w:t>
            </w:r>
          </w:p>
        </w:tc>
      </w:tr>
      <w:tr>
        <w:trPr>
          <w:trHeight w:val="196"/>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2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9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8,065</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5,610</w:t>
            </w:r>
          </w:p>
        </w:tc>
      </w:tr>
      <w:tr>
        <w:trPr>
          <w:trHeight w:val="20"/>
        </w:trPr>
        <w:tc>
          <w:tcPr>
            <w:tcW w:w="5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March 31, 2022 and 2021 was $1.8 million and $1.5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Accumulated depreciation and amortization was $20.8 million and $19.0 million as of March 31, 2022 and December 31, 2021, respectively.</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March 31, 2022 and December 31, 2021, respectively, and is included in other long-term assets.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33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13,141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10,673</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4,137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3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3,212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Loans—current portion (Note 6)</w:t>
            </w: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1,836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Employee ESPP contributions</w:t>
            </w:r>
          </w:p>
        </w:tc>
        <w:tc>
          <w:tcPr>
            <w:tcW w:w="3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1,217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Accrued taxes</w:t>
            </w: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535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w:t>
            </w:r>
          </w:p>
        </w:tc>
        <w:tc>
          <w:tcPr>
            <w:tcW w:w="33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96"/>
        </w:trPr>
        <w:tc>
          <w:tcPr>
            <w:tcW w:w="4340" w:type="dxa"/>
            <w:vAlign w:val="bottom"/>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33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24,108</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18,110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80" w:type="dxa"/>
            <w:vAlign w:val="bottom"/>
            <w:vMerge w:val="restart"/>
          </w:tcPr>
          <w:p>
            <w:pPr>
              <w:jc w:val="right"/>
              <w:ind w:right="1919"/>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3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March 31, 2022 and December 31, 2021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0"/>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4"/>
                <w:szCs w:val="14"/>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2,829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2,829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20,048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20,048</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55,198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55,197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8,513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4,999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91,585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91,586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31,352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31,301</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7,193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3,012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19,701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19,551</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109,589</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108,894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175,871</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174,954</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r>
      <w:tr>
        <w:trPr>
          <w:trHeight w:val="196"/>
        </w:trPr>
        <w:tc>
          <w:tcPr>
            <w:tcW w:w="52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267,456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266,540</w:t>
            </w: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0"/>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4"/>
                <w:szCs w:val="14"/>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6,094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49,488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49,488</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50,005</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50,003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105,587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105,585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75,787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75,633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18,068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18,059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18,052</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19,738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19,703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50,040</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50,025</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181,692</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181,479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196"/>
        </w:trPr>
        <w:tc>
          <w:tcPr>
            <w:tcW w:w="5200" w:type="dxa"/>
            <w:vAlign w:val="bottom"/>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287,279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287,064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Realized gains or losses on marketable debt securities are immaterial for the periods presented. No security has been in an unrealized loss position for 12 months or greater. The Company determined that it did have the ability and intent to hold all marketable securities that have been in a continuous loss position until maturity or recovery. As of March 31, 2022, the Company does not consider any of its marketable debt securities to be other-than-temporarily impaired.</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Company’s marketable debt securities at March 31, 2022 have maturities due in one year or less, except for debt securities with an aggregate cost basis of $22.4 million and fair value of $22.0 million that have maturities ranging from 13 to 18 months.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6. Loans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April 2021, the Company entered into another payment agreement, with the same financing entity, to finance the purchase of $3.1 million of certain computer hardware and related hardware maintenance. The Company is required to pay three equal payments of $1.0 million in July 2021, June 2022, and June 2023. The nature of this agreement and resulting accounting treatment are the same as the payment agreement described in the preceding paragraph.</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total initial present value of the payment agreements was $5.2 million and presented as proceeds from loans in the condensed consolidated statements of cash flows. Such proceeds were used to purchase equipment, software, and related maintenance and are reflected as cash outflows in the investing and operating activities sections in the condensed consolidated statements of cash flows. Repayments are presented as financing cash outflows in the condensed consolidated statements of cash flows. Interest expense for the three months ended March 31, 2022 was $0.1 million. Amounts outstanding under the payment agreements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480" w:type="dxa"/>
            <w:vAlign w:val="bottom"/>
          </w:tcPr>
          <w:p>
            <w:pPr>
              <w:jc w:val="right"/>
              <w:ind w:right="36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Principal</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3,714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3,714</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unamortized discount</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carrying amount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3,552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3,494</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portion (included in other long-term liabilities)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1,716</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1,688</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term of the lease through November 30, 2027. The lease includes an option to extend the term for a period of three years with rent payments equal to then current fair market rent for the space. The Company determined the extension option is not reasonably certain to be exercised. The lease contains a leasehold improvement incentive and escalating rent payments. In May 2021, the Company amended the lease to expand the premises subject to the lease to include an additional 14,710 square feet of space (the “Expansion Lease”). The Expansion Lease expires on December 31, 2022 and has no option to extend the term.</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August 2021, the Company entered into a noncancelable operating lease for approximately 100,000 square feet of space in Fremont, California to be used as the Company’s future corporate headquarters and expanded laboratory facility. The lease term is 13.5 years and commences in June 2022. The Company gained early access to the premises upon entering the lease for the purpose of constructing and installing tenant improvements, for which the landlord has agreed to contribute up to approximately $15.5 million ($0.9 million of which has been received through March 31, 2022). Such contributions become payable only upon approval by the landlord of applications for payment and are accounted for as lease incentives once the Company has incurred costs and the amounts qualify for reimbursement by the landlord. The lease incentives are then recognized prospectively over the remainder of the lease term. The lease expires on November 30, 2035 and includes two options to extend the term for a period of five-years per option with rent payments equal to then current fair market rent for the space. The Company determined the extension options are not reasonably certain to be exercised. The lease also contains escalating rent payments.</w:t>
      </w:r>
    </w:p>
    <w:p>
      <w:pPr>
        <w:spacing w:after="0" w:line="145"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6"/>
          <w:szCs w:val="16"/>
          <w:color w:val="auto"/>
        </w:rPr>
        <w:t>The Company also has a noncancelable operating lease for approximately 5,100 square feet of space in Shanghai, China used for its China operations, which expires on June 30, 2024, as well as various other short-term leases.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left="640"/>
        <w:spacing w:after="0"/>
        <w:rPr>
          <w:sz w:val="20"/>
          <w:szCs w:val="20"/>
          <w:color w:val="auto"/>
        </w:rPr>
      </w:pPr>
      <w:r>
        <w:rPr>
          <w:rFonts w:ascii="Arial" w:cs="Arial" w:eastAsia="Arial" w:hAnsi="Arial"/>
          <w:sz w:val="16"/>
          <w:szCs w:val="16"/>
          <w:color w:val="auto"/>
        </w:rPr>
        <w:t>Components of lease cost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Lease cost</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Operating lease cost</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2,174</w:t>
            </w:r>
          </w:p>
        </w:tc>
        <w:tc>
          <w:tcPr>
            <w:tcW w:w="160" w:type="dxa"/>
            <w:vAlign w:val="bottom"/>
          </w:tcPr>
          <w:p>
            <w:pPr>
              <w:spacing w:after="0"/>
              <w:rPr>
                <w:sz w:val="17"/>
                <w:szCs w:val="17"/>
                <w:color w:val="auto"/>
              </w:rPr>
            </w:pP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652</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lease cost</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Variable lease cost</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261</w:t>
            </w: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229</w:t>
            </w:r>
          </w:p>
        </w:tc>
      </w:tr>
      <w:tr>
        <w:trPr>
          <w:trHeight w:val="196"/>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lease cost</w:t>
            </w: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2,464</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9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951</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March 31, 2022, the Company’s operating leases had a weighted-average remaining lease term of 12.1 years and a weighted-average discount rate of 6.6%. The Company’s discount rates are based on estimates of its incremental borrowing rate, as the discount rates implicit in the leases cannot be readily determined. Future lease payments under operating leases as of March 31, 2022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Borders>
              <w:bottom w:val="single" w:sz="8" w:color="CFF0FC"/>
            </w:tcBorders>
          </w:tcPr>
          <w:p>
            <w:pPr>
              <w:spacing w:after="0"/>
              <w:rPr>
                <w:sz w:val="14"/>
                <w:szCs w:val="14"/>
                <w:color w:val="auto"/>
              </w:rPr>
            </w:pPr>
          </w:p>
        </w:tc>
        <w:tc>
          <w:tcPr>
            <w:tcW w:w="28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2022 (remaining nine months)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2,931</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2023</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6,196</w:t>
            </w: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6,803</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2025</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7,001</w:t>
            </w: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7,217</w:t>
            </w:r>
          </w:p>
        </w:tc>
      </w:tr>
      <w:tr>
        <w:trPr>
          <w:trHeight w:val="20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2027 and thereafter</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53,527</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83,675</w:t>
            </w:r>
          </w:p>
        </w:tc>
      </w:tr>
      <w:tr>
        <w:trPr>
          <w:trHeight w:val="20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(27,174)</w:t>
            </w:r>
          </w:p>
        </w:tc>
      </w:tr>
      <w:tr>
        <w:trPr>
          <w:trHeight w:val="196"/>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2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56,501</w:t>
            </w:r>
          </w:p>
        </w:tc>
      </w:tr>
      <w:tr>
        <w:trPr>
          <w:trHeight w:val="20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28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w:t>
            </w:r>
          </w:p>
        </w:tc>
      </w:tr>
      <w:tr>
        <w:trPr>
          <w:trHeight w:val="196"/>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8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52,364</w:t>
            </w:r>
          </w:p>
        </w:tc>
      </w:tr>
      <w:tr>
        <w:trPr>
          <w:trHeight w:val="20"/>
        </w:trPr>
        <w:tc>
          <w:tcPr>
            <w:tcW w:w="6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statements of cash flows, for the three months ended March 31, 2022 and 2021, was $0.9 million and $0.6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March 31, 2022</w:t>
            </w:r>
          </w:p>
        </w:tc>
      </w:tr>
      <w:tr>
        <w:trPr>
          <w:trHeight w:val="196"/>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stock awards</w:t>
            </w:r>
          </w:p>
        </w:tc>
        <w:tc>
          <w:tcPr>
            <w:tcW w:w="1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6,784,962</w:t>
            </w:r>
          </w:p>
        </w:tc>
      </w:tr>
      <w:tr>
        <w:trPr>
          <w:trHeight w:val="202"/>
        </w:trPr>
        <w:tc>
          <w:tcPr>
            <w:tcW w:w="9260" w:type="dxa"/>
            <w:vAlign w:val="bottom"/>
          </w:tcPr>
          <w:p>
            <w:pPr>
              <w:spacing w:after="0"/>
              <w:rPr>
                <w:sz w:val="20"/>
                <w:szCs w:val="20"/>
                <w:color w:val="auto"/>
              </w:rPr>
            </w:pPr>
            <w:r>
              <w:rPr>
                <w:rFonts w:ascii="Arial" w:cs="Arial" w:eastAsia="Arial" w:hAnsi="Arial"/>
                <w:sz w:val="16"/>
                <w:szCs w:val="16"/>
                <w:color w:val="auto"/>
              </w:rPr>
              <w:t>Reserved for future award grants</w:t>
            </w:r>
          </w:p>
        </w:tc>
        <w:tc>
          <w:tcPr>
            <w:tcW w:w="1980" w:type="dxa"/>
            <w:vAlign w:val="bottom"/>
          </w:tcPr>
          <w:p>
            <w:pPr>
              <w:jc w:val="right"/>
              <w:ind w:right="41"/>
              <w:spacing w:after="0"/>
              <w:rPr>
                <w:sz w:val="20"/>
                <w:szCs w:val="20"/>
                <w:color w:val="auto"/>
              </w:rPr>
            </w:pPr>
            <w:r>
              <w:rPr>
                <w:rFonts w:ascii="Arial" w:cs="Arial" w:eastAsia="Arial" w:hAnsi="Arial"/>
                <w:sz w:val="16"/>
                <w:szCs w:val="16"/>
                <w:color w:val="auto"/>
              </w:rPr>
              <w:t>4,708,084</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Reserved for future ESPP</w:t>
            </w:r>
          </w:p>
        </w:tc>
        <w:tc>
          <w:tcPr>
            <w:tcW w:w="1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1,032,393</w:t>
            </w:r>
          </w:p>
        </w:tc>
      </w:tr>
      <w:tr>
        <w:trPr>
          <w:trHeight w:val="196"/>
        </w:trPr>
        <w:tc>
          <w:tcPr>
            <w:tcW w:w="9260" w:type="dxa"/>
            <w:vAlign w:val="bottom"/>
          </w:tcPr>
          <w:p>
            <w:pPr>
              <w:ind w:left="260"/>
              <w:spacing w:after="0"/>
              <w:rPr>
                <w:sz w:val="20"/>
                <w:szCs w:val="20"/>
                <w:color w:val="auto"/>
              </w:rPr>
            </w:pPr>
            <w:r>
              <w:rPr>
                <w:rFonts w:ascii="Arial" w:cs="Arial" w:eastAsia="Arial" w:hAnsi="Arial"/>
                <w:sz w:val="16"/>
                <w:szCs w:val="16"/>
                <w:color w:val="auto"/>
              </w:rPr>
              <w:t>Total common stock reserved for stock awards</w:t>
            </w:r>
          </w:p>
        </w:tc>
        <w:tc>
          <w:tcPr>
            <w:tcW w:w="1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12,525,439</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three months ended March 31, 2022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45"/>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243"/>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160" w:type="dxa"/>
            <w:vAlign w:val="bottom"/>
          </w:tcPr>
          <w:p>
            <w:pPr>
              <w:spacing w:after="0"/>
              <w:rPr>
                <w:sz w:val="14"/>
                <w:szCs w:val="14"/>
                <w:color w:val="auto"/>
              </w:rPr>
            </w:pPr>
          </w:p>
        </w:tc>
        <w:tc>
          <w:tcPr>
            <w:tcW w:w="1240" w:type="dxa"/>
            <w:vAlign w:val="bottom"/>
          </w:tcPr>
          <w:p>
            <w:pPr>
              <w:jc w:val="right"/>
              <w:ind w:right="36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tcPr>
          <w:p>
            <w:pPr>
              <w:jc w:val="center"/>
              <w:ind w:right="25"/>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16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5,002,419</w:t>
            </w: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10.66</w:t>
            </w:r>
          </w:p>
        </w:tc>
        <w:tc>
          <w:tcPr>
            <w:tcW w:w="1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6.89</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28,308</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Options granted</w:t>
            </w:r>
          </w:p>
        </w:tc>
        <w:tc>
          <w:tcPr>
            <w:tcW w:w="2400" w:type="dxa"/>
            <w:vAlign w:val="bottom"/>
            <w:gridSpan w:val="2"/>
          </w:tcPr>
          <w:p>
            <w:pPr>
              <w:jc w:val="right"/>
              <w:ind w:right="43"/>
              <w:spacing w:after="0"/>
              <w:rPr>
                <w:sz w:val="20"/>
                <w:szCs w:val="20"/>
                <w:color w:val="auto"/>
              </w:rPr>
            </w:pPr>
            <w:r>
              <w:rPr>
                <w:rFonts w:ascii="Arial" w:cs="Arial" w:eastAsia="Arial" w:hAnsi="Arial"/>
                <w:sz w:val="16"/>
                <w:szCs w:val="16"/>
                <w:color w:val="auto"/>
              </w:rPr>
              <w:t>52,391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10.59</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(279,205)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Options cancelled</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(55,252)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14.52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2022</w:t>
            </w:r>
          </w:p>
        </w:tc>
        <w:tc>
          <w:tcPr>
            <w:tcW w:w="1160" w:type="dxa"/>
            <w:vAlign w:val="bottom"/>
            <w:tcBorders>
              <w:top w:val="single" w:sz="8" w:color="CFF0FC"/>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4,720,353</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FF0FC"/>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11.13</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40" w:type="dxa"/>
            <w:vAlign w:val="bottom"/>
            <w:tcBorders>
              <w:top w:val="single" w:sz="8" w:color="CFF0FC"/>
              <w:bottom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6.91</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FF0FC"/>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8,043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Options vested and exercisable as of March 31, 2022</w:t>
            </w:r>
          </w:p>
        </w:tc>
        <w:tc>
          <w:tcPr>
            <w:tcW w:w="2400" w:type="dxa"/>
            <w:vAlign w:val="bottom"/>
            <w:gridSpan w:val="2"/>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42"/>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line="20" w:lineRule="exact"/>
              <w:rPr>
                <w:sz w:val="1"/>
                <w:szCs w:val="1"/>
                <w:color w:val="auto"/>
              </w:rPr>
            </w:pPr>
          </w:p>
        </w:tc>
        <w:tc>
          <w:tcPr>
            <w:tcW w:w="1240" w:type="dxa"/>
            <w:vAlign w:val="bottom"/>
            <w:vMerge w:val="restart"/>
          </w:tcPr>
          <w:p>
            <w:pPr>
              <w:jc w:val="right"/>
              <w:ind w:right="45"/>
              <w:spacing w:after="0"/>
              <w:rPr>
                <w:sz w:val="20"/>
                <w:szCs w:val="20"/>
                <w:color w:val="auto"/>
              </w:rPr>
            </w:pPr>
            <w:r>
              <w:rPr>
                <w:rFonts w:ascii="Arial" w:cs="Arial" w:eastAsia="Arial" w:hAnsi="Arial"/>
                <w:sz w:val="16"/>
                <w:szCs w:val="16"/>
                <w:color w:val="auto"/>
              </w:rPr>
              <w:t>5.94</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44"/>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line="20" w:lineRule="exact"/>
              <w:rPr>
                <w:sz w:val="1"/>
                <w:szCs w:val="1"/>
                <w:color w:val="auto"/>
              </w:rPr>
            </w:pPr>
          </w:p>
        </w:tc>
      </w:tr>
      <w:tr>
        <w:trPr>
          <w:trHeight w:val="183"/>
        </w:trPr>
        <w:tc>
          <w:tcPr>
            <w:tcW w:w="46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2,985,922</w:t>
            </w:r>
          </w:p>
        </w:tc>
        <w:tc>
          <w:tcPr>
            <w:tcW w:w="28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17</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6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6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jc w:val="both"/>
        <w:ind w:right="160" w:firstLine="749"/>
        <w:spacing w:after="0" w:line="266" w:lineRule="auto"/>
        <w:rPr>
          <w:sz w:val="20"/>
          <w:szCs w:val="20"/>
          <w:color w:val="auto"/>
        </w:rPr>
      </w:pPr>
      <w:r>
        <w:rPr>
          <w:rFonts w:ascii="Arial" w:cs="Arial" w:eastAsia="Arial" w:hAnsi="Arial"/>
          <w:sz w:val="16"/>
          <w:szCs w:val="16"/>
          <w:color w:val="auto"/>
        </w:rPr>
        <w:t>The weighted-average grant date fair value of options granted was $6.59 and $28.21 per share for the three months ended March 31, 2022 and 2021, respectively. As of March 31, 2022, the unrecognized stock-based compensation cost of unvested options was $15.9 million, which is expected to be recognized over a weighted-average period of 2.2 years.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300" w:type="dxa"/>
            <w:vAlign w:val="bottom"/>
            <w:tcBorders>
              <w:bottom w:val="single" w:sz="8" w:color="CFF0FC"/>
            </w:tcBorders>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6"/>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6.00 - 6.08</w:t>
            </w:r>
          </w:p>
        </w:tc>
        <w:tc>
          <w:tcPr>
            <w:tcW w:w="1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6.00 - 6.08</w:t>
            </w: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68.37</w:t>
            </w:r>
          </w:p>
        </w:tc>
        <w:tc>
          <w:tcPr>
            <w:tcW w:w="1080" w:type="dxa"/>
            <w:vAlign w:val="bottom"/>
          </w:tcPr>
          <w:p>
            <w:pPr>
              <w:ind w:left="40"/>
              <w:spacing w:after="0"/>
              <w:rPr>
                <w:sz w:val="20"/>
                <w:szCs w:val="20"/>
                <w:color w:val="auto"/>
              </w:rPr>
            </w:pPr>
            <w:r>
              <w:rPr>
                <w:rFonts w:ascii="Arial" w:cs="Arial" w:eastAsia="Arial" w:hAnsi="Arial"/>
                <w:sz w:val="16"/>
                <w:szCs w:val="16"/>
                <w:color w:val="auto"/>
              </w:rPr>
              <w:t>- 69.10%</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68.06</w:t>
            </w:r>
          </w:p>
        </w:tc>
        <w:tc>
          <w:tcPr>
            <w:tcW w:w="1080" w:type="dxa"/>
            <w:vAlign w:val="bottom"/>
          </w:tcPr>
          <w:p>
            <w:pPr>
              <w:ind w:left="20"/>
              <w:spacing w:after="0"/>
              <w:rPr>
                <w:sz w:val="20"/>
                <w:szCs w:val="20"/>
                <w:color w:val="auto"/>
              </w:rPr>
            </w:pPr>
            <w:r>
              <w:rPr>
                <w:rFonts w:ascii="Arial" w:cs="Arial" w:eastAsia="Arial" w:hAnsi="Arial"/>
                <w:sz w:val="16"/>
                <w:szCs w:val="16"/>
                <w:color w:val="auto"/>
              </w:rPr>
              <w:t>- 69.27%</w:t>
            </w:r>
          </w:p>
        </w:tc>
      </w:tr>
      <w:tr>
        <w:trPr>
          <w:trHeight w:val="203"/>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- 2.13%</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1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- 1.06%</w:t>
            </w:r>
          </w:p>
        </w:tc>
      </w:tr>
      <w:tr>
        <w:trPr>
          <w:trHeight w:val="215"/>
        </w:trPr>
        <w:tc>
          <w:tcPr>
            <w:tcW w:w="7300" w:type="dxa"/>
            <w:vAlign w:val="bottom"/>
          </w:tcPr>
          <w:p>
            <w:pPr>
              <w:spacing w:after="0"/>
              <w:rPr>
                <w:sz w:val="20"/>
                <w:szCs w:val="20"/>
                <w:color w:val="auto"/>
              </w:rPr>
            </w:pPr>
            <w:r>
              <w:rPr>
                <w:rFonts w:ascii="Arial" w:cs="Arial" w:eastAsia="Arial" w:hAnsi="Arial"/>
                <w:sz w:val="16"/>
                <w:szCs w:val="16"/>
                <w:color w:val="auto"/>
              </w:rPr>
              <w:t>Dividend yield</w:t>
            </w:r>
          </w:p>
        </w:tc>
        <w:tc>
          <w:tcPr>
            <w:tcW w:w="800" w:type="dxa"/>
            <w:vAlign w:val="bottom"/>
          </w:tcPr>
          <w:p>
            <w:pPr>
              <w:spacing w:after="0"/>
              <w:rPr>
                <w:sz w:val="18"/>
                <w:szCs w:val="18"/>
                <w:color w:val="auto"/>
              </w:rPr>
            </w:pPr>
          </w:p>
        </w:tc>
        <w:tc>
          <w:tcPr>
            <w:tcW w:w="1240" w:type="dxa"/>
            <w:vAlign w:val="bottom"/>
            <w:gridSpan w:val="2"/>
          </w:tcPr>
          <w:p>
            <w:pPr>
              <w:jc w:val="center"/>
              <w:ind w:right="980"/>
              <w:spacing w:after="0"/>
              <w:rPr>
                <w:sz w:val="20"/>
                <w:szCs w:val="20"/>
                <w:color w:val="auto"/>
              </w:rPr>
            </w:pPr>
            <w:r>
              <w:rPr>
                <w:rFonts w:ascii="Arial" w:cs="Arial" w:eastAsia="Arial" w:hAnsi="Arial"/>
                <w:sz w:val="16"/>
                <w:szCs w:val="16"/>
                <w:color w:val="auto"/>
                <w:w w:val="94"/>
              </w:rPr>
              <w:t>–%</w:t>
            </w:r>
          </w:p>
        </w:tc>
        <w:tc>
          <w:tcPr>
            <w:tcW w:w="820" w:type="dxa"/>
            <w:vAlign w:val="bottom"/>
          </w:tcPr>
          <w:p>
            <w:pPr>
              <w:spacing w:after="0"/>
              <w:rPr>
                <w:sz w:val="18"/>
                <w:szCs w:val="18"/>
                <w:color w:val="auto"/>
              </w:rPr>
            </w:pPr>
          </w:p>
        </w:tc>
        <w:tc>
          <w:tcPr>
            <w:tcW w:w="1080" w:type="dxa"/>
            <w:vAlign w:val="bottom"/>
          </w:tcPr>
          <w:p>
            <w:pPr>
              <w:jc w:val="center"/>
              <w:ind w:right="759"/>
              <w:spacing w:after="0"/>
              <w:rPr>
                <w:sz w:val="20"/>
                <w:szCs w:val="20"/>
                <w:color w:val="auto"/>
              </w:rPr>
            </w:pPr>
            <w:r>
              <w:rPr>
                <w:rFonts w:ascii="Arial" w:cs="Arial" w:eastAsia="Arial" w:hAnsi="Arial"/>
                <w:sz w:val="16"/>
                <w:szCs w:val="16"/>
                <w:color w:val="auto"/>
              </w:rPr>
              <w:t>–%</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No performance-based stock option activity occurred during the three months ended March 31, 2022. As of March 31, 2022, stock options for 421,000 shares with an exercise price of $5.10 and a remaining contractual term of 7.96 years remained outstanding. The stock options are fully vested and exercisable and had an intrinsic value of $1.3 million as of March 31, 2022.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three months ended March 31, 2022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400" w:type="dxa"/>
            <w:vAlign w:val="bottom"/>
            <w:tcBorders>
              <w:bottom w:val="single" w:sz="8" w:color="auto"/>
            </w:tcBorders>
            <w:gridSpan w:val="6"/>
          </w:tcPr>
          <w:p>
            <w:pPr>
              <w:jc w:val="center"/>
              <w:ind w:left="982"/>
              <w:spacing w:after="0"/>
              <w:rPr>
                <w:sz w:val="20"/>
                <w:szCs w:val="20"/>
                <w:color w:val="auto"/>
              </w:rPr>
            </w:pPr>
            <w:r>
              <w:rPr>
                <w:rFonts w:ascii="Arial" w:cs="Arial" w:eastAsia="Arial" w:hAnsi="Arial"/>
                <w:sz w:val="14"/>
                <w:szCs w:val="14"/>
                <w:b w:val="1"/>
                <w:bCs w:val="1"/>
                <w:color w:val="auto"/>
              </w:rPr>
              <w:t>Unvested Restricted Stock Units</w:t>
            </w:r>
          </w:p>
        </w:tc>
        <w:tc>
          <w:tcPr>
            <w:tcW w:w="1180" w:type="dxa"/>
            <w:vAlign w:val="bottom"/>
            <w:tcBorders>
              <w:bottom w:val="single" w:sz="8" w:color="auto"/>
            </w:tcBorders>
          </w:tcPr>
          <w:p>
            <w:pPr>
              <w:spacing w:after="0"/>
              <w:rPr>
                <w:sz w:val="14"/>
                <w:szCs w:val="14"/>
                <w:color w:val="auto"/>
              </w:rPr>
            </w:pPr>
          </w:p>
        </w:tc>
      </w:tr>
      <w:tr>
        <w:trPr>
          <w:trHeight w:val="160"/>
        </w:trPr>
        <w:tc>
          <w:tcPr>
            <w:tcW w:w="6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2"/>
        </w:trPr>
        <w:tc>
          <w:tcPr>
            <w:tcW w:w="6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6660" w:type="dxa"/>
            <w:vAlign w:val="bottom"/>
          </w:tcPr>
          <w:p>
            <w:pPr>
              <w:spacing w:after="0"/>
              <w:rPr>
                <w:sz w:val="14"/>
                <w:szCs w:val="14"/>
                <w:color w:val="auto"/>
              </w:rPr>
            </w:pPr>
          </w:p>
        </w:tc>
        <w:tc>
          <w:tcPr>
            <w:tcW w:w="1420" w:type="dxa"/>
            <w:vAlign w:val="bottom"/>
          </w:tcPr>
          <w:p>
            <w:pPr>
              <w:jc w:val="right"/>
              <w:ind w:right="32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4"/>
                <w:szCs w:val="14"/>
                <w:color w:val="auto"/>
              </w:rPr>
            </w:pPr>
          </w:p>
        </w:tc>
        <w:tc>
          <w:tcPr>
            <w:tcW w:w="1180" w:type="dxa"/>
            <w:vAlign w:val="bottom"/>
          </w:tcPr>
          <w:p>
            <w:pPr>
              <w:jc w:val="right"/>
              <w:ind w:right="343"/>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666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420" w:type="dxa"/>
            <w:vAlign w:val="bottom"/>
          </w:tcPr>
          <w:p>
            <w:pPr>
              <w:jc w:val="right"/>
              <w:ind w:right="44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180" w:type="dxa"/>
            <w:vAlign w:val="bottom"/>
          </w:tcPr>
          <w:p>
            <w:pPr>
              <w:jc w:val="right"/>
              <w:ind w:right="363"/>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14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1,679,696</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16.35</w:t>
            </w: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23,969</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65,895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10.68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18.65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627</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(35,612)</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3"/>
              <w:spacing w:after="0"/>
              <w:rPr>
                <w:sz w:val="20"/>
                <w:szCs w:val="20"/>
                <w:color w:val="auto"/>
              </w:rPr>
            </w:pPr>
            <w:r>
              <w:rPr>
                <w:rFonts w:ascii="Arial" w:cs="Arial" w:eastAsia="Arial" w:hAnsi="Arial"/>
                <w:sz w:val="16"/>
                <w:szCs w:val="16"/>
                <w:color w:val="auto"/>
              </w:rPr>
              <w:t>16.53</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2022</w:t>
            </w:r>
          </w:p>
        </w:tc>
        <w:tc>
          <w:tcPr>
            <w:tcW w:w="1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1,643,609</w:t>
            </w:r>
          </w:p>
        </w:tc>
        <w:tc>
          <w:tcPr>
            <w:tcW w:w="340" w:type="dxa"/>
            <w:vAlign w:val="bottom"/>
            <w:tcBorders>
              <w:bottom w:val="single" w:sz="8" w:color="CFF0FC"/>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16.03</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13,461</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of March 31, 2022, the unrecognized stock-based compensation cost of unvested RSUs was $23.1 million, which is expected to be recognized over a weighted-average period of 2.7 years.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During the three months ended March 31, 2022 and 2021, no shares of common stock were purchased under the ESPP. Additionally, no grants for stock purchase rights were made during either period.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43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Stock options</w:t>
            </w:r>
          </w:p>
        </w:tc>
        <w:tc>
          <w:tcPr>
            <w:tcW w:w="33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2,396</w:t>
            </w:r>
          </w:p>
        </w:tc>
        <w:tc>
          <w:tcPr>
            <w:tcW w:w="16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Arial" w:cs="Arial" w:eastAsia="Arial" w:hAnsi="Arial"/>
                <w:sz w:val="16"/>
                <w:szCs w:val="16"/>
                <w:color w:val="auto"/>
              </w:rPr>
              <w:t>RSUs</w:t>
            </w:r>
          </w:p>
        </w:tc>
        <w:tc>
          <w:tcPr>
            <w:tcW w:w="3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2,168</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334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6"/>
        </w:trPr>
        <w:tc>
          <w:tcPr>
            <w:tcW w:w="438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3340" w:type="dxa"/>
            <w:vAlign w:val="bottom"/>
          </w:tcPr>
          <w:p>
            <w:pPr>
              <w:spacing w:after="0"/>
              <w:rPr>
                <w:sz w:val="17"/>
                <w:szCs w:val="17"/>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4,816</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340" w:type="dxa"/>
            <w:vAlign w:val="bottom"/>
            <w:vMerge w:val="restart"/>
          </w:tcPr>
          <w:p>
            <w:pPr>
              <w:jc w:val="right"/>
              <w:ind w:right="1924"/>
              <w:spacing w:after="0"/>
              <w:rPr>
                <w:sz w:val="20"/>
                <w:szCs w:val="20"/>
                <w:color w:val="auto"/>
              </w:rPr>
            </w:pPr>
            <w:r>
              <w:rPr>
                <w:rFonts w:ascii="Arial" w:cs="Arial" w:eastAsia="Arial" w:hAnsi="Arial"/>
                <w:sz w:val="16"/>
                <w:szCs w:val="16"/>
                <w:color w:val="auto"/>
              </w:rPr>
              <w:t>18</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3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3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8" w:name="page19"/>
    <w:bookmarkEnd w:id="18"/>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040" w:type="dxa"/>
            <w:vAlign w:val="bottom"/>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458</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288</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1,341</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728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3,017</w:t>
            </w:r>
          </w:p>
        </w:tc>
        <w:tc>
          <w:tcPr>
            <w:tcW w:w="16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2,041</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4,816</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3,057</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March 31, 2022, the Company was not involved in any material legal proceedings.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 The Company incurred net losses in the periods presented, and as a result, potential common shares from stock options, common stock warrants, RSUs, and the assumed release of outstanding shares under the ESPP were not included in the diluted shares used to calculate net loss per share, as their inclusion would have been anti-dilutive.</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net loss per common share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Weighted-average common shares outstanding—basic and diluted</w:t>
            </w:r>
          </w:p>
        </w:tc>
        <w:tc>
          <w:tcPr>
            <w:tcW w:w="360" w:type="dxa"/>
            <w:vAlign w:val="bottom"/>
          </w:tcPr>
          <w:p>
            <w:pPr>
              <w:spacing w:after="0"/>
              <w:rPr>
                <w:sz w:val="17"/>
                <w:szCs w:val="17"/>
                <w:color w:val="auto"/>
              </w:rPr>
            </w:pPr>
          </w:p>
        </w:tc>
        <w:tc>
          <w:tcPr>
            <w:tcW w:w="1320" w:type="dxa"/>
            <w:vAlign w:val="bottom"/>
          </w:tcPr>
          <w:p>
            <w:pPr>
              <w:jc w:val="right"/>
              <w:ind w:right="63"/>
              <w:spacing w:after="0"/>
              <w:rPr>
                <w:sz w:val="20"/>
                <w:szCs w:val="20"/>
                <w:color w:val="auto"/>
              </w:rPr>
            </w:pPr>
            <w:r>
              <w:rPr>
                <w:rFonts w:ascii="Arial" w:cs="Arial" w:eastAsia="Arial" w:hAnsi="Arial"/>
                <w:sz w:val="16"/>
                <w:szCs w:val="16"/>
                <w:color w:val="auto"/>
              </w:rPr>
              <w:t>44,995,752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42,265,596</w:t>
            </w: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per common share—basic and diluted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(0.63)</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(0.29)</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52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5360" w:type="dxa"/>
            <w:vAlign w:val="bottom"/>
            <w:gridSpan w:val="2"/>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80" w:type="dxa"/>
            <w:vAlign w:val="bottom"/>
          </w:tcPr>
          <w:p>
            <w:pPr>
              <w:jc w:val="right"/>
              <w:ind w:right="6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3680" w:type="dxa"/>
            <w:vAlign w:val="bottom"/>
            <w:tcBorders>
              <w:top w:val="single" w:sz="8" w:color="CFF0FC"/>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5,141,353</w:t>
            </w:r>
          </w:p>
        </w:tc>
        <w:tc>
          <w:tcPr>
            <w:tcW w:w="160" w:type="dxa"/>
            <w:vAlign w:val="bottom"/>
            <w:tcBorders>
              <w:top w:val="single" w:sz="8" w:color="CFF0FC"/>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5,301,728</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Unvested RSUs</w:t>
            </w:r>
          </w:p>
        </w:tc>
        <w:tc>
          <w:tcPr>
            <w:tcW w:w="5360" w:type="dxa"/>
            <w:vAlign w:val="bottom"/>
            <w:gridSpan w:val="2"/>
          </w:tcPr>
          <w:p>
            <w:pPr>
              <w:jc w:val="right"/>
              <w:ind w:right="62"/>
              <w:spacing w:after="0"/>
              <w:rPr>
                <w:sz w:val="20"/>
                <w:szCs w:val="20"/>
                <w:color w:val="auto"/>
              </w:rPr>
            </w:pPr>
            <w:r>
              <w:rPr>
                <w:rFonts w:ascii="Arial" w:cs="Arial" w:eastAsia="Arial" w:hAnsi="Arial"/>
                <w:sz w:val="16"/>
                <w:szCs w:val="16"/>
                <w:color w:val="auto"/>
              </w:rPr>
              <w:t>1,643,609</w:t>
            </w:r>
          </w:p>
        </w:tc>
        <w:tc>
          <w:tcPr>
            <w:tcW w:w="160" w:type="dxa"/>
            <w:vAlign w:val="bottom"/>
          </w:tcPr>
          <w:p>
            <w:pPr>
              <w:spacing w:after="0"/>
              <w:rPr>
                <w:sz w:val="17"/>
                <w:szCs w:val="17"/>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auto"/>
              </w:rPr>
              <w:t>638,998</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5360" w:type="dxa"/>
            <w:vAlign w:val="bottom"/>
            <w:gridSpan w:val="2"/>
            <w:shd w:val="clear" w:color="auto" w:fill="CFF0FC"/>
          </w:tcPr>
          <w:p>
            <w:pPr>
              <w:jc w:val="right"/>
              <w:ind w:right="62"/>
              <w:spacing w:after="0"/>
              <w:rPr>
                <w:sz w:val="20"/>
                <w:szCs w:val="20"/>
                <w:color w:val="auto"/>
              </w:rPr>
            </w:pPr>
            <w:r>
              <w:rPr>
                <w:rFonts w:ascii="Arial" w:cs="Arial" w:eastAsia="Arial" w:hAnsi="Arial"/>
                <w:sz w:val="16"/>
                <w:szCs w:val="16"/>
                <w:color w:val="auto"/>
              </w:rPr>
              <w:t>80,805</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57,546</w:t>
            </w:r>
          </w:p>
        </w:tc>
        <w:tc>
          <w:tcPr>
            <w:tcW w:w="0" w:type="dxa"/>
            <w:vAlign w:val="bottom"/>
          </w:tcPr>
          <w:p>
            <w:pPr>
              <w:spacing w:after="0"/>
              <w:rPr>
                <w:sz w:val="1"/>
                <w:szCs w:val="1"/>
                <w:color w:val="auto"/>
              </w:rPr>
            </w:pPr>
          </w:p>
        </w:tc>
      </w:tr>
      <w:tr>
        <w:trPr>
          <w:trHeight w:val="196"/>
        </w:trPr>
        <w:tc>
          <w:tcPr>
            <w:tcW w:w="4040" w:type="dxa"/>
            <w:vAlign w:val="bottom"/>
          </w:tcPr>
          <w:p>
            <w:pPr>
              <w:ind w:left="260"/>
              <w:spacing w:after="0"/>
              <w:rPr>
                <w:sz w:val="20"/>
                <w:szCs w:val="20"/>
                <w:color w:val="auto"/>
              </w:rPr>
            </w:pPr>
            <w:r>
              <w:rPr>
                <w:rFonts w:ascii="Arial" w:cs="Arial" w:eastAsia="Arial" w:hAnsi="Arial"/>
                <w:sz w:val="16"/>
                <w:szCs w:val="16"/>
                <w:color w:val="auto"/>
              </w:rPr>
              <w:t>Total</w:t>
            </w:r>
          </w:p>
        </w:tc>
        <w:tc>
          <w:tcPr>
            <w:tcW w:w="368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6,865,767</w:t>
            </w:r>
          </w:p>
        </w:tc>
        <w:tc>
          <w:tcPr>
            <w:tcW w:w="16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5,998,272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vMerge w:val="restart"/>
          </w:tcPr>
          <w:p>
            <w:pPr>
              <w:jc w:val="right"/>
              <w:ind w:right="1921"/>
              <w:spacing w:after="0"/>
              <w:rPr>
                <w:sz w:val="20"/>
                <w:szCs w:val="20"/>
                <w:color w:val="auto"/>
              </w:rPr>
            </w:pPr>
            <w:r>
              <w:rPr>
                <w:rFonts w:ascii="Arial" w:cs="Arial" w:eastAsia="Arial" w:hAnsi="Arial"/>
                <w:sz w:val="16"/>
                <w:szCs w:val="16"/>
                <w:color w:val="auto"/>
              </w:rPr>
              <w:t>19</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2021 filed with the Securities and Exchange Commission (the “SEC”) on February 24, 2022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Personalis’ strategy is to develop some of the world’s most advanced genetic tests for cancer. Today our tests are routinely used by many of the largest oncology-focused pharmaceutical companies for analysis of patient samples from their clinical trials. More recently, we have also begun to work with a growing number of leading cancer centers for clinical diagnostic use of our tests. We believe that adoption and publication by these key opinion leaders will advance standard of care for cancer patients and drive eventual broad use clinically. We believe that our tests can meaningfully improve outcomes for cancer patients, and estimate that an annual market opportunity of approximately $30 billion could materialize in the U.S. in the future.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December 2021, we launched NeXT Personal, a next-generation, tumor-informed liquid biopsy assay designed to detect and quantify MRD and recurrence in patients previously diagnosed with cancer. NeXT Personal is designed to deliver industry-leading MRD sensitivity down to the 1 part-per-million range, an approximately 10- to 100-fold improvement over other available technologies. NeXT Personal leverages whole genome sequencing of a patient’s tumor to identify up to 1,800 specially-selected somatic variants that are subsequently used to create a personalized liquid biopsy panel for each patient. We believe this enables earlier detection across a broader variety of cancers and stages, including typically challenging early stage, low mutational burden, and low-shedding cancers. NeXT Personal is also designed to simultaneously detect and quantify clinically relevant mutations in ctDNA that may be used in the future to help guide therapy, when cancer is detected. These include known targetable cancer mutations, drug resistance mutations, and new variants which can emerge and change over time, especially under therapeutic pressure. We consider this approach not just “tumor-informed”, but “comprehensively tumor-informed”. Our ultimate goal is not just to detect cancer, but to provide key information that is actionable by oncologists over the entire course of the patient’s disease. We believe this can be better for patients, more informative for pharmaceutical customers, and a larger business opportunity for us.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strategy is to work with world-class medical institutions. To that end, in the fourth quarter of 2021, we announced a collaboration with the Mayo Clinic and in the first quarter of 2022, we announced one with the Moores Cancer Center at UC San Diego Health. In these collaborations, we provide clinical diagnostic testing and analysis services using our tissue-based NeXT Dx test. We have begun to test clinical patient samples and are excited about the opportunity to work with these renowned cancer centers. If we achieve a favorable reimbursement decision for our NeXT Dx test from MolDx, we may also generate revenue in the future from some of these collaborations. Given the advanced nature of our NeXT Dx test, we believe it is a good fit for high-end cancer centers, which have a dual mandate for both clinical care and research. If these key opinion leaders have a positive experience using our tests, we are optimistic that this will also support broader use of our platform by other clinicians in the future.</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that capacity is already larger than most cancer genomics companies, and we continue to build automation and other infrastructure to scale further as demand increases and in support of our NeXT Liquid Biopsy, NeXT Dx Test and NeXT Personal offerings. To date, we have sequenced more than 250,000 human samples, of which more than 150,000 were whole human genomes.</w:t>
      </w:r>
    </w:p>
    <w:p>
      <w:pPr>
        <w:spacing w:after="0" w:line="13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parallel with the development of our platform technology, we have also pursued business within the population sequencing market, and we have provided whole genome sequencing services under contract with the U.S. Department of Veterans Affairs Million Veteran Program (the “VA MVP”), which has enabled us to innovate, scale our operational infrastructure, and achieve greater efficiencies in our lab. The VA MVP is the largest population sequencing effort in the United States and we have delivered over 150,000 whole human genome sequence datasets to the VA MVP to date. The cumulative value of task orders received from the VA MVP since inception is approximately $186 million, $181.6 million of which we had recognized as revenue as of March 31, 2022. In September 2021, we received a task order from the VA MVP with a value of up to approximately $9.7 million, which was significantly less than in prior years. At that time, we expected the reduced order amount to be followed by a formal request for proposal (“RFP”) process and a potential new contract to be awarded sometime late in the third quarter of 2022. We are aware that the VA MVP recently initiated a request for information process seeking potential sources to provide high-throughput whole genome sequencing services. However, we are not certain whether there will be a RFP process in 2022. Accordingly, we do not currently expect to receive any new orders from the VA MVP this year or to recognize any revenue from the VA MVP beyond the current order and contract. Unless we receive an additional task order and/or enter into a new services agreement with the VA MVP with a value comparable to that of our current contract and historical contracted orders, our revenue from the VA MVP will continue to decline significantly, and will cease after the second quarter of 2022. Given the strong growth we have already experienced in our oncology business in 2021 and the first quarter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2022, and the large market opportunity we see in this space for our technology and offerings, we plan to focus primarily on cancer as we go forward.</w:t>
      </w:r>
    </w:p>
    <w:p>
      <w:pPr>
        <w:spacing w:after="0" w:line="19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August 2021, we announced that we will relocate our corporate headquarters from Menlo Park to a new facility in Fremont, California. We plan to begin moving into the new facility in the third quarter of this year. We signed a 13.5-year lease for the 100,000 square foot facility, which is approximately double the amount of space in our current Menlo Park location. The new facility is intended to allow for expansion of our laboratory for clinical testing to support biopharma customers, clinical diagnostic testing and pursuit of U.S. Food and Drug Administration (the “FDA”) approval for our tests. In addition, the new space is intended to support the expansion of research and development efforts to bring leading edge products and services to the marketplace. The new facility will also provide more office space for our selling, general and administrative workforce.</w:t>
      </w:r>
    </w:p>
    <w:p>
      <w:pPr>
        <w:spacing w:after="0" w:line="1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have been impacted, and may be impacted in the future, by the ongoing COVID-19 pandemic. For example, the previous shelter-in-place order and health orders negatively impacted productivity, disrupted our business, and slowed research and development activities due to limited access to our laboratory space that would otherwise be used by our research and development group, and, to the extent such orders return in similar or more stringent form, they may continue to cause such effects on our operations. The COVID-19 pandemic has also disrupted, and may disrupt in the future,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have been delayed in sending us samples due to the inability to collect or ship samples during the COVID-19 pandemic, and these and additional customers may be disrupted from collecting samples or sending purchase orders and samples to us in the future.</w:t>
      </w:r>
    </w:p>
    <w:p>
      <w:pPr>
        <w:spacing w:after="0" w:line="145" w:lineRule="exact"/>
        <w:rPr>
          <w:sz w:val="20"/>
          <w:szCs w:val="20"/>
          <w:color w:val="auto"/>
        </w:rPr>
      </w:pPr>
    </w:p>
    <w:p>
      <w:pPr>
        <w:jc w:val="both"/>
        <w:ind w:firstLine="849"/>
        <w:spacing w:after="0" w:line="252"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Omicron variant in the U.S. and other countries and the potential emergence of other SARS-CoV-2 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56" w:lineRule="exact"/>
        <w:rPr>
          <w:sz w:val="20"/>
          <w:szCs w:val="20"/>
          <w:color w:val="auto"/>
        </w:rPr>
      </w:pPr>
    </w:p>
    <w:p>
      <w:pPr>
        <w:jc w:val="both"/>
        <w:ind w:firstLine="849"/>
        <w:spacing w:after="0" w:line="286"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derive our revenue primarily from sequencing and data analysis services to support the development of next-generation cancer therapies and to support large-scale genetic research programs. We support our customers by providing high-accuracy, validated genomic sequencing tests with advanced analytics. Many of these analytics are related to state-of-the-art biomarkers, including those relevant to immuno-oncology therapeutics such as checkpoint inhibitors.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revenue is primarily generated through contracts with companies in the pharmaceutical industry, healthcare organizations, and government entities. Our ability to increase revenue will depend on our ability to further penetrate this market. To do this, we are developing a growing set of state-of-the-art services and products, advancing our operational infrastructure, expanding our international presence, building our regulatory credentials, and expanding our targeted marketing efforts. We sell through a small direct sales force.</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Since 2018, we have derived a substantial portion of our revenue from sales of our DNA sequencing and data analysis services to the VA MVP. However, we currently do not anticipate deriving such substantial portions of our revenue from the VA MVP going forward. Our contract with the VA MVP does not include specific testing turnaround times. Therefore, we have the ability to modulate the volume of samples processed for the VA MVP up or down to complement sample volumes from all other customers, which can vary from period to period.</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and in the short term cost of revenue may outpace revenue growth as we invest in expanding our laboratory capacity, including additional costs associated with our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laboratory in Fremont, California. Over time the cost per sample processed is expected to decrease due to economies of scale we may gain as volume increases, automation initiatives, and other cost reductions.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These expenses consist primarily of personnel costs (salaries, bonuses, stock-based compensation, payroll taxes, and benefits), laboratory supplies and consumables, costs of processing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13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expense our research and development costs in the period in which they are incurred. We expect to increase our research and development expenses as we continue to develop new services and products and expand collaborations for clinical validation to secure reimbursement opportunities.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expect general and administrative expenses to increase as we scale our operations and incur additional costs associated with ramping up our new headquarters facility in Fremont, California.</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expense in 2022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We expect our foreign currency exchange gains and losses to continue to fluctuate in the future due to changes in foreign currency exchange rates.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4800" w:type="dxa"/>
            <w:vAlign w:val="bottom"/>
            <w:tcBorders>
              <w:bottom w:val="single" w:sz="8" w:color="CFF0FC"/>
            </w:tcBorders>
          </w:tcPr>
          <w:p>
            <w:pPr>
              <w:spacing w:after="0"/>
              <w:rPr>
                <w:sz w:val="14"/>
                <w:szCs w:val="14"/>
                <w:color w:val="auto"/>
              </w:rPr>
            </w:pPr>
          </w:p>
        </w:tc>
        <w:tc>
          <w:tcPr>
            <w:tcW w:w="29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9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15,227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20,881</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Costs and expenses</w:t>
            </w:r>
          </w:p>
        </w:tc>
        <w:tc>
          <w:tcPr>
            <w:tcW w:w="2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2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10,949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13,454</w:t>
            </w:r>
          </w:p>
        </w:tc>
        <w:tc>
          <w:tcPr>
            <w:tcW w:w="0" w:type="dxa"/>
            <w:vAlign w:val="bottom"/>
          </w:tcPr>
          <w:p>
            <w:pPr>
              <w:spacing w:after="0"/>
              <w:rPr>
                <w:sz w:val="1"/>
                <w:szCs w:val="1"/>
                <w:color w:val="auto"/>
              </w:rPr>
            </w:pP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17,098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9,496</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29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15,486</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10,421</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29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43,533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33,371</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Interest income</w:t>
            </w:r>
          </w:p>
        </w:tc>
        <w:tc>
          <w:tcPr>
            <w:tcW w:w="2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29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2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(12,407)</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(benefit from) income taxes</w:t>
            </w:r>
          </w:p>
        </w:tc>
        <w:tc>
          <w:tcPr>
            <w:tcW w:w="29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29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(28,209)</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3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CFF0FC"/>
            </w:tcBorders>
            <w:vMerge w:val="continue"/>
          </w:tcPr>
          <w:p>
            <w:pPr>
              <w:spacing w:after="0"/>
              <w:rPr>
                <w:sz w:val="19"/>
                <w:szCs w:val="19"/>
                <w:color w:val="auto"/>
              </w:rPr>
            </w:pPr>
          </w:p>
        </w:tc>
        <w:tc>
          <w:tcPr>
            <w:tcW w:w="29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29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44,995,752</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42,265,596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20" w:type="dxa"/>
            <w:vAlign w:val="bottom"/>
            <w:vMerge w:val="restart"/>
          </w:tcPr>
          <w:p>
            <w:pPr>
              <w:jc w:val="right"/>
              <w:ind w:right="1919"/>
              <w:spacing w:after="0"/>
              <w:rPr>
                <w:sz w:val="20"/>
                <w:szCs w:val="20"/>
                <w:color w:val="auto"/>
              </w:rPr>
            </w:pPr>
            <w:r>
              <w:rPr>
                <w:rFonts w:ascii="Arial" w:cs="Arial" w:eastAsia="Arial" w:hAnsi="Arial"/>
                <w:sz w:val="16"/>
                <w:szCs w:val="16"/>
                <w:color w:val="auto"/>
              </w:rPr>
              <w:t>22</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8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480" w:type="dxa"/>
            <w:vAlign w:val="bottom"/>
          </w:tcPr>
          <w:p>
            <w:pPr>
              <w:jc w:val="right"/>
              <w:ind w:right="36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266,540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287,064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Working capital</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254,184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286,918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380,647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396,528</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Total debt</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3,552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3,494</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54,088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54,914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93,932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86,227</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286,715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310,301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3560" w:type="dxa"/>
            <w:vAlign w:val="bottom"/>
          </w:tcPr>
          <w:p>
            <w:pPr>
              <w:spacing w:after="0"/>
              <w:rPr>
                <w:sz w:val="14"/>
                <w:szCs w:val="14"/>
                <w:color w:val="auto"/>
              </w:rPr>
            </w:pPr>
          </w:p>
        </w:tc>
        <w:tc>
          <w:tcPr>
            <w:tcW w:w="322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6"/>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VA MVP</w:t>
            </w:r>
          </w:p>
        </w:tc>
        <w:tc>
          <w:tcPr>
            <w:tcW w:w="21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3,501</w:t>
            </w:r>
          </w:p>
        </w:tc>
        <w:tc>
          <w:tcPr>
            <w:tcW w:w="1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13,210</w:t>
            </w:r>
          </w:p>
        </w:tc>
        <w:tc>
          <w:tcPr>
            <w:tcW w:w="1900" w:type="dxa"/>
            <w:vAlign w:val="bottom"/>
            <w:tcBorders>
              <w:top w:val="single" w:sz="8" w:color="CFF0FC"/>
            </w:tcBorders>
            <w:gridSpan w:val="2"/>
            <w:shd w:val="clear" w:color="auto" w:fill="CFF0FC"/>
          </w:tcPr>
          <w:p>
            <w:pPr>
              <w:jc w:val="right"/>
              <w:ind w:right="628"/>
              <w:spacing w:after="0"/>
              <w:rPr>
                <w:sz w:val="20"/>
                <w:szCs w:val="20"/>
                <w:color w:val="auto"/>
              </w:rPr>
            </w:pPr>
            <w:r>
              <w:rPr>
                <w:rFonts w:ascii="Arial" w:cs="Arial" w:eastAsia="Arial" w:hAnsi="Arial"/>
                <w:sz w:val="16"/>
                <w:szCs w:val="16"/>
                <w:color w:val="auto"/>
              </w:rPr>
              <w:t>(73%)</w:t>
            </w:r>
          </w:p>
        </w:tc>
      </w:tr>
      <w:tr>
        <w:trPr>
          <w:trHeight w:val="203"/>
        </w:trPr>
        <w:tc>
          <w:tcPr>
            <w:tcW w:w="3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1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11,726</w:t>
            </w:r>
          </w:p>
        </w:tc>
        <w:tc>
          <w:tcPr>
            <w:tcW w:w="1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7,671</w:t>
            </w:r>
          </w:p>
        </w:tc>
        <w:tc>
          <w:tcPr>
            <w:tcW w:w="1900" w:type="dxa"/>
            <w:vAlign w:val="bottom"/>
            <w:tcBorders>
              <w:bottom w:val="single" w:sz="8" w:color="CFF0FC"/>
            </w:tcBorders>
            <w:gridSpan w:val="2"/>
          </w:tcPr>
          <w:p>
            <w:pPr>
              <w:jc w:val="right"/>
              <w:ind w:right="688"/>
              <w:spacing w:after="0"/>
              <w:rPr>
                <w:sz w:val="20"/>
                <w:szCs w:val="20"/>
                <w:color w:val="auto"/>
              </w:rPr>
            </w:pPr>
            <w:r>
              <w:rPr>
                <w:rFonts w:ascii="Arial" w:cs="Arial" w:eastAsia="Arial" w:hAnsi="Arial"/>
                <w:sz w:val="16"/>
                <w:szCs w:val="16"/>
                <w:color w:val="auto"/>
              </w:rPr>
              <w:t>53%</w:t>
            </w:r>
          </w:p>
        </w:tc>
      </w:tr>
      <w:tr>
        <w:trPr>
          <w:trHeight w:val="196"/>
        </w:trPr>
        <w:tc>
          <w:tcPr>
            <w:tcW w:w="3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2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15,227</w:t>
            </w:r>
          </w:p>
        </w:tc>
        <w:tc>
          <w:tcPr>
            <w:tcW w:w="1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20,881</w:t>
            </w:r>
          </w:p>
        </w:tc>
        <w:tc>
          <w:tcPr>
            <w:tcW w:w="1900" w:type="dxa"/>
            <w:vAlign w:val="bottom"/>
            <w:tcBorders>
              <w:bottom w:val="single" w:sz="8" w:color="CFF0FC"/>
            </w:tcBorders>
            <w:gridSpan w:val="2"/>
            <w:shd w:val="clear" w:color="auto" w:fill="CFF0FC"/>
          </w:tcPr>
          <w:p>
            <w:pPr>
              <w:jc w:val="right"/>
              <w:ind w:right="628"/>
              <w:spacing w:after="0"/>
              <w:rPr>
                <w:sz w:val="20"/>
                <w:szCs w:val="20"/>
                <w:color w:val="auto"/>
              </w:rPr>
            </w:pPr>
            <w:r>
              <w:rPr>
                <w:rFonts w:ascii="Arial" w:cs="Arial" w:eastAsia="Arial" w:hAnsi="Arial"/>
                <w:sz w:val="16"/>
                <w:szCs w:val="16"/>
                <w:color w:val="auto"/>
              </w:rPr>
              <w:t>(27%)</w:t>
            </w:r>
          </w:p>
        </w:tc>
      </w:tr>
      <w:tr>
        <w:trPr>
          <w:trHeight w:val="20"/>
        </w:trPr>
        <w:tc>
          <w:tcPr>
            <w:tcW w:w="3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concentration of revenue by customer: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Natera, Inc.</w:t>
            </w:r>
          </w:p>
        </w:tc>
        <w:tc>
          <w:tcPr>
            <w:tcW w:w="1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5"/>
              </w:rPr>
              <w:t>*</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VA MVP</w:t>
            </w:r>
          </w:p>
        </w:tc>
        <w:tc>
          <w:tcPr>
            <w:tcW w:w="1680" w:type="dxa"/>
            <w:vAlign w:val="bottom"/>
          </w:tcPr>
          <w:p>
            <w:pPr>
              <w:ind w:left="62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1680" w:type="dxa"/>
            <w:vAlign w:val="bottom"/>
          </w:tcPr>
          <w:p>
            <w:pPr>
              <w:jc w:val="center"/>
              <w:ind w:right="41"/>
              <w:spacing w:after="0"/>
              <w:rPr>
                <w:sz w:val="20"/>
                <w:szCs w:val="20"/>
                <w:color w:val="auto"/>
              </w:rPr>
            </w:pPr>
            <w:r>
              <w:rPr>
                <w:rFonts w:ascii="Arial" w:cs="Arial" w:eastAsia="Arial" w:hAnsi="Arial"/>
                <w:sz w:val="16"/>
                <w:szCs w:val="16"/>
                <w:color w:val="auto"/>
                <w:w w:val="99"/>
              </w:rPr>
              <w:t>63%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1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9"/>
              </w:rPr>
              <w:t>12%</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decrease of $9.7 million in revenue from the VA MVP in the first quarter of 2022 was primarily due to a decrease in the volume of samples we tested in this period. As of March 31, 2022, we had a remaining backlog of $4.1 million under our current contract with the VA MVP, including the task order received in September 2021. We expect to convert such amount into revenue during the second quarter of 2022.</w:t>
      </w:r>
    </w:p>
    <w:p>
      <w:pPr>
        <w:spacing w:after="0" w:line="13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recognition of significant revenue from the VA MVP in future periods after the completion of our current backlog is contingent on receipt of a new contract with the VA MVP and it may not award us a new contract. Further, the value of any such potential new contract may be lower than our current contract and historical contracted orders from the VA MVP, and/or the scope or nature of the services required under any such new contract may change such that we are unable to serve the VA MVP in the future. The task order received in September 2021 had a value of up to approximately $9.7 million, which represents a substantial decline compared to historical contracted orders. At that time, we expected the reduced order amount to be followed by a formal RFP process and a potential new contract to be awarded sometime late in the third quarter of 2022. We are aware that the VA MVP recently initiated a request for information process seeking potential sources to provide high-throughput whole genome sequencing services. However, we are not certain whether there will be a RFP process in 2022. Accordingly, we are not currently expecting to receive any new orders from the VA MVP this year or to recognize any revenue beyond the current order and contract. Unless we receive an additional task order and/or enter into a new services agreement with the VA MVP with a value comparable to that of our current contract and historical contracted orders, our revenue from the VA MVP will continue to decline significantly, and will cease after the second quarter of 2022.</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increase of $4.1 million in revenue from all other customers in the first quarter of 2022 was driven primarily by strong demand from large pharmaceutical customers for our NeXT Platform services and products, which resulted in an increase in the volume of samples we tested during this period. Revenue from Natera, Inc. (“Natera”) contributed $3.9 million of the increase in revenue from all other customers due to increased sample receipts under our agreement to provide advanced tumor analysis for use in Natera’s MRD testing offerings. Revenue derived from our NeXT Platform services and products, which includes revenue from Natera, was $7.8 million in the first quarter of 2022, compared to $4.3 million in the first quarter of 2021, an increase of $3.5 million.</w:t>
      </w:r>
    </w:p>
    <w:p>
      <w:pPr>
        <w:spacing w:after="0" w:line="14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Based on the relatively large dollar value of orders received from all other customers throughout fiscal 2021 and the first quarter of 2022, we anticipate that revenue from all other customers will make up the majority of our total revenue in fiscal year 2022.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169"/>
        </w:trPr>
        <w:tc>
          <w:tcPr>
            <w:tcW w:w="57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6"/>
        </w:trPr>
        <w:tc>
          <w:tcPr>
            <w:tcW w:w="5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4"/>
          </w:tcPr>
          <w:p>
            <w:pPr>
              <w:jc w:val="right"/>
              <w:ind w:right="644"/>
              <w:spacing w:after="0"/>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020" w:type="dxa"/>
            <w:vAlign w:val="bottom"/>
            <w:shd w:val="clear" w:color="auto" w:fill="CFF0FC"/>
          </w:tcPr>
          <w:p>
            <w:pPr>
              <w:jc w:val="right"/>
              <w:ind w:right="84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10,949</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4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13,454</w:t>
            </w:r>
          </w:p>
        </w:tc>
        <w:tc>
          <w:tcPr>
            <w:tcW w:w="1880" w:type="dxa"/>
            <w:vAlign w:val="bottom"/>
            <w:gridSpan w:val="2"/>
            <w:shd w:val="clear" w:color="auto" w:fill="CFF0FC"/>
          </w:tcPr>
          <w:p>
            <w:pPr>
              <w:jc w:val="right"/>
              <w:ind w:right="628"/>
              <w:spacing w:after="0"/>
              <w:rPr>
                <w:sz w:val="20"/>
                <w:szCs w:val="20"/>
                <w:color w:val="auto"/>
              </w:rPr>
            </w:pPr>
            <w:r>
              <w:rPr>
                <w:rFonts w:ascii="Arial" w:cs="Arial" w:eastAsia="Arial" w:hAnsi="Arial"/>
                <w:sz w:val="16"/>
                <w:szCs w:val="16"/>
                <w:color w:val="auto"/>
              </w:rPr>
              <w:t>(19%)</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17,098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9,496</w:t>
            </w:r>
          </w:p>
        </w:tc>
        <w:tc>
          <w:tcPr>
            <w:tcW w:w="1880" w:type="dxa"/>
            <w:vAlign w:val="bottom"/>
            <w:gridSpan w:val="2"/>
          </w:tcPr>
          <w:p>
            <w:pPr>
              <w:jc w:val="right"/>
              <w:ind w:right="668"/>
              <w:spacing w:after="0"/>
              <w:rPr>
                <w:sz w:val="20"/>
                <w:szCs w:val="20"/>
                <w:color w:val="auto"/>
              </w:rPr>
            </w:pPr>
            <w:r>
              <w:rPr>
                <w:rFonts w:ascii="Arial" w:cs="Arial" w:eastAsia="Arial" w:hAnsi="Arial"/>
                <w:sz w:val="16"/>
                <w:szCs w:val="16"/>
                <w:color w:val="auto"/>
              </w:rPr>
              <w:t>80%</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15,486</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10,421</w:t>
            </w:r>
          </w:p>
        </w:tc>
        <w:tc>
          <w:tcPr>
            <w:tcW w:w="1880" w:type="dxa"/>
            <w:vAlign w:val="bottom"/>
            <w:gridSpan w:val="2"/>
            <w:shd w:val="clear" w:color="auto" w:fill="CFF0FC"/>
          </w:tcPr>
          <w:p>
            <w:pPr>
              <w:jc w:val="right"/>
              <w:ind w:right="668"/>
              <w:spacing w:after="0"/>
              <w:rPr>
                <w:sz w:val="20"/>
                <w:szCs w:val="20"/>
                <w:color w:val="auto"/>
              </w:rPr>
            </w:pPr>
            <w:r>
              <w:rPr>
                <w:rFonts w:ascii="Arial" w:cs="Arial" w:eastAsia="Arial" w:hAnsi="Arial"/>
                <w:sz w:val="16"/>
                <w:szCs w:val="16"/>
                <w:color w:val="auto"/>
              </w:rPr>
              <w:t>49%</w:t>
            </w:r>
          </w:p>
        </w:tc>
      </w:tr>
      <w:tr>
        <w:trPr>
          <w:trHeight w:val="196"/>
        </w:trPr>
        <w:tc>
          <w:tcPr>
            <w:tcW w:w="578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43,533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33,371</w:t>
            </w:r>
          </w:p>
        </w:tc>
        <w:tc>
          <w:tcPr>
            <w:tcW w:w="1880" w:type="dxa"/>
            <w:vAlign w:val="bottom"/>
            <w:gridSpan w:val="2"/>
          </w:tcPr>
          <w:p>
            <w:pPr>
              <w:jc w:val="right"/>
              <w:ind w:right="668"/>
              <w:spacing w:after="0"/>
              <w:rPr>
                <w:sz w:val="20"/>
                <w:szCs w:val="20"/>
                <w:color w:val="auto"/>
              </w:rPr>
            </w:pPr>
            <w:r>
              <w:rPr>
                <w:rFonts w:ascii="Arial" w:cs="Arial" w:eastAsia="Arial" w:hAnsi="Arial"/>
                <w:sz w:val="16"/>
                <w:szCs w:val="16"/>
                <w:color w:val="auto"/>
              </w:rPr>
              <w:t>30%</w:t>
            </w:r>
          </w:p>
        </w:tc>
      </w:tr>
      <w:tr>
        <w:trPr>
          <w:trHeight w:val="20"/>
        </w:trPr>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$2.5 million decrease in cost of revenue in the first quarter of 2022 was primarily due to lower levels of revenue, partially offset by higher labor costs, equipment costs, and facilities costs. The specific components of the decrease were a $3.5 million decrease in raw materials costs due to lower revenue levels and favorable customer mix, and a $1.2 million decrease in indirect costs due to a higher utilization of our laboratory for research and development activities, partially offset by a $1.2 million increase in labor costs as a result of increased headcount, a $0.6 million increase in the cost of laboratory supplies and consumables, and a $0.4 million increase in depreciation and maintenance on lab equipment.</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$7.6 million increase in research and development in the first quarter of 2022 was primarily due to new service and product development, increased hiring to build our clinical and medical infrastructure, and the cost of testing samples for clinical validation work. The specific components of the increase were a $3.9 million increase in personnel-related costs primarily related to increased headcount, a $2.6 million increase in sample processing costs incurred in our laboratory for new service and product development, a $0.7 million increase in IT and fixed facilities costs, and a $0.4 million increase in depreciation and maintenance on research and development equipment.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$5.1 million increase in selling, general and administrative in the first quarter of 2022 was primarily due to expansion of our commercial team. The specific components of the increase were a $2.8 million increase in personnel-related costs related to increased headcount, a $1.1 million increase in professional services (including corporate insurance, audit fees, and legal expenses), a $0.8 million increase in facilities costs driven by our new Fremont facility, and a $0.4 million increase in other sales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3040" w:type="dxa"/>
            <w:vAlign w:val="bottom"/>
            <w:tcBorders>
              <w:bottom w:val="single" w:sz="8" w:color="auto"/>
            </w:tcBorders>
            <w:gridSpan w:val="5"/>
          </w:tcPr>
          <w:p>
            <w:pPr>
              <w:jc w:val="right"/>
              <w:ind w:right="164"/>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Change</w:t>
            </w:r>
          </w:p>
        </w:tc>
      </w:tr>
      <w:tr>
        <w:trPr>
          <w:trHeight w:val="169"/>
        </w:trPr>
        <w:tc>
          <w:tcPr>
            <w:tcW w:w="5780" w:type="dxa"/>
            <w:vAlign w:val="bottom"/>
          </w:tcPr>
          <w:p>
            <w:pPr>
              <w:spacing w:after="0"/>
              <w:rPr>
                <w:sz w:val="14"/>
                <w:szCs w:val="14"/>
                <w:color w:val="auto"/>
              </w:rPr>
            </w:pPr>
          </w:p>
        </w:tc>
        <w:tc>
          <w:tcPr>
            <w:tcW w:w="1140" w:type="dxa"/>
            <w:vAlign w:val="bottom"/>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6"/>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140" w:type="dxa"/>
            <w:vAlign w:val="bottom"/>
            <w:tcBorders>
              <w:top w:val="single" w:sz="8" w:color="auto"/>
            </w:tcBorders>
            <w:shd w:val="clear" w:color="auto" w:fill="CFF0FC"/>
          </w:tcPr>
          <w:p>
            <w:pPr>
              <w:jc w:val="right"/>
              <w:ind w:right="964"/>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144</w:t>
            </w: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95</w:t>
            </w:r>
          </w:p>
        </w:tc>
        <w:tc>
          <w:tcPr>
            <w:tcW w:w="1880" w:type="dxa"/>
            <w:vAlign w:val="bottom"/>
            <w:tcBorders>
              <w:top w:val="single" w:sz="8" w:color="CFF0FC"/>
            </w:tcBorders>
            <w:gridSpan w:val="2"/>
            <w:shd w:val="clear" w:color="auto" w:fill="CFF0FC"/>
          </w:tcPr>
          <w:p>
            <w:pPr>
              <w:jc w:val="right"/>
              <w:ind w:right="664"/>
              <w:spacing w:after="0"/>
              <w:rPr>
                <w:sz w:val="20"/>
                <w:szCs w:val="20"/>
                <w:color w:val="auto"/>
              </w:rPr>
            </w:pPr>
            <w:r>
              <w:rPr>
                <w:rFonts w:ascii="Arial" w:cs="Arial" w:eastAsia="Arial" w:hAnsi="Arial"/>
                <w:sz w:val="16"/>
                <w:szCs w:val="16"/>
                <w:color w:val="auto"/>
              </w:rPr>
              <w:t>52%</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Interest expense</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584"/>
              <w:spacing w:after="0"/>
              <w:rPr>
                <w:sz w:val="20"/>
                <w:szCs w:val="20"/>
                <w:color w:val="auto"/>
              </w:rPr>
            </w:pPr>
            <w:r>
              <w:rPr>
                <w:rFonts w:ascii="Arial" w:cs="Arial" w:eastAsia="Arial" w:hAnsi="Arial"/>
                <w:sz w:val="16"/>
                <w:szCs w:val="16"/>
                <w:color w:val="auto"/>
              </w:rPr>
              <w:t>100%</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64"/>
              <w:spacing w:after="0"/>
              <w:rPr>
                <w:sz w:val="20"/>
                <w:szCs w:val="20"/>
                <w:color w:val="auto"/>
              </w:rPr>
            </w:pPr>
            <w:r>
              <w:rPr>
                <w:rFonts w:ascii="Arial" w:cs="Arial" w:eastAsia="Arial" w:hAnsi="Arial"/>
                <w:sz w:val="16"/>
                <w:szCs w:val="16"/>
                <w:color w:val="auto"/>
              </w:rPr>
              <w:t>NM</w:t>
            </w:r>
          </w:p>
        </w:tc>
      </w:tr>
      <w:tr>
        <w:trPr>
          <w:trHeight w:val="196"/>
        </w:trPr>
        <w:tc>
          <w:tcPr>
            <w:tcW w:w="5780" w:type="dxa"/>
            <w:vAlign w:val="bottom"/>
          </w:tcPr>
          <w:p>
            <w:pPr>
              <w:ind w:left="26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6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increase in interest income in the first quarter of 2022 was driven by increased yields on our investments during this period and higher average cash and investment balances after our follow-on equity offering in January 2021. Interest expense in the first quarter of 2022 is the recognition of imputed interest on noninterest bearing loans.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Other income (expense), net in the first quarter of 2022 consisted mainly of foreign currency remeasurements. Other income (expense), net in the first quarter of 2021 consisted of foreign currency remeasurements and a realized loss on the sale of a marketable debt security, each individually insignificant.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selected financial information and cash flow information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480" w:type="dxa"/>
            <w:vAlign w:val="bottom"/>
          </w:tcPr>
          <w:p>
            <w:pPr>
              <w:jc w:val="right"/>
              <w:ind w:right="36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266,540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287,064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7"/>
                <w:szCs w:val="17"/>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30,600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19,650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3,461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3,982</w:t>
            </w:r>
          </w:p>
        </w:tc>
      </w:tr>
      <w:tr>
        <w:trPr>
          <w:trHeight w:val="215"/>
        </w:trPr>
        <w:tc>
          <w:tcPr>
            <w:tcW w:w="7720" w:type="dxa"/>
            <w:vAlign w:val="bottom"/>
          </w:tcPr>
          <w:p>
            <w:pPr>
              <w:spacing w:after="0"/>
              <w:rPr>
                <w:sz w:val="20"/>
                <w:szCs w:val="20"/>
                <w:color w:val="auto"/>
              </w:rPr>
            </w:pPr>
            <w:r>
              <w:rPr>
                <w:rFonts w:ascii="Arial" w:cs="Arial" w:eastAsia="Arial" w:hAnsi="Arial"/>
                <w:sz w:val="16"/>
                <w:szCs w:val="16"/>
                <w:color w:val="auto"/>
              </w:rPr>
              <w:t>Working capital</w:t>
            </w:r>
          </w:p>
        </w:tc>
        <w:tc>
          <w:tcPr>
            <w:tcW w:w="280" w:type="dxa"/>
            <w:vAlign w:val="bottom"/>
          </w:tcPr>
          <w:p>
            <w:pPr>
              <w:spacing w:after="0"/>
              <w:rPr>
                <w:sz w:val="18"/>
                <w:szCs w:val="18"/>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254,184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286,918</w:t>
            </w:r>
          </w:p>
        </w:tc>
      </w:tr>
      <w:tr>
        <w:trPr>
          <w:trHeight w:val="366"/>
        </w:trPr>
        <w:tc>
          <w:tcPr>
            <w:tcW w:w="7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(3,161)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(82,544)</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515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162,849</w:t>
            </w:r>
          </w:p>
        </w:tc>
      </w:tr>
    </w:tbl>
    <w:p>
      <w:pPr>
        <w:spacing w:after="0" w:line="16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From our inception through March 31, 2022, we have funded our operations primarily from $279.0 million in net proceeds from our follow-on equity offerings in August 2020 and January 2021, $144.0 million in net proceeds from our IPO in June 2019, and $89.6 million from issuance of redeemable convertible preferred stock, as well as cash from operations and debt financings. As of March 31, 2022, we had cash and cash equivalents of $91.6 million and short-term investments of $175.0 million.</w:t>
      </w:r>
    </w:p>
    <w:p>
      <w:pPr>
        <w:spacing w:after="0" w:line="137"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2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an at-the-market offering program.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4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1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As of March 31, 2022, cash and cash equivalents held by foreign subsidiaries was $2.4 million. Our intent is to indefinitely reinvest funds held outside the United States and our current plans do not demonstrate a need to repatriate them to fund our domestic operations. However,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spacing w:after="0" w:line="15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During the first quarter of 2022, cash used in operating activities of $11.4 million was a result of $28.2 million of net loss, partially offset by non-cash adjustments to net income of $9.0 million (the most significant non-cash expense was $4.8 million of stock-based compensation) and a net positive change in operating assets and liabilities of $7.8 million (of which $4.9 million was due to collections of accounts receivable).</w:t>
      </w:r>
    </w:p>
    <w:p>
      <w:pPr>
        <w:spacing w:after="0" w:line="13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During the first quarter of 2021, cash used in operating activities of $11.7 million was a result of $12.4 million of net loss and a net negative change in operating assets and liabilities of $4.8 million (of which $2.8 million was related to reductions in outstanding customer prepayments as we fulfilled the related revenue contracts), partially offset by non-cash negative adjustments to net income of $5.5 million (the most significant non-cash expense was $3.1 million of stock-based compensation).</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During the first quarter of 2022, cash used in investing activities was $3.2 million due to $8.6 million in property and equipment purchases, partially offset by net proceeds from short-term investments of $5.4 million. Cash provided by financing activities of $0.5 million during the same period consisted of proceeds from stock option exercises.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jc w:val="both"/>
        <w:ind w:firstLine="749"/>
        <w:spacing w:after="0" w:line="259" w:lineRule="auto"/>
        <w:rPr>
          <w:sz w:val="20"/>
          <w:szCs w:val="20"/>
          <w:color w:val="auto"/>
        </w:rPr>
      </w:pPr>
      <w:r>
        <w:rPr>
          <w:rFonts w:ascii="Arial" w:cs="Arial" w:eastAsia="Arial" w:hAnsi="Arial"/>
          <w:sz w:val="16"/>
          <w:szCs w:val="16"/>
          <w:color w:val="auto"/>
        </w:rPr>
        <w:t>During the first quarter of 2021, cash used in investing activities was $82.5 million due to net purchases of short-term investments of $82.1 million and $0.4 million in property and equipment purchases. Cash provided by financing activities of $162.8 million during the same period consisted of $162.3 million in net proceeds from our January 2021 follow-on offering, and $0.9 million in proceeds from stock option exercises, partially offset by $0.3 million of offering costs.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material cash requirements in the short- and long-term consist primarily of capital expenditures, variable costs of revenue, operating expenditures, property leases, and other. We plan to fund our material cash requirements with our existing cash and cash equivalents and short-term investments, which amounted to $266.5 million as of March 31, 2022,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3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We expect to increase capital expenditures in future periods to support our global growth initiatives. Such expenditures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consist primarily of facility renovations and improvements, laboratory equipment, and computer equipment. We currently expect capital expenditures to be between $50 and $55 million in 2022 and between $10 and $15 million in each of the next two fiscal years. In connection with our new headquarters and laboratory facility in Fremont, California, we expect to spend between $35 and $40 million (net of expected landlord reimbursements) in combined leasehold improvements, renovations, administrative, and other costs through the end of 2022. This is the reason for greater expected capital expenditures in 2022 as compared to the following two years.</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i w:val="1"/>
          <w:iCs w:val="1"/>
          <w:color w:val="auto"/>
        </w:rPr>
        <w:t xml:space="preserve">Variable costs of revenue. </w:t>
      </w:r>
      <w:r>
        <w:rPr>
          <w:rFonts w:ascii="Arial" w:cs="Arial" w:eastAsia="Arial" w:hAnsi="Arial"/>
          <w:sz w:val="16"/>
          <w:szCs w:val="16"/>
          <w:color w:val="auto"/>
        </w:rPr>
        <w:t>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Another primary use of cash within variable costs of revenue relates to paying our workforce. We currently expect spend to decrease in 2022 but increase in years thereafter to support revenue growth.</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 xml:space="preserve">Operating expenditures. </w:t>
      </w:r>
      <w:r>
        <w:rPr>
          <w:rFonts w:ascii="Arial" w:cs="Arial" w:eastAsia="Arial" w:hAnsi="Arial"/>
          <w:sz w:val="16"/>
          <w:szCs w:val="16"/>
          <w:color w:val="auto"/>
        </w:rPr>
        <w:t>Our primary use of cash relates to paying employees, spend on professional services, spend related to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projects, and other costs related to our research and development, selling, general and administrative functions. We currently expect to increase our spend in these areas to support our business growth in 2022. On a long-term basis, we manage future cash requirements relative to our long-term business plans.</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$83.7 million as of March 31, 2022. The timing of these future payments,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year, can be found in Part I, Item 1 of this Form 10-Q in the Notes to Consolidated Financial Statements in Note 7, “Leases.”</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During the second quarter of 2021, we entered into two noninterest bearing loans to finance the purchase of $5.6 million of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internal use software licenses, and related ongoing support. We are required to make payments of $1.86 million in each of 2022 and 2023. No payments were due in the first quarter of 2022. Further discussion of this transaction can be found in Part I, Item 1 of this Form 10-Q in the Notes to Consolidated Financial Statements in Note 6, “Loans.”</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As of March 31, 2022, we had approximately $3.4 million in customer deposits, including $2.8 million from one customer.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do not expect such repayments to require material amounts of cash.</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jc w:val="both"/>
        <w:ind w:firstLine="749"/>
        <w:spacing w:after="0" w:line="266"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2021 under the caption “Critical Accounting Policies and Estimates” in Management’s Discussion and Analysis of Financial Condition and Results of Operations, set forth in Part II, Item 7.</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unaudited condensed consolidated financial statements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Sensitivity</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or exchange rates.</w:t>
      </w:r>
    </w:p>
    <w:p>
      <w:pPr>
        <w:spacing w:after="0" w:line="11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March 31, 2022, we had cash and cash equivalents of $91.6 million, consisting of cash held in bank accounts and money market funds denominated in U.S. dollars. Cash equivalents also include commercial paper, corporate debt securities, and U.S. treasuries, which are highly liquid marketable debt securities with maturities at the time of purchase of three months or less. As of March 31, 2022, we held short-term marketable debt securities of $175.0 million, consisting of U.S. agency bonds, commercial paper, corporate bonds, U.S. treasuries, non-U.S. government securities, and asset-backed securities. Our primary exposure to market risk is interest income sensitivity, which is affected by changes in the general level of interest rates in the United States. As of March 31, 2022, a hypothetical 100 basis point increase in interest rates would have resulted in an approximate $0.9 million decline in the fair value of our marketable debt securities and a hypothetical 100 basis point decrease in interest rates would have resulted in an approximate $0.8 million increase in the fair value of our marketable debt securities. This estimate is based on a sensitivity model that measures market value changes when changes in interest rates occur. A 100 basis point change in interest rates would not have a material effect on the fair market value of our cash and cash equivalents, exclusive of the marketable debt securities.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do not enter into investments for trading purposes and have not used any derivative financial instruments to manage our interest rate risk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exposure.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majority of our revenue, expense, and capital purchasing activities are transacted in U.S. dollars. An insignificant portion of our operations consists of activities outside of the U.S. transacted in other currencies, primarily the Chinese renminbi and British pound. To date, our results of operations and cash flows are not materially impacted by foreign currency movements. As we expand our presence in the international market, our results of operations and cash flows are expected to increasingly be subject to fluctuations due to changes in foreign currency exchange rates and may be adversely affected in the future due to changes in foreign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March 31, 2022,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Limitations on Controls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96"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13" w:lineRule="exact"/>
        <w:rPr>
          <w:sz w:val="20"/>
          <w:szCs w:val="20"/>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156" w:lineRule="exact"/>
        <w:rPr>
          <w:rFonts w:ascii="Times New Roman" w:cs="Times New Roman" w:eastAsia="Times New Roman" w:hAnsi="Times New Roman"/>
          <w:sz w:val="16"/>
          <w:szCs w:val="16"/>
          <w:color w:val="auto"/>
        </w:rPr>
      </w:pPr>
    </w:p>
    <w:p>
      <w:pPr>
        <w:jc w:val="both"/>
        <w:ind w:left="740" w:hanging="368"/>
        <w:spacing w:after="0" w:line="266"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70"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our largest customers, the VA MVP and Natera.</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have a negative impact on our business and our ability to achieve or sustain profitability.</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156"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156" w:lineRule="exact"/>
        <w:rPr>
          <w:rFonts w:ascii="Times New Roman" w:cs="Times New Roman" w:eastAsia="Times New Roman" w:hAnsi="Times New Roman"/>
          <w:sz w:val="16"/>
          <w:szCs w:val="16"/>
          <w:color w:val="auto"/>
        </w:rPr>
      </w:pPr>
    </w:p>
    <w:p>
      <w:pPr>
        <w:jc w:val="both"/>
        <w:ind w:left="740" w:hanging="368"/>
        <w:spacing w:after="0" w:line="266"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170"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156"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233"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56"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13" w:lineRule="exact"/>
        <w:rPr>
          <w:sz w:val="20"/>
          <w:szCs w:val="20"/>
          <w:color w:val="auto"/>
        </w:rPr>
      </w:pPr>
    </w:p>
    <w:p>
      <w:pPr>
        <w:ind w:left="740" w:hanging="368"/>
        <w:spacing w:after="0" w:line="285"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6" w:lineRule="exact"/>
        <w:rPr>
          <w:rFonts w:ascii="Times New Roman" w:cs="Times New Roman" w:eastAsia="Times New Roman" w:hAnsi="Times New Roman"/>
          <w:sz w:val="16"/>
          <w:szCs w:val="16"/>
          <w:color w:val="auto"/>
        </w:rPr>
      </w:pPr>
    </w:p>
    <w:p>
      <w:pPr>
        <w:jc w:val="both"/>
        <w:ind w:left="740" w:hanging="368"/>
        <w:spacing w:after="0" w:line="274"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362"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If we decide to grow our business by developing in vitro diagnostic tests, we may be subject to reimbursement challenges.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ind w:left="740" w:hanging="368"/>
        <w:spacing w:after="0" w:line="285" w:lineRule="auto"/>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exit of the United Kingdom from the EU could lead to further regulatory divergence and require us to incur additional expenses in order to develop, manufacture, and commercialize our products and services.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13" w:lineRule="exact"/>
        <w:rPr>
          <w:sz w:val="20"/>
          <w:szCs w:val="20"/>
          <w:color w:val="auto"/>
        </w:rPr>
      </w:pPr>
    </w:p>
    <w:p>
      <w:pPr>
        <w:ind w:left="740" w:right="20" w:hanging="368"/>
        <w:spacing w:after="0" w:line="285"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156"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233" w:lineRule="exact"/>
        <w:rPr>
          <w:rFonts w:ascii="Times New Roman" w:cs="Times New Roman" w:eastAsia="Times New Roman" w:hAnsi="Times New Roman"/>
          <w:sz w:val="16"/>
          <w:szCs w:val="16"/>
          <w:color w:val="auto"/>
        </w:rPr>
      </w:pPr>
    </w:p>
    <w:p>
      <w:pPr>
        <w:jc w:val="both"/>
        <w:ind w:left="740" w:hanging="368"/>
        <w:spacing w:after="0" w:line="266"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170"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233"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13" w:lineRule="exact"/>
        <w:rPr>
          <w:sz w:val="20"/>
          <w:szCs w:val="20"/>
          <w:color w:val="auto"/>
        </w:rPr>
      </w:pPr>
    </w:p>
    <w:p>
      <w:pPr>
        <w:ind w:left="740" w:right="20" w:hanging="368"/>
        <w:spacing w:after="0" w:line="285"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56"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233"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233" w:lineRule="exact"/>
        <w:rPr>
          <w:rFonts w:ascii="Times New Roman" w:cs="Times New Roman" w:eastAsia="Times New Roman" w:hAnsi="Times New Roman"/>
          <w:sz w:val="16"/>
          <w:szCs w:val="16"/>
          <w:color w:val="auto"/>
        </w:rPr>
      </w:pPr>
    </w:p>
    <w:p>
      <w:pPr>
        <w:ind w:left="740" w:right="20" w:hanging="368"/>
        <w:spacing w:after="0" w:line="285"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156" w:lineRule="exact"/>
        <w:rPr>
          <w:rFonts w:ascii="Times New Roman" w:cs="Times New Roman" w:eastAsia="Times New Roman" w:hAnsi="Times New Roman"/>
          <w:sz w:val="16"/>
          <w:szCs w:val="16"/>
          <w:color w:val="auto"/>
        </w:rPr>
      </w:pPr>
    </w:p>
    <w:p>
      <w:pPr>
        <w:ind w:left="740" w:hanging="368"/>
        <w:spacing w:after="0" w:line="285"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156"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233" w:lineRule="exact"/>
        <w:rPr>
          <w:rFonts w:ascii="Times New Roman" w:cs="Times New Roman" w:eastAsia="Times New Roman" w:hAnsi="Times New Roman"/>
          <w:sz w:val="16"/>
          <w:szCs w:val="16"/>
          <w:color w:val="auto"/>
        </w:rPr>
      </w:pPr>
    </w:p>
    <w:p>
      <w:pPr>
        <w:jc w:val="both"/>
        <w:ind w:left="740" w:hanging="368"/>
        <w:spacing w:after="0" w:line="259" w:lineRule="auto"/>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177"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Risk Factors.</w:t>
      </w:r>
    </w:p>
    <w:p>
      <w:pPr>
        <w:spacing w:after="0" w:line="18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incurred net losses since our inception. For the years ended December 31, 2021, 2020, and 2019 we had net losses of $65.2 million, $41.3 million, and $25.1 million, respectively. For the three months ended March 31, 2022, we had a net loss of $28.2 million. As of March 31, 2022, we had an accumulated deficit of $275.3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58"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29"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recruitment, hiring, and retention of our commercial team personnel;</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7" w:lineRule="exact"/>
        <w:rPr>
          <w:rFonts w:ascii="Times New Roman" w:cs="Times New Roman" w:eastAsia="Times New Roman" w:hAnsi="Times New Roman"/>
          <w:sz w:val="16"/>
          <w:szCs w:val="16"/>
          <w:color w:val="auto"/>
        </w:rPr>
      </w:pPr>
    </w:p>
    <w:p>
      <w:pPr>
        <w:ind w:left="1120" w:hanging="370"/>
        <w:spacing w:after="0" w:line="248" w:lineRule="auto"/>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convince our customers and potential customers of the utility of the comprehensiveness of our services and of testing patients at multiple time points;</w:t>
      </w: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continue to fund sales and marketing activities;</w:t>
      </w:r>
    </w:p>
    <w:p>
      <w:pPr>
        <w:spacing w:after="0" w:line="1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services are considered superior to those of our competitors;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enforcing and defending intellectual property rights and claims.</w:t>
      </w:r>
    </w:p>
    <w:p>
      <w:pPr>
        <w:spacing w:after="0" w:line="15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 w:name="page32"/>
    <w:bookmarkEnd w:id="31"/>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disrupted, and may disrupt in the future,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or if other supply chain issues arise as a result of the COVID-19 pandemic. Several of our customers have been delayed in sending us samples due to the inability to collect or ship samples during the COVID-19 pandemic, and these and additional customers may be disrupted from collecting samples or sending purchase orders or samples to us in the future.</w:t>
      </w:r>
    </w:p>
    <w:p>
      <w:pPr>
        <w:spacing w:after="0" w:line="14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Delta and Omicron variants in the U.S. and other countries and the potential emergence of other SARS-CoV-2 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While vaccines for COVID-19 have been developed and administered, and the spread of COVID-19 may eventually be contained or mitigated, we cannot predict the timing of the vaccine roll-out globally (including boosters to vaccinations), the percentage of the population that becomes vaccinated, or the efficacy of such vaccines against Delta, Omicron or other variants, and we do not yet know how businesses, advertisers, or our partners will operate in a post COVID-19 environment. In addition, there is no guarantee that a future outbreak of this or any other widespread epidemics will not occur, or that the global economy will recover, either of which could seriously harm our business. The ultimate impact of the COVID-19 pandemic or a similar health epidemic on our business, operations, or the global economy as a whole remains highly uncertain, but a continued and prolonged public health crisis could have a material negative impact on our business, financial condition, and operating results.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Some of our present or potential competitors, including Adaptive Biotechnologies Corporation, Adela, Inc., ArcherDx, Inc., which was acquired by Invitae Corporation in October 2020, BillionToOne, Inc., C2i Genomics, Inc., Caris Life Sciences, Inc., Covance Inc., which was acquired by Laboratory Corporation of America Holdings in February 2015, Foresight Diagnostics, Inc., Foundation Medicine, Inc., which was acquired by Roche Holdings, Inc. in July 2018, Freenome, Inc., Geneseeq Technology Inc., Genosity, Inc., which was acquired by Invitae Corporation in April 2021, GRAIL, which Illumina announced that it had acquired in August 2021, Guardant Health, Inc., Inivata Limited, which was acquired by NeoGenomics, Inc. in June 2021, Invitae Corporation, Mount Sinai Genomics, Inc. which does business under the name Sema4, Natera, NanoString Technologies, Inc., NeoGenomics, Inc., Personal Genome Diagnostics, Inc., Predicine, Inc., Roche Molecular Systems, Inc., and Tempus, Inc., may have more widespread brand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6"/>
          <w:szCs w:val="16"/>
          <w:color w:val="auto"/>
        </w:rPr>
        <w:t>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three months ended March 31, 2022, revenue under our agreement accounted for 27%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For example, in August 2021, Illumina announced it completed its acquisition of GRAIL, a company focused on early cancer detection and potentially other forms of cancer analysis using next-generation sequencing technology, which we view as a potential competitor. Illumina is also one of our significant suppliers. See “—We rely on a limited number of suppliers, or in some cases, a sole supplier, for some of our laboratory instruments and materials, and we may not be able to find replacements or immediately transition to alternative suppliers should we need to do so.”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6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4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34"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our largest customers, the VA MVP and Natera.</w:t>
      </w:r>
    </w:p>
    <w:p>
      <w:pPr>
        <w:spacing w:after="0" w:line="13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VA MVP, which accounted for 23% and 63% of our revenue for the three months ended March 31, 2022 and 2021, respectively. Revenue from Natera accounted for 27% of our revenue for the three months ended March 31, 2022. Our top five customers, including the VA MVP, accounted for 73% and 87% of our revenue for the three months ended March 31, 2022 and 2021,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including Natera, these customers are not required to purchase a minimum number of analyses. Some of our customers have in the past suspended or terminated clinical trials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jc w:val="both"/>
        <w:spacing w:after="0" w:line="250" w:lineRule="auto"/>
        <w:rPr>
          <w:sz w:val="20"/>
          <w:szCs w:val="20"/>
          <w:color w:val="auto"/>
        </w:rPr>
      </w:pPr>
      <w:r>
        <w:rPr>
          <w:rFonts w:ascii="Arial" w:cs="Arial" w:eastAsia="Arial" w:hAnsi="Arial"/>
          <w:sz w:val="16"/>
          <w:szCs w:val="16"/>
          <w:color w:val="auto"/>
        </w:rPr>
        <w:t>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the VA MVP terminates our services for convenience, which it is permitted to do, such termination would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4" w:lineRule="exact"/>
        <w:rPr>
          <w:sz w:val="20"/>
          <w:szCs w:val="20"/>
          <w:color w:val="auto"/>
        </w:rPr>
      </w:pPr>
    </w:p>
    <w:p>
      <w:pPr>
        <w:jc w:val="both"/>
        <w:ind w:left="760"/>
        <w:spacing w:after="0" w:line="258"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if the VA MVP conducts a competitive bid process for the next contract and we do not win, or if the VA MVP does not award any such contract on a timely basis or at all, our business, financial condition, revenue and other operating results, and cash flows will be materially harmed.</w:t>
      </w:r>
    </w:p>
    <w:p>
      <w:pPr>
        <w:spacing w:after="0" w:line="13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currently derive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The current contract does not include a renewal option. For us to provide additional services to the VA MVP after completion of the current contract, we would need to receive an additional task order and/or enter into a new services agreement with the VA MVP, neither of which had occurred as of the date of filing this quarterly report.</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if any. However, there may not be any such potential bidding process or new contract awarded on a timely basis or at all, we may not win any such potential new contract in any such potential bidding process, the value of any such potential new contract or the VA MVP contracted orders thereunder may be lower than our current contract and historical contracted orders from the VA MVP, and/or the scope or nature of the services required under such new contract may change such that we are unable to serve the VA MVP in the future.</w:t>
      </w:r>
    </w:p>
    <w:p>
      <w:pPr>
        <w:spacing w:after="0" w:line="1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for our services among other factors. For example, the VA MVP contracted order received in September 2020 had a value of up to approximately $31 million, whereas the VA MVP contracted order received in September 2021 has a value of up to approximately $9.7 million, which represents a substantial decline. We are aware that the VA MVP recently initiated a request for information process seeking potential sources to provide high-throughput whole genome sequencing services. However, we are not certain there will be a RFP process in 2022. Accordingly, we are not currently expecting to receive any new orders from the VA MVP this year or to recognize any revenue beyond the current order and contract. Unless we receive an additional task order and/or enter into a new services agreement with the VA MVP with a value comparable to that of our current contract and historical contracted orders, our revenue from the VA MVP will decline significantly, and will cease after the second quarter of 2022.</w:t>
      </w:r>
    </w:p>
    <w:p>
      <w:pPr>
        <w:spacing w:after="0" w:line="14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no certainty that funding will be made available for our services, or that the VA MVP will award any future contracts, contract renewals or contracted orders to us. If the priorities of the VA, the VA MVP, or the U.S. government have changed or change in the future, including in response to the COVID-19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our business, financial condition, revenue and other operating results and cash flows will be materially harmed. The success of our business and our future operating results are significantly dependent on the VA MVP’s continued demand and receipt of funding for use of our services and the terms of our sales to the VA MVP, including the price per sample, the number of samples and the timing of the VA MVP’s deliveries of samples. Furthermore, we only recognize revenue under our VA MVP contract upon the receipt and processing of samples, and the timing and number of VA MVP samples we receive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For example, even if the VA MVP initiates a new RFP process in 2022 and we win a contract and order with a value comparable to that of the September 2020 contracted order, the revenue we recognize under such potential new contract and order may be less than the revenue we recognized during the 2020-2021 contract year. The timing and number of VA MVP samples may also continue to be negatively affected by the COVID-19 pandemic. For example, in March 2020, the VA MVP announced that it was suspending sample collection due to the COVID-19 pandemic. In addition, we believe the COVID-19 pandemic may have been a contributing factor to the reduction in value of the September 2021 VA MVP</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ind w:right="20"/>
        <w:spacing w:after="0" w:line="286" w:lineRule="auto"/>
        <w:rPr>
          <w:sz w:val="20"/>
          <w:szCs w:val="20"/>
          <w:color w:val="auto"/>
        </w:rPr>
      </w:pPr>
      <w:r>
        <w:rPr>
          <w:rFonts w:ascii="Arial" w:cs="Arial" w:eastAsia="Arial" w:hAnsi="Arial"/>
          <w:sz w:val="16"/>
          <w:szCs w:val="16"/>
          <w:color w:val="auto"/>
        </w:rPr>
        <w:t>contracted order compared to the September 2020 contracted order, as the VA MVP delayed new enrollment and also may have needed to divert resources to respond to the pandemic, and the COVID-19 pandemic may also negatively impact the value of any potential new VA MVP contract or order.</w:t>
      </w:r>
    </w:p>
    <w:p>
      <w:pPr>
        <w:spacing w:after="0" w:line="131"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spacing w:after="0" w:line="12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during the first quarter of 2022, revenue under our agreement accounted for 27% of our total revenue. While our agreement with Natera is a long-term contractual arrangement, Natera is not required to purchase a minimum number of analyses from us under the agreement, and we have only limited visibility to Natera’s forecasted sample volumes for future periods.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33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recently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spacing w:after="0" w:line="16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2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jc w:val="both"/>
        <w:ind w:firstLine="749"/>
        <w:spacing w:after="0" w:line="252"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51"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other materials used in our routine laboratory operations, and as the sole provider of maintenance and repair services for these sequencers. Our various pricing agreements with Illumina are set to expire on various dates up to December 2022. In August 2021, Illumina completed its acquisition of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acquisition of GRAIL, could negatively impact our supply chain and laboratory operations and our ability to conduct our business and generate revenue. Additionally, the COVID-19 pandemic has disrupted, and may continue to disrupt, Illumina’s ability to fulfill our purchase orders for reagents or other materials in a timely manner and the pandemic has also disrupted, and may continue to disrupt, the ability of our other suppliers to fulfill our purchase orders in a timely manner or at all. Our suppliers could cease supplying these materials and equipment at any time,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Any such interruption could significantly affect our business, financial condition, results of operations, and reputation.</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5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our failure to accurately forecast demand would have a negative impact on our business and our ability to achieve and sustain profitability.</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6"/>
          <w:szCs w:val="16"/>
          <w:color w:val="auto"/>
        </w:rPr>
        <w:t>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3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our revenue from our genomic analysis conducted in our laboratories. Currently, we do not have any clinical reference or research and development laboratory facilities other than our facilities in Menlo Park, California and the facilities being developed for our use in Shanghai, China and planned future facilities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3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Our planned opening of our new headquarters and laboratory facilities in Fremont, California could divert management’s attention and disrupt our ongoing business.</w:t>
      </w:r>
    </w:p>
    <w:p>
      <w:pPr>
        <w:spacing w:after="0" w:line="11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plan to relocate our corporate headquarters to an existing building located in Fremont, California that was leased in August 2021. We also plan to build and operate new laboratory facilities in the building. These efforts will involve significant tenant improvements, construction and regulatory compliance activities to be undertaken, including state licensure and CLIA certification for such laboratory facilities. Such efforts may distract management from current operations, disrupt planned research, development or regulatory compliance activities, and result in greater than expected liabilities and expenses, any of which could result in a material adverse effect on our business prospects, financial condition, or results of operations.</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7" w:name="page38"/>
    <w:bookmarkEnd w:id="37"/>
    <w:p>
      <w:pPr>
        <w:jc w:val="both"/>
        <w:ind w:firstLine="749"/>
        <w:spacing w:after="0" w:line="259"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64"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3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EEA (and Northern Ireland) the new European Union (“EU”) In Vitro Diagnostic Device Regulation (the “IVDR”) entered into force on May 25, 2017, replacing the In-Vitro Diagnostic Directive (the “IVDD”) (and national legislation that implemented the IVDD in member states) as the primary legislation governing in-vitro diagnostic devices (“IVD”). IVDs are placed into a class based on their perceived risk to the patient and wider public. Under the IVDR there are four classes of IVDs, referred to as classes A, B, C, and D, D being the highest risk and A being the lowest risk. The main requirements of the IVDR apply regardless of the class which the relevant device falls into, and class A devices (including instruments and specimen receptacles) are the only devices that can be self-certified as meeting the requirements of the IVDR. The IVDR explicitly includes software used for diagnostic purposes in its scope. Most requirements under the IVDR will not apply until the end of a transition period. Devices that are new and those that do not require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16"/>
          <w:szCs w:val="16"/>
          <w:color w:val="auto"/>
        </w:rPr>
        <w:t>notified body involvement under the IVDR must comply with the new requirements from May 26, 2022. Most requirements under the IVDR will not apply until the end of a transition period which is expected to occur on May 26, 2022. The IVDR broadens the scope of the regulation of IVDs and, among other things, tightens the requirements for clinical evidence and conformity assessment, increases transparency requirements, and introduces a requirement for a unique device identifier for every IVD. The IVDR requires pre-registration and post-market data collection to ensure that the device meets the relevant requirements. It is also notable that diagnostic and therapeutic services offered to customers in the EEA (and Northern Ireland) (whether directly or via intermediaries) by providers that are based outside the EEA will be covered by the IVDR. The IVDR will not apply to Great Britain (England, Wales and Scotland). These additional regulatory requirements are likely to increase the cost and time required in order to obtain regulatory approval for products and services in the EEA where such approval was already necessary, and in certain cases will introduce a new requirement to obtain regulatory approval where one did not exist under the IVDD arrangements. Further, the IVDR may result in devices being classified in a higher risk category than would have been the case under the existing IVDD arrangements.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Medical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4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6"/>
          <w:szCs w:val="16"/>
          <w:color w:val="auto"/>
        </w:rPr>
        <w:t>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planned future facilities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337"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3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the Mayo Clinic, MapKure, LLC (“MapKure”), which is jointly-owned by BeiGene, Ltd. and SpringWorks Therapeutics, Inc., and Moores Cancer Center at UC San Diego Health) or may enter into may not be successful. The success of our collaboration arrangements will depend heavily on the efforts and activities of our collaborators. Collaborations are subject to numerous risks, which include that: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jc w:val="both"/>
        <w:ind w:left="1120" w:hanging="370"/>
        <w:spacing w:after="0" w:line="253"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ind w:left="1120" w:hanging="370"/>
        <w:spacing w:after="0"/>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3" w:lineRule="exact"/>
        <w:rPr>
          <w:rFonts w:ascii="Times New Roman" w:cs="Times New Roman" w:eastAsia="Times New Roman" w:hAnsi="Times New Roman"/>
          <w:sz w:val="16"/>
          <w:szCs w:val="16"/>
          <w:color w:val="auto"/>
        </w:rPr>
      </w:pPr>
    </w:p>
    <w:p>
      <w:pPr>
        <w:jc w:val="both"/>
        <w:ind w:left="1120" w:hanging="370"/>
        <w:spacing w:after="0" w:line="247"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 w:lineRule="exact"/>
        <w:rPr>
          <w:rFonts w:ascii="Times New Roman" w:cs="Times New Roman" w:eastAsia="Times New Roman" w:hAnsi="Times New Roman"/>
          <w:sz w:val="16"/>
          <w:szCs w:val="16"/>
          <w:color w:val="auto"/>
        </w:rPr>
      </w:pPr>
    </w:p>
    <w:p>
      <w:pPr>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ind w:left="1120" w:hanging="370"/>
        <w:spacing w:after="0"/>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3" w:lineRule="exact"/>
        <w:rPr>
          <w:rFonts w:ascii="Times New Roman" w:cs="Times New Roman" w:eastAsia="Times New Roman" w:hAnsi="Times New Roman"/>
          <w:sz w:val="16"/>
          <w:szCs w:val="16"/>
          <w:color w:val="auto"/>
        </w:rPr>
      </w:pPr>
    </w:p>
    <w:p>
      <w:pPr>
        <w:ind w:left="1120" w:hanging="370"/>
        <w:spacing w:after="0" w:line="248"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jc w:val="both"/>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ind w:left="1120" w:hanging="370"/>
        <w:spacing w:after="0" w:line="246"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ind w:left="1120" w:hanging="370"/>
        <w:spacing w:after="0" w:line="264" w:lineRule="auto"/>
        <w:tabs>
          <w:tab w:leader="none" w:pos="11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3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June 2020, we entered into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including those that restrict foreign investment in the development and application of gene diagnosis and treatment technologies (which we believe prevent us from directly offering our NeXT Dx test, or other diagnostic tests based on our NeXT Platform, to patients in China);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or new restrictions imposed by the U.S. government on the export of necessary goods or technologies to our Shanghai subsidiary. These and other risks may result in our not realizing a return on, or losing some, or all, of our planned investments in China, which could have a material adverse effect on our financial condition and financial performance.</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services and products in research or clinical projects involving China’s human genetic resources or information generated therefrom. For example, we understand that the initial application by one of our pharmaceutical customers for such a project approval was previously rejected by such agency in China for reasons relating to data retention by our customer and sharing of rights to research results with our customer’s collaborator in China. Although it is our understanding that the agency’s decision was not based on the use of our NeXT Platform in the project, and that the agency subsequently approved applications by our customer for this project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6"/>
          <w:szCs w:val="16"/>
          <w:color w:val="auto"/>
        </w:rPr>
        <w:t>and another project also involving the use of our NeXT Platform, we are supporting and expect in the future to support the preparation of multiple such applications, and there is no guarantee that any such additional applications will be approved by such agency in the future. The Chinese government separately has various regulations relating to the collection, use, storage, disclosure, and security of data, among other things, including the new Personal Information Protection Law (“PIPL”) passed by the Standing Committee of China’s National People’s Congress on August 20, 2021, which took effect on November 1, 2021 and contains provisions similar to those of the General Data Protection Regulation (EU) 2016/679 (“GDPR”) adopted by the EU, including extraterritorial reach, restrictions on data transfer, compliance obligations and sanctions for non-compliance. We cannot assure you that we will be able to comply with all these regulatory requirements. Any failure to comply with relevant regulations and policies could result in significant cost and liability to us and could adversely affect our business and results of operations. For example, the consequences for failing to comply with the PIPL could potentially include monetary penalties, business suspension and revocation of business licenses. Any additional new regulations or the amendment or modification of previously implemented regulations, or the failure to receive any necessary approvals for use of our services or products in connection with such projects, could require us and our partners to change our business plans and incur additional costs, and could limit our ability to generate revenue in China.</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and entered into a partnership with a clinical genomics and life sciences company headquartered in China as a means to expand business operations into China in the near term.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96"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31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4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16"/>
          <w:szCs w:val="16"/>
          <w:color w:val="auto"/>
        </w:rPr>
        <w:t>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3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4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(VALID) Act, most recently introduced in June 2021, would clarify and enhance FDA’s authority to regulate LDTs, including pre-market review of non-exempted tests. As currently proposed, the VALID Act would grandfather existing CLIA-compliant LDTs but would allow the FDA to subject otherwise grandfathered tests to pre-market review under certain conditions.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For example, if the VALID Act as currently proposed becomes legislation, we may be required to seek FDA pre-market review of the LDT version of our NeXT Personal assay that we plan to launch in the future, particularly if the LDT version of our NeXT Personal assay is ineligible for the grandfathered test exemption, which could increase the cost of, or delay, limit or prohibit, our development and introduction of the LDT version of our NeXT Personal assay.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4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 The IVDR includes limited exemptions for LDTs, but such exemptions only apply to laboratories that are part of health institutions established in the EEA, and so any services undertaken outside of the EEA (for example at our facilities in the U.S.) will not be covered by such exemptions. In any event, such exemptions are limited in their scope, and only apply if a number of conditions are met, including that the health institution justifies that the “target patient group’s specific needs cannot be met, or cannot be met at the appropriate level of performance by an equivalent device available on the market” and do not cover devices that are manufactured on an “industrial scale”. Even where an exemption is applicable, such IVDs will still be subject to certain requirements under the IVDR. It is therefore unlikely that our tests will benefit from any exemption on the basis of being LDTs and will have to comply with the IVDR in full if we offer such tests to customers in the EEA (and Northern Ireland) (whether directly or via intermediaries).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3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6"/>
          <w:szCs w:val="16"/>
          <w:color w:val="auto"/>
        </w:rPr>
        <w:t>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110" w:lineRule="exact"/>
        <w:rPr>
          <w:sz w:val="20"/>
          <w:szCs w:val="20"/>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29"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service or product marketing;</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services or products from the market;</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3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3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 We will need a need a new CLIA certificate to operate our laboratory in the new Fremont facility. Any delay in inspection for or approval of our new CLIA certificate for the Fremont facility could result in a material disruption to our operations.</w:t>
      </w:r>
    </w:p>
    <w:p>
      <w:pPr>
        <w:spacing w:after="0" w:line="3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will need new state license from California and New York to continue our current laboratory operation in the new Fremont facility. Any delay in inspection for or approval of these state laboratory licenses for the Fremont facility could result in a material disruption to our operations.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5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Failure to comply with the IVDR may result in a range of enforcement actions. Penalties under the IVDR are devolved to national governments, but the IVDR requires that such measures are “effective, proportionate, and dissuasive.” Initial indications suggest that penalties for breaches of the IVDR are likely to include fines and, potentially, prison sentences.</w:t>
      </w:r>
    </w:p>
    <w:p>
      <w:pPr>
        <w:spacing w:after="0" w:line="13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6" w:name="page47"/>
    <w:bookmarkEnd w:id="46"/>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4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ordinary course of our business, we collect, process, receive, generate, use, transfer, disclose, make accessible, protect, secure, dispose of, transmit, share and store proprietary, confidential, and sensitive information, including protected health information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 Our ability to monitor these third parties’ security practices is limited, and these third parties may not have adequate security measures in place.</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4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which may compromise our system infrastructure, or that of our third-party partners, or lead to data leakage. Cyberattacks, malicious internet-based activity, and online and offline fraud are prevalent and continue to increase. These threats are becoming increasingly difficult to detect.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5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risk of a security breach or disruption, particularly through accidental actions or omissions by trusted insiders, cyber-attacks or cyber intrusions, including by computer hackers, threat actors, viruses, sophisticated nation states, and nation-state-supported actors,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 may increase the risk of security breaches, loss of data, and other disruptions as a consequence of more personnel accessing sensitive and critical information from remote locations.</w:t>
      </w:r>
    </w:p>
    <w:p>
      <w:pPr>
        <w:spacing w:after="0" w:line="14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may not be able to anticipate all types of security threats, and we may not be able to implement preventive measures effective against all such security threats. The techniques used by cyber criminals change frequently, may not be recognized until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47" w:name="page48"/>
    <w:bookmarkEnd w:id="47"/>
    <w:p>
      <w:pPr>
        <w:jc w:val="both"/>
        <w:spacing w:after="0" w:line="250" w:lineRule="auto"/>
        <w:rPr>
          <w:sz w:val="20"/>
          <w:szCs w:val="20"/>
          <w:color w:val="auto"/>
        </w:rPr>
      </w:pPr>
      <w:r>
        <w:rPr>
          <w:rFonts w:ascii="Arial" w:cs="Arial" w:eastAsia="Arial" w:hAnsi="Arial"/>
          <w:sz w:val="16"/>
          <w:szCs w:val="16"/>
          <w:color w:val="auto"/>
        </w:rPr>
        <w:t>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and technologies could be delayed. The costs related to significant security breaches or disruptions could be material and exceed the limits of the cybersecurity insurance we maintain against such risks. Additionally, we cannot be sure that such coverage will continue to be available on commercially reasonable terms or at all, or that such coverage will pay future claims.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Our contracts may not contain limitations of liability, and even where they do, there can be no assurance that limitations of liability in our contracts are sufficient to protect us from liabilities, damages, or claims related to our privacy, data protection, and data security obligations.</w:t>
      </w:r>
    </w:p>
    <w:p>
      <w:pPr>
        <w:spacing w:after="0" w:line="16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 Any of the previously identified or similar threats could cause a security incident or other interruption, which could result in unauthorized, unlawful, or accidental acquisition, modification, destruction, loss, alteration, encryption, disclosure of, or access to our proprietary, confidential, or sensitive information. A security incident or other interruption could disrupt our ability (and that of third parties upon whom we rely) to provide our platform, products, and services. We may expend significant resources or modify our business activities (including our clinical trial activities) to try to protect against security incidents. Additionally, certain privacy, data protection, or data security obligations may require us to implement and maintain certain measures to protect our information technology systems and sensitive information.</w:t>
      </w:r>
    </w:p>
    <w:p>
      <w:pPr>
        <w:spacing w:after="0" w:line="14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We may be unable in the future to detect vulnerabilities in our information technology systems because such threats and techniques change frequently, are often sophisticated in nature, and may not be detected until after a security incident has occurred.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as amended by the Health Information Technology for Economic and Clinical Health (“HITECH”), and penalties. Applicable privacy, data protection, or data security obligations may require us to notify relevant stakeholders of security incidents. Such disclosures are costly, and the disclosure or the failure to comply with such requirements could lead to adverse consequences.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3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8" w:name="page49"/>
    <w:bookmarkEnd w:id="48"/>
    <w:p>
      <w:pPr>
        <w:jc w:val="both"/>
        <w:spacing w:after="0" w:line="249" w:lineRule="auto"/>
        <w:rPr>
          <w:sz w:val="20"/>
          <w:szCs w:val="20"/>
          <w:color w:val="auto"/>
        </w:rPr>
      </w:pPr>
      <w:r>
        <w:rPr>
          <w:rFonts w:ascii="Arial" w:cs="Arial" w:eastAsia="Arial" w:hAnsi="Arial"/>
          <w:sz w:val="16"/>
          <w:szCs w:val="16"/>
          <w:color w:val="auto"/>
        </w:rPr>
        <w:t>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CCPA also allows for statutory fines for noncompliance of up to $7,500 per violation.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 and/or subject us to additional liabilities.</w:t>
      </w:r>
    </w:p>
    <w:p>
      <w:pPr>
        <w:spacing w:after="0" w:line="16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2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policies, industry standards, and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For example, the EU adopted the GDPR, which imposes onerous and comprehensive privacy, data protection, and data security obligations onto data controllers and processors, including, as applicable, contractual privacy, data protection, and data security commitments, expanded disclosures to data subjects about how their personal information is used, honoring individuals’ data protection rights, limitations on retention of personal information, additional requirements pertaining to sensitive information (such as health data) and pseudonymized (i.e., key-coded) data, data breach notification requirements, and higher standards for obtaining consent from data subjects. Penalties for non-compliance with the GDPR can be significant and include fines in the amount of the greater of €20 million or 4% of global turnover and restrictions or prohibitions on data processing, which could limit our ability to do business in the EU, reduce demand for our services, and adversely impact our business and results of operations. The GDPR also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require us to change our practices, adversely impact our business, and harm our financial condition. Assisting our customers, partners, and vendors in complying with the GDPR, or complying with the GDPR ourselves, may cause us to incur substantial operational costs or require us to change our business practices.</w:t>
      </w:r>
    </w:p>
    <w:p>
      <w:pPr>
        <w:spacing w:after="0" w:line="16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in January 2021, following its exit from the EU, the UK implemented its own version of the GDPR (the “UK GDPR”), which currently imposes substantively similar obligations as the GDPR and provides for fines of up £17.5 million or 4% of global turnover, whichever is greater, for non-compliance. In addition, an actual or asserted violation of the GDPR or UK GDPR could result in regulatory investigations, reputational damage, orders to cease or change our processing of our data, enforcement notices and/or assessment notices (for a compulsory audit). We also may face civil claims, including representative actions and other class action-type litigation (where individuals have suffered harm), potentially resulting in our paying significant compensation or damages, or incurring other significant liabilities, as well as associated costs, diversion of internal resources, and reputational harm.</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relationship between the UK and the EU in relation to certain aspects of privacy, data protection, and data security laws is subject to some uncertainty. For example, on June 28, 2021, the European Commission announced a decision of “adequacy” concluding that the UK ensures an equivalent level of data protection to the GDPR, which provides some relief regarding the legality of continued personal information flows from the European Economic Area (“EEA”) to the UK. This adequacy determination will automatically expire in June 2025 unless the European Commission renews or extends it and may be modified or revoked in the interim. We cannot predict how the UK GDPR and other UK data protection laws or regulations may develop, including as compared to the GDPR, nor can we predict the effects of divergent laws and related guidance. Changes with respect to any of these matters may lead to additional costs and increase our overall risk exposure, particularly if the GDPR and UK GDPR develop in conflicting or otherwise divergent ways.</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Further, European and UK privacy, data protection, and data security laws, including the GDPR and the UK GDPR, generally restrict the transfer of personal information from the UK, EEA and Switzerland to the U.S. and most other countries unless the parties to the transfer have implemented specific safeguards to protect the transferred personal information. There is uncertainty on how to implement such safeguards and how to conduct such transfers in compliance with the GDPR and UK GDPR, and certain safeguards may not be available or applicable with respect to some or all of the personal information processing activities necessary to research, develop and market our products and services. The European Commission recently released a set of Standard Contractual Clauses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9" w:name="page50"/>
    <w:bookmarkEnd w:id="49"/>
    <w:p>
      <w:pPr>
        <w:jc w:val="both"/>
        <w:spacing w:after="0" w:line="250" w:lineRule="auto"/>
        <w:rPr>
          <w:sz w:val="20"/>
          <w:szCs w:val="20"/>
          <w:color w:val="auto"/>
        </w:rPr>
      </w:pPr>
      <w:r>
        <w:rPr>
          <w:rFonts w:ascii="Arial" w:cs="Arial" w:eastAsia="Arial" w:hAnsi="Arial"/>
          <w:sz w:val="16"/>
          <w:szCs w:val="16"/>
          <w:color w:val="auto"/>
        </w:rPr>
        <w:t>(“SCCs”) that is designed to be a valid mechanism by which entities can transfer personal data out of the EEA to jurisdictions that the European Commission has not found to provide an adequate level of protection. Currently, the SCCs are a valid mechanism to transfer personal data outside of the EEA. The SCCs, however, require parties that rely upon that legal mechanism to comply with additional obligations, such as conducting transfer impact assessments to determine whether additional security measures are necessary to protect the transferred personal information. Moreover, due to potential legal challenges, there is uncertainty regarding whether the SCCs will remain a valid mechanism for transfers of personal information out of the EEA. Similarly, the UK’s Information Commissioner’s Office has released its international data transfer agreement (“IDTA”) governing data transfers much like the SCCs. If we are unable to implement a valid solution for personal information transfers to the U.S. and other countries,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U.S. or other countries may decrease demand for our products and services as our customers that are subject to the GDPR or UK GDPR may seek alternatives that do not involve personal information transfers out of Europe. At present, there are few, if any, viable alternatives to the Standard Contractual Clauses and the IDTA.</w:t>
      </w:r>
    </w:p>
    <w:p>
      <w:pPr>
        <w:spacing w:after="0" w:line="16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Similar laws have been proposed in other foreign jurisdictions in which we do, or expect to do, business. For example, the PIPL was adopted in China on August 20, 2021, and it went into effect on November 1, 2021. The PIPL shares certain similarities with the GDPR, including extraterritorial application, requirements for data minimization, data localization, and purpose limitation, and obligations to provide certain notices to and honor data subject rights from individuals located in the PRC. The PIPL allows for fines of up to 50 million yuan or 5% of a covered company’s revenue in the prior year. The PIPL, and other new and evolving laws and regulations relating to privacy, data protection, and data security in China and other relevant foreign jurisdictions, increase our risk exposure, and may require us to modify our operations, may limit our ability to collect, retain, store, use, share, disclose, transfer, disseminate, and otherwise process personal information, may require additional investment of resources in compliance programs, and could result in increased compliance costs or changes in our ongoing or planned business practices, policies or strategies.</w:t>
      </w:r>
    </w:p>
    <w:p>
      <w:pPr>
        <w:spacing w:after="0" w:line="14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the United States, federal, state, and local governments have enacted numerous privacy, data protection, and data security laws, including data breach notification laws, personal data privacy laws, and consumer protection laws. For example, HIPAA, as amended by HITECH, imposes specific requirements relating to the privacy, security, and transmission of individually identifiable health information.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It allows for statutory fines for noncompliance (up to $7,500 per violation). Although the CCPA exempts some data processed in the context of clinical trials, the CCPA may increase our compliance costs and potential liability with respect to other personal information we maintain about California residents.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beginning January 1, 2022 and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4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enactment of the CCPA has led a wave of similar legislative developments in other states in the U.S., which creates the potential for a patchwork of overlapping but different state laws and could mark the beginning of a trend toward more stringent privacy legislation in the U.S., which could increase our potential liability and adversely affect our business, financial condition and results of operations. For example, in March 2021, Virginia enacted the Virginia Consumer Data Protection Act, a comprehensive privacy, data protection, and data security statute that becomes effective on January 1, 2023 (at the same time as the CPRA) and shares similarities with the CCPA, the CPRA, and legislation proposed in other states. In June 2021, Colorado enacted a similar law, the Colorado Privacy Act, which becomes effective on July 1, 2023 and Utah recently enacted the Utah Consumer Privacy Act. Many other states are considering proposed comprehensive data privacy legislation and all 50 states have passed some form of legislation relating to privacy or cybersecurity (for example, all 50 states have enacted laws requiring disclosure of certain personal information breaches). Additionally, several states and localities have enacted statutes banning or restricting the collection of biometric information. At the federal level, the United States Congress is considering various proposals for comprehensive federal privacy, data protection, and data security legislation and, while no such law currently exists, we are subject to applicable existing federal laws and regulations, such as the rules and regulations promulgated under the authority of the Federal Trade Commission, which regulates unfair or deceptive acts or practices, including with respect to privacy, data protection, and data security. These state statutes, and other similar state or federal laws, may require us to modify our data processing practices and policies and incur substantial compliance-related costs and expenses. Additionally, many laws and regulations relating to privacy and the collection, storing, sharing, use, disclosure, and other processing or protection of certain types of data are subject to varying degrees of enforcement and new and changing interpretations by courts. These laws and other changes in laws or regulations relating to privacy, data protection, and data security, particularly any new or modified laws or regulations, or changes to the interpretation or enforcement of such laws or regulations, that require enhanced protection of certain types of data or new obligations with regard to data retention, transfer, or disclosure, could greatly increase our operating costs, or require changes to our operations.</w:t>
      </w:r>
    </w:p>
    <w:p>
      <w:pPr>
        <w:spacing w:after="0" w:line="16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16"/>
          <w:szCs w:val="16"/>
          <w:color w:val="auto"/>
        </w:rPr>
        <w:t>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If we fail, or are perceived to have failed, to address or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6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3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65" w:lineRule="exact"/>
        <w:rPr>
          <w:sz w:val="20"/>
          <w:szCs w:val="20"/>
          <w:color w:val="auto"/>
        </w:rPr>
      </w:pPr>
    </w:p>
    <w:p>
      <w:pPr>
        <w:jc w:val="both"/>
        <w:ind w:left="1120" w:hanging="370"/>
        <w:spacing w:after="0" w:line="249" w:lineRule="auto"/>
        <w:tabs>
          <w:tab w:leader="none" w:pos="11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3" w:lineRule="exact"/>
        <w:rPr>
          <w:rFonts w:ascii="Times New Roman" w:cs="Times New Roman" w:eastAsia="Times New Roman" w:hAnsi="Times New Roman"/>
          <w:sz w:val="16"/>
          <w:szCs w:val="16"/>
          <w:color w:val="auto"/>
        </w:rPr>
      </w:pPr>
    </w:p>
    <w:p>
      <w:pPr>
        <w:jc w:val="both"/>
        <w:ind w:left="1120" w:hanging="370"/>
        <w:spacing w:after="0" w:line="246" w:lineRule="auto"/>
        <w:tabs>
          <w:tab w:leader="none" w:pos="11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 w:lineRule="exact"/>
        <w:rPr>
          <w:rFonts w:ascii="Times New Roman" w:cs="Times New Roman" w:eastAsia="Times New Roman" w:hAnsi="Times New Roman"/>
          <w:sz w:val="16"/>
          <w:szCs w:val="16"/>
          <w:color w:val="auto"/>
        </w:rPr>
      </w:pPr>
    </w:p>
    <w:p>
      <w:pPr>
        <w:jc w:val="both"/>
        <w:ind w:left="1120" w:hanging="370"/>
        <w:spacing w:after="0" w:line="246" w:lineRule="auto"/>
        <w:tabs>
          <w:tab w:leader="none" w:pos="11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 w:lineRule="exact"/>
        <w:rPr>
          <w:rFonts w:ascii="Times New Roman" w:cs="Times New Roman" w:eastAsia="Times New Roman" w:hAnsi="Times New Roman"/>
          <w:sz w:val="16"/>
          <w:szCs w:val="16"/>
          <w:color w:val="auto"/>
        </w:rPr>
      </w:pPr>
    </w:p>
    <w:p>
      <w:pPr>
        <w:jc w:val="both"/>
        <w:ind w:left="1120" w:hanging="370"/>
        <w:spacing w:after="0" w:line="249" w:lineRule="auto"/>
        <w:tabs>
          <w:tab w:leader="none" w:pos="11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1" w:name="page52"/>
    <w:bookmarkEnd w:id="51"/>
    <w:p>
      <w:pPr>
        <w:jc w:val="both"/>
        <w:ind w:left="1120"/>
        <w:spacing w:after="0" w:line="250" w:lineRule="auto"/>
        <w:rPr>
          <w:sz w:val="20"/>
          <w:szCs w:val="20"/>
          <w:color w:val="auto"/>
        </w:rPr>
      </w:pPr>
      <w:r>
        <w:rPr>
          <w:rFonts w:ascii="Arial" w:cs="Arial" w:eastAsia="Arial" w:hAnsi="Arial"/>
          <w:sz w:val="16"/>
          <w:szCs w:val="16"/>
          <w:color w:val="auto"/>
        </w:rPr>
        <w:t>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jc w:val="both"/>
        <w:ind w:left="1120" w:hanging="370"/>
        <w:spacing w:after="0" w:line="247"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86" w:lineRule="exact"/>
        <w:rPr>
          <w:rFonts w:ascii="Times New Roman" w:cs="Times New Roman" w:eastAsia="Times New Roman" w:hAnsi="Times New Roman"/>
          <w:sz w:val="16"/>
          <w:szCs w:val="16"/>
          <w:color w:val="auto"/>
        </w:rPr>
      </w:pPr>
    </w:p>
    <w:p>
      <w:pPr>
        <w:jc w:val="both"/>
        <w:ind w:left="1120" w:right="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jc w:val="both"/>
        <w:ind w:left="11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 w:lineRule="exact"/>
        <w:rPr>
          <w:rFonts w:ascii="Times New Roman" w:cs="Times New Roman" w:eastAsia="Times New Roman" w:hAnsi="Times New Roman"/>
          <w:sz w:val="16"/>
          <w:szCs w:val="16"/>
          <w:color w:val="auto"/>
        </w:rPr>
      </w:pPr>
    </w:p>
    <w:p>
      <w:pPr>
        <w:jc w:val="both"/>
        <w:ind w:left="11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6"/>
          <w:szCs w:val="16"/>
          <w:color w:val="auto"/>
        </w:rPr>
      </w:pPr>
    </w:p>
    <w:p>
      <w:pPr>
        <w:jc w:val="both"/>
        <w:ind w:left="11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2" w:lineRule="exact"/>
        <w:rPr>
          <w:rFonts w:ascii="Times New Roman" w:cs="Times New Roman" w:eastAsia="Times New Roman" w:hAnsi="Times New Roman"/>
          <w:sz w:val="16"/>
          <w:szCs w:val="16"/>
          <w:color w:val="auto"/>
        </w:rPr>
      </w:pPr>
    </w:p>
    <w:p>
      <w:pPr>
        <w:jc w:val="both"/>
        <w:ind w:left="11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3" w:lineRule="exact"/>
        <w:rPr>
          <w:rFonts w:ascii="Times New Roman" w:cs="Times New Roman" w:eastAsia="Times New Roman" w:hAnsi="Times New Roman"/>
          <w:sz w:val="16"/>
          <w:szCs w:val="16"/>
          <w:color w:val="auto"/>
        </w:rPr>
      </w:pPr>
    </w:p>
    <w:p>
      <w:pPr>
        <w:jc w:val="both"/>
        <w:ind w:left="11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ind w:left="1120" w:right="20" w:hanging="370"/>
        <w:spacing w:after="0" w:line="246"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jc w:val="both"/>
        <w:ind w:left="1120" w:hanging="370"/>
        <w:spacing w:after="0" w:line="248" w:lineRule="auto"/>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8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7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spacing w:after="0" w:line="266" w:lineRule="auto"/>
        <w:rPr>
          <w:sz w:val="20"/>
          <w:szCs w:val="20"/>
          <w:color w:val="auto"/>
        </w:rPr>
      </w:pPr>
      <w:r>
        <w:rPr>
          <w:rFonts w:ascii="Arial" w:cs="Arial" w:eastAsia="Arial" w:hAnsi="Arial"/>
          <w:sz w:val="16"/>
          <w:szCs w:val="16"/>
          <w:color w:val="auto"/>
        </w:rPr>
        <w:t>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4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decide to grow our business by developing in vitro diagnostic tests, we may be subject to reimbursement challenges.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services and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20" w:hanging="370"/>
        <w:spacing w:after="0" w:line="253" w:lineRule="auto"/>
        <w:tabs>
          <w:tab w:leader="none" w:pos="11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ind w:left="1120" w:right="20" w:hanging="370"/>
        <w:spacing w:after="0" w:line="246" w:lineRule="auto"/>
        <w:tabs>
          <w:tab w:leader="none" w:pos="11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ind w:left="1120" w:right="20" w:hanging="370"/>
        <w:spacing w:after="0" w:line="264" w:lineRule="auto"/>
        <w:tabs>
          <w:tab w:leader="none" w:pos="11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jc w:val="both"/>
        <w:ind w:firstLine="749"/>
        <w:spacing w:after="0" w:line="249"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35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Medicate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In addition, CMS updated the statutory phase-in provisions such that the rates for clinical diagnostic laboratory tests in 2020 could not be reduced by more than 10% of the rates for 2019.</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6"/>
          <w:szCs w:val="16"/>
          <w:color w:val="auto"/>
        </w:rPr>
        <w:t>of maintaining compliance with these laws and regulations may become significant and our failure to comply may result in substantial fines or other consequences, and either could negatively affect our operating results.</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President Biden is considering further repeals and/or replacement of the Tax Cuts and Jobs Act which may affect us. On June 29, 2020, California Assembly Bill 85 (AB 85) was signed into law, which suspended the use of California net operating losses and limited the use of California research tax credits for tax years beginning in 2020 and before 2023, although California legislation enacted in early February 2022 ends the suspension and limitation for tax year 2022.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19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4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exit of the U.K. from the EU, commonly referred to as “Brexit” could lead to further regulatory divergence and require us to incur additional expenses in order to develop, manufacture, and commercialize our products and services.</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deal that outlines the future trading relationship between the U.K. and the EU was agreed in December 2020 and has applied since January 1, 2021.</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While the deal provides for, in most cases, tariff-free trade of goods between the U.K. and the EU, there are additional non-tariff costs to such trade which did not exist prior to the end of the Transition Period. For example, a UKCA mark will be required to sell medical devices to customers in Great Britain, rather than a CE mark.</w:t>
      </w:r>
    </w:p>
    <w:p>
      <w:pPr>
        <w:spacing w:after="0" w:line="13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Should the U.K. or Great Britain further diverge from the EU from a regulatory perspective,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 when compared to the position prior to the end of the transition period.</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1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We currently do not report our environmental emissions, and lack of reporting or future reporting could result in certain investors from declining to invest in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Intellectual Property Risks</w:t>
      </w:r>
    </w:p>
    <w:p>
      <w:pPr>
        <w:spacing w:after="0" w:line="19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6" w:name="page57"/>
    <w:bookmarkEnd w:id="56"/>
    <w:p>
      <w:pPr>
        <w:jc w:val="both"/>
        <w:ind w:firstLine="749"/>
        <w:spacing w:after="0" w:line="256"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5"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53"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1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2041.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7" w:name="page58"/>
    <w:bookmarkEnd w:id="57"/>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4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49" w:lineRule="exact"/>
        <w:rPr>
          <w:sz w:val="20"/>
          <w:szCs w:val="20"/>
          <w:color w:val="auto"/>
        </w:rPr>
      </w:pPr>
    </w:p>
    <w:p>
      <w:pPr>
        <w:ind w:left="1120" w:hanging="370"/>
        <w:spacing w:after="0" w:line="256" w:lineRule="auto"/>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ind w:left="1120" w:hanging="370"/>
        <w:spacing w:after="0" w:line="246" w:lineRule="auto"/>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ind w:left="1120" w:hanging="370"/>
        <w:spacing w:after="0"/>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3" w:lineRule="exact"/>
        <w:rPr>
          <w:rFonts w:ascii="Times New Roman" w:cs="Times New Roman" w:eastAsia="Times New Roman" w:hAnsi="Times New Roman"/>
          <w:sz w:val="16"/>
          <w:szCs w:val="16"/>
          <w:color w:val="auto"/>
        </w:rPr>
      </w:pPr>
    </w:p>
    <w:p>
      <w:pPr>
        <w:ind w:left="1120" w:right="20" w:hanging="370"/>
        <w:spacing w:after="0" w:line="248" w:lineRule="auto"/>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ind w:left="1120" w:hanging="370"/>
        <w:spacing w:after="0"/>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7" w:lineRule="exact"/>
        <w:rPr>
          <w:rFonts w:ascii="Times New Roman" w:cs="Times New Roman" w:eastAsia="Times New Roman" w:hAnsi="Times New Roman"/>
          <w:sz w:val="16"/>
          <w:szCs w:val="16"/>
          <w:color w:val="auto"/>
        </w:rPr>
      </w:pPr>
    </w:p>
    <w:p>
      <w:pPr>
        <w:ind w:left="1120" w:hanging="370"/>
        <w:spacing w:after="0" w:line="269" w:lineRule="auto"/>
        <w:tabs>
          <w:tab w:leader="none" w:pos="11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58" w:name="page59"/>
    <w:bookmarkEnd w:id="58"/>
    <w:p>
      <w:pPr>
        <w:jc w:val="both"/>
        <w:ind w:firstLine="749"/>
        <w:spacing w:after="0" w:line="25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3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 consuming, and unsuccessful.</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33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6"/>
          <w:szCs w:val="16"/>
          <w:color w:val="auto"/>
        </w:rPr>
        <w:t>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5"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19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0" w:name="page61"/>
    <w:bookmarkEnd w:id="60"/>
    <w:p>
      <w:pPr>
        <w:jc w:val="both"/>
        <w:spacing w:after="0" w:line="251" w:lineRule="auto"/>
        <w:rPr>
          <w:sz w:val="20"/>
          <w:szCs w:val="20"/>
          <w:color w:val="auto"/>
        </w:rPr>
      </w:pPr>
      <w:r>
        <w:rPr>
          <w:rFonts w:ascii="Arial" w:cs="Arial" w:eastAsia="Arial" w:hAnsi="Arial"/>
          <w:sz w:val="16"/>
          <w:szCs w:val="16"/>
          <w:color w:val="auto"/>
        </w:rPr>
        <w:t>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1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16"/>
          <w:szCs w:val="16"/>
          <w:color w:val="auto"/>
        </w:rPr>
        <w:t>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6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2" w:name="page63"/>
    <w:bookmarkEnd w:id="62"/>
    <w:p>
      <w:pPr>
        <w:jc w:val="both"/>
        <w:ind w:right="20"/>
        <w:spacing w:after="0" w:line="28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Additional funding may not be available to us on acceptable terms, or at all.</w:t>
      </w:r>
    </w:p>
    <w:p>
      <w:pPr>
        <w:spacing w:after="0" w:line="12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or geopolitical conflicts (including the Russia-initiated military action against Ukraine), as well as the ongoing COVID-19 pandemic.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1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1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15" w:lineRule="exact"/>
        <w:rPr>
          <w:sz w:val="20"/>
          <w:szCs w:val="20"/>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operating results;</w:t>
      </w:r>
    </w:p>
    <w:p>
      <w:pPr>
        <w:spacing w:after="0" w:line="29"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tests or new tests that may emerge;</w:t>
      </w:r>
    </w:p>
    <w:p>
      <w:pPr>
        <w:spacing w:after="0" w:line="17" w:lineRule="exact"/>
        <w:rPr>
          <w:rFonts w:ascii="Times New Roman" w:cs="Times New Roman" w:eastAsia="Times New Roman" w:hAnsi="Times New Roman"/>
          <w:sz w:val="16"/>
          <w:szCs w:val="16"/>
          <w:color w:val="auto"/>
        </w:rPr>
      </w:pPr>
    </w:p>
    <w:p>
      <w:pPr>
        <w:ind w:left="1120" w:right="20" w:hanging="370"/>
        <w:spacing w:after="0" w:line="248" w:lineRule="auto"/>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capital commitments, or by or pertaining to our customers, particularly the VA MVP and Natera, as our largest customers;</w:t>
      </w: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amount of our investments in the growth of our business;</w:t>
      </w:r>
    </w:p>
    <w:p>
      <w:pPr>
        <w:spacing w:after="0" w:line="13"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or departures of key management or other personnel;</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additional funding;</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sales of our common stock by us or our stockholders in the future;</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7" w:lineRule="exact"/>
        <w:rPr>
          <w:rFonts w:ascii="Times New Roman" w:cs="Times New Roman" w:eastAsia="Times New Roman" w:hAnsi="Times New Roman"/>
          <w:sz w:val="16"/>
          <w:szCs w:val="16"/>
          <w:color w:val="auto"/>
        </w:rPr>
      </w:pPr>
    </w:p>
    <w:p>
      <w:pPr>
        <w:ind w:left="1120" w:hanging="370"/>
        <w:spacing w:after="0" w:line="248" w:lineRule="auto"/>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long-term macroeconomic effects of the COVID-19 pandemic, including potential global, regional or national economic slowdowns, recessions, depressions or other economic downturns; and</w:t>
      </w:r>
    </w:p>
    <w:p>
      <w:pPr>
        <w:ind w:left="1120" w:hanging="370"/>
        <w:spacing w:after="0" w:line="264" w:lineRule="auto"/>
        <w:tabs>
          <w:tab w:leader="none" w:pos="11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3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3" w:name="page64"/>
    <w:bookmarkEnd w:id="63"/>
    <w:p>
      <w:pPr>
        <w:jc w:val="both"/>
        <w:ind w:firstLine="749"/>
        <w:spacing w:after="0" w:line="254"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MVP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March 31, 2022, we had 45,250,087 shares of common stock outstanding, all of which shares were eligible as of such date for sale in the public market, subject in some cases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jc w:val="both"/>
        <w:spacing w:after="0" w:line="256" w:lineRule="auto"/>
        <w:rPr>
          <w:sz w:val="20"/>
          <w:szCs w:val="20"/>
          <w:color w:val="auto"/>
        </w:rPr>
      </w:pPr>
      <w:r>
        <w:rPr>
          <w:rFonts w:ascii="Arial" w:cs="Arial" w:eastAsia="Arial" w:hAnsi="Arial"/>
          <w:sz w:val="16"/>
          <w:szCs w:val="16"/>
          <w:color w:val="auto"/>
        </w:rPr>
        <w:t>the volume limitations and manner of sale and other requirements under Rule 144. In addition, upon issuance, shares of common stock subject to outstanding options under our stock option plans as of March 31, 2022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55"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9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of December 31, 2021, we had federal and state net operating loss carryforwards of approximately $222.5 million and approximately $166.3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were suspended and limited, respectively, for tax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beginning after 2019 but before 2023, although California legislation enacted in early February 2022 ends the suspension and limitation for tax year 2022.</w:t>
      </w:r>
    </w:p>
    <w:p>
      <w:pPr>
        <w:spacing w:after="0" w:line="19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31" w:lineRule="exact"/>
        <w:rPr>
          <w:sz w:val="20"/>
          <w:szCs w:val="20"/>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29"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directors may only be removed for cause;</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7"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forum for certain litigation against us to Delaware; and</w:t>
      </w:r>
    </w:p>
    <w:p>
      <w:pPr>
        <w:spacing w:after="0" w:line="17" w:lineRule="exact"/>
        <w:rPr>
          <w:rFonts w:ascii="Times New Roman" w:cs="Times New Roman" w:eastAsia="Times New Roman" w:hAnsi="Times New Roman"/>
          <w:sz w:val="16"/>
          <w:szCs w:val="16"/>
          <w:color w:val="auto"/>
        </w:rPr>
      </w:pPr>
    </w:p>
    <w:p>
      <w:pPr>
        <w:ind w:left="1120" w:right="20" w:hanging="370"/>
        <w:spacing w:after="0" w:line="269" w:lineRule="auto"/>
        <w:tabs>
          <w:tab w:leader="none" w:pos="11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2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2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15" w:lineRule="exact"/>
        <w:rPr>
          <w:sz w:val="20"/>
          <w:szCs w:val="20"/>
          <w:color w:val="auto"/>
        </w:rPr>
      </w:pPr>
    </w:p>
    <w:p>
      <w:pPr>
        <w:ind w:left="1120" w:hanging="370"/>
        <w:spacing w:after="0"/>
        <w:tabs>
          <w:tab w:leader="none" w:pos="11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any derivative action or proceeding brought on our behalf;</w:t>
      </w:r>
    </w:p>
    <w:p>
      <w:pPr>
        <w:spacing w:after="0" w:line="29"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breach of fiduciary duty;</w:t>
      </w:r>
    </w:p>
    <w:p>
      <w:pPr>
        <w:spacing w:after="0" w:line="17" w:lineRule="exact"/>
        <w:rPr>
          <w:rFonts w:ascii="Times New Roman" w:cs="Times New Roman" w:eastAsia="Times New Roman" w:hAnsi="Times New Roman"/>
          <w:sz w:val="16"/>
          <w:szCs w:val="16"/>
          <w:color w:val="auto"/>
        </w:rPr>
      </w:pPr>
    </w:p>
    <w:p>
      <w:pPr>
        <w:ind w:left="1120" w:right="20" w:hanging="370"/>
        <w:spacing w:after="0" w:line="248" w:lineRule="auto"/>
        <w:tabs>
          <w:tab w:leader="none" w:pos="11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ind w:left="1120" w:hanging="370"/>
        <w:spacing w:after="0"/>
        <w:tabs>
          <w:tab w:leader="none" w:pos="11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6" w:name="page67"/>
    <w:bookmarkEnd w:id="66"/>
    <w:p>
      <w:pPr>
        <w:ind w:left="76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now that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Assessing our processes, procedures and staffing in order to maintain and improve our internal control over financial reporting is an ongoing process. For the year ended December 31, 2020, management became obligated to comply for the first time with Section 404 of the Sarbanes-Oxley Act of 2002 (SOX), which requires issuing a report that assesses the effectiveness of our internal control over financial reporting. Also, for the year ended December 31, 2021, an attestation report relating to the effectiveness of our internal control over financial reporting has been issued for the first time by our external auditor, Deloitte &amp; Touche LLP.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7" w:name="page68"/>
    <w:bookmarkEnd w:id="67"/>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3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March 31, 2022, we had approximately $3.4 million in customer deposits, including $2.8 million from one customer. However, as of that date, we had $266.5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r>
        <w:rPr>
          <w:rFonts w:ascii="Arial" w:cs="Arial" w:eastAsia="Arial" w:hAnsi="Arial"/>
          <w:sz w:val="16"/>
          <w:szCs w:val="16"/>
          <w:b w:val="1"/>
          <w:bCs w:val="1"/>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April 1, 2022, we filed a definitive proxy statement on Schedule 14A relating to our 2022 Annual Meeting of Stockholders (the “Proxy Statement”). Pursuant to Instruction 1 to Item 402(n)(2)(iii) and (iv) of Regulation S-K, the Summary Compensation Table included under the “Executive Compensation” heading of the Proxy Statement contained estimates and not final non-equity incentive plan compensation amounts with respect to the 2021 annual performance-based cash bonuses for Aaron Tachibana, our Chief Financial Officer, and Richard Chen, M.D., M.S., our Chief Scientific Officer, because the 2021 annual performance-based cash bonuses for Mr. Tachibana and Dr. Chen had not yet been determined at the time the Proxy Statement was filed.</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April 30, 2022, the Compensation Committee of our Board of Directors approved the 2021 annual performance-based cash bonuses for Mr. Tachibana and Dr. Chen. In accordance with Item 5.02(f) of Form 8-K, the 2021 annual performance-based cash bonuses for Mr. Tachibana and Dr. Chen, along with an updated Summary Compensation Table, are set forth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for 2021</w:t>
      </w:r>
    </w:p>
    <w:p>
      <w:pPr>
        <w:spacing w:after="0" w:line="200" w:lineRule="exact"/>
        <w:rPr>
          <w:sz w:val="20"/>
          <w:szCs w:val="20"/>
          <w:color w:val="auto"/>
        </w:rPr>
      </w:pPr>
    </w:p>
    <w:p>
      <w:pPr>
        <w:spacing w:after="0" w:line="291"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Non-Equity</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 and Principal</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Option</w:t>
            </w:r>
          </w:p>
        </w:tc>
        <w:tc>
          <w:tcPr>
            <w:tcW w:w="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Incentive Plan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Salary</w:t>
            </w: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5"/>
                <w:szCs w:val="15"/>
                <w:color w:val="auto"/>
              </w:rPr>
            </w:pPr>
          </w:p>
        </w:tc>
        <w:tc>
          <w:tcPr>
            <w:tcW w:w="9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rPr>
              <w:t>Awards</w:t>
            </w:r>
          </w:p>
        </w:tc>
        <w:tc>
          <w:tcPr>
            <w:tcW w:w="2480" w:type="dxa"/>
            <w:vAlign w:val="bottom"/>
            <w:gridSpan w:val="5"/>
          </w:tcPr>
          <w:p>
            <w:pPr>
              <w:jc w:val="right"/>
              <w:ind w:right="100"/>
              <w:spacing w:after="0" w:line="175" w:lineRule="exact"/>
              <w:rPr>
                <w:sz w:val="20"/>
                <w:szCs w:val="20"/>
                <w:color w:val="auto"/>
              </w:rPr>
            </w:pPr>
            <w:r>
              <w:rPr>
                <w:rFonts w:ascii="Arial" w:cs="Arial" w:eastAsia="Arial" w:hAnsi="Arial"/>
                <w:sz w:val="16"/>
                <w:szCs w:val="16"/>
                <w:b w:val="1"/>
                <w:bCs w:val="1"/>
                <w:color w:val="auto"/>
              </w:rPr>
              <w:t>Compensation Compensation</w:t>
            </w:r>
          </w:p>
        </w:tc>
        <w:tc>
          <w:tcPr>
            <w:tcW w:w="90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c>
          <w:tcPr>
            <w:tcW w:w="68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3"/>
                <w:szCs w:val="13"/>
                <w:b w:val="1"/>
                <w:bCs w:val="1"/>
                <w:color w:val="auto"/>
              </w:rPr>
              <w:t>(1)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3"/>
                <w:szCs w:val="13"/>
                <w:b w:val="1"/>
                <w:bCs w:val="1"/>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3"/>
                <w:szCs w:val="13"/>
                <w:b w:val="1"/>
                <w:bCs w:val="1"/>
                <w:color w:val="auto"/>
              </w:rPr>
              <w:t>(3)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3"/>
                <w:szCs w:val="13"/>
                <w:b w:val="1"/>
                <w:bCs w:val="1"/>
                <w:color w:val="auto"/>
              </w:rPr>
              <w:t>(4)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6"/>
                <w:szCs w:val="16"/>
                <w:color w:val="auto"/>
              </w:rPr>
              <w:t>John West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2021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587,500</w:t>
            </w:r>
          </w:p>
        </w:tc>
        <w:tc>
          <w:tcPr>
            <w:tcW w:w="880" w:type="dxa"/>
            <w:vAlign w:val="bottom"/>
          </w:tcPr>
          <w:p>
            <w:pPr>
              <w:jc w:val="right"/>
              <w:spacing w:after="0"/>
              <w:rPr>
                <w:sz w:val="20"/>
                <w:szCs w:val="20"/>
                <w:color w:val="auto"/>
              </w:rPr>
            </w:pPr>
            <w:r>
              <w:rPr>
                <w:rFonts w:ascii="Arial" w:cs="Arial" w:eastAsia="Arial" w:hAnsi="Arial"/>
                <w:sz w:val="16"/>
                <w:szCs w:val="16"/>
                <w:color w:val="auto"/>
              </w:rPr>
              <w:t>1,061,025</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2,677,575</w:t>
            </w:r>
          </w:p>
        </w:tc>
        <w:tc>
          <w:tcPr>
            <w:tcW w:w="1160" w:type="dxa"/>
            <w:vAlign w:val="bottom"/>
            <w:gridSpan w:val="2"/>
          </w:tcPr>
          <w:p>
            <w:pPr>
              <w:jc w:val="right"/>
              <w:ind w:right="159"/>
              <w:spacing w:after="0"/>
              <w:rPr>
                <w:sz w:val="20"/>
                <w:szCs w:val="20"/>
                <w:color w:val="auto"/>
              </w:rPr>
            </w:pPr>
            <w:r>
              <w:rPr>
                <w:rFonts w:ascii="Arial" w:cs="Arial" w:eastAsia="Arial" w:hAnsi="Arial"/>
                <w:sz w:val="16"/>
                <w:szCs w:val="16"/>
                <w:color w:val="auto"/>
              </w:rPr>
              <w:t>601,600</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1,500</w:t>
            </w:r>
          </w:p>
        </w:tc>
        <w:tc>
          <w:tcPr>
            <w:tcW w:w="900" w:type="dxa"/>
            <w:vAlign w:val="bottom"/>
          </w:tcPr>
          <w:p>
            <w:pPr>
              <w:jc w:val="right"/>
              <w:spacing w:after="0"/>
              <w:rPr>
                <w:sz w:val="20"/>
                <w:szCs w:val="20"/>
                <w:color w:val="auto"/>
              </w:rPr>
            </w:pPr>
            <w:r>
              <w:rPr>
                <w:rFonts w:ascii="Arial" w:cs="Arial" w:eastAsia="Arial" w:hAnsi="Arial"/>
                <w:sz w:val="16"/>
                <w:szCs w:val="16"/>
                <w:color w:val="auto"/>
              </w:rPr>
              <w:t>4,929,200</w:t>
            </w:r>
          </w:p>
        </w:tc>
        <w:tc>
          <w:tcPr>
            <w:tcW w:w="0" w:type="dxa"/>
            <w:vAlign w:val="bottom"/>
          </w:tcPr>
          <w:p>
            <w:pPr>
              <w:spacing w:after="0"/>
              <w:rPr>
                <w:sz w:val="1"/>
                <w:szCs w:val="1"/>
                <w:color w:val="auto"/>
              </w:rPr>
            </w:pPr>
          </w:p>
        </w:tc>
      </w:tr>
      <w:tr>
        <w:trPr>
          <w:trHeight w:val="191"/>
        </w:trPr>
        <w:tc>
          <w:tcPr>
            <w:tcW w:w="3120" w:type="dxa"/>
            <w:vAlign w:val="bottom"/>
            <w:gridSpan w:val="2"/>
          </w:tcPr>
          <w:p>
            <w:pPr>
              <w:spacing w:after="0"/>
              <w:rPr>
                <w:sz w:val="20"/>
                <w:szCs w:val="20"/>
                <w:color w:val="auto"/>
              </w:rPr>
            </w:pPr>
            <w:r>
              <w:rPr>
                <w:rFonts w:ascii="Arial" w:cs="Arial" w:eastAsia="Arial" w:hAnsi="Arial"/>
                <w:sz w:val="16"/>
                <w:szCs w:val="16"/>
                <w:i w:val="1"/>
                <w:iCs w:val="1"/>
                <w:color w:val="auto"/>
              </w:rPr>
              <w:t>President, Chief Executive Officer, and</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2020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537,500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2,349,638</w:t>
            </w: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495,000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900" w:type="dxa"/>
            <w:vAlign w:val="bottom"/>
          </w:tcPr>
          <w:p>
            <w:pPr>
              <w:jc w:val="right"/>
              <w:spacing w:after="0"/>
              <w:rPr>
                <w:sz w:val="20"/>
                <w:szCs w:val="20"/>
                <w:color w:val="auto"/>
              </w:rPr>
            </w:pPr>
            <w:r>
              <w:rPr>
                <w:rFonts w:ascii="Arial" w:cs="Arial" w:eastAsia="Arial" w:hAnsi="Arial"/>
                <w:sz w:val="16"/>
                <w:szCs w:val="16"/>
                <w:color w:val="auto"/>
              </w:rPr>
              <w:t>3,383,138</w:t>
            </w:r>
          </w:p>
        </w:tc>
        <w:tc>
          <w:tcPr>
            <w:tcW w:w="0" w:type="dxa"/>
            <w:vAlign w:val="bottom"/>
          </w:tcPr>
          <w:p>
            <w:pPr>
              <w:spacing w:after="0"/>
              <w:rPr>
                <w:sz w:val="1"/>
                <w:szCs w:val="1"/>
                <w:color w:val="auto"/>
              </w:rPr>
            </w:pPr>
          </w:p>
        </w:tc>
      </w:tr>
      <w:tr>
        <w:trPr>
          <w:trHeight w:val="187"/>
        </w:trPr>
        <w:tc>
          <w:tcPr>
            <w:tcW w:w="3120" w:type="dxa"/>
            <w:vAlign w:val="bottom"/>
            <w:gridSpan w:val="2"/>
          </w:tcPr>
          <w:p>
            <w:pPr>
              <w:ind w:left="320"/>
              <w:spacing w:after="0"/>
              <w:rPr>
                <w:sz w:val="20"/>
                <w:szCs w:val="20"/>
                <w:color w:val="auto"/>
              </w:rPr>
            </w:pPr>
            <w:r>
              <w:rPr>
                <w:rFonts w:ascii="Arial" w:cs="Arial" w:eastAsia="Arial" w:hAnsi="Arial"/>
                <w:sz w:val="16"/>
                <w:szCs w:val="16"/>
                <w:i w:val="1"/>
                <w:iCs w:val="1"/>
                <w:color w:val="auto"/>
              </w:rPr>
              <w:t>Director</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Aaron Tachibana</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2021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443,750</w:t>
            </w:r>
          </w:p>
        </w:tc>
        <w:tc>
          <w:tcPr>
            <w:tcW w:w="880" w:type="dxa"/>
            <w:vAlign w:val="bottom"/>
          </w:tcPr>
          <w:p>
            <w:pPr>
              <w:jc w:val="right"/>
              <w:spacing w:after="0"/>
              <w:rPr>
                <w:sz w:val="20"/>
                <w:szCs w:val="20"/>
                <w:color w:val="auto"/>
              </w:rPr>
            </w:pPr>
            <w:r>
              <w:rPr>
                <w:rFonts w:ascii="Arial" w:cs="Arial" w:eastAsia="Arial" w:hAnsi="Arial"/>
                <w:sz w:val="16"/>
                <w:szCs w:val="16"/>
                <w:color w:val="auto"/>
              </w:rPr>
              <w:t>1,656,400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646,625</w:t>
            </w:r>
          </w:p>
        </w:tc>
        <w:tc>
          <w:tcPr>
            <w:tcW w:w="40" w:type="dxa"/>
            <w:vAlign w:val="bottom"/>
          </w:tcPr>
          <w:p>
            <w:pPr>
              <w:spacing w:after="0"/>
              <w:rPr>
                <w:sz w:val="17"/>
                <w:szCs w:val="17"/>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214,775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1,500</w:t>
            </w:r>
          </w:p>
        </w:tc>
        <w:tc>
          <w:tcPr>
            <w:tcW w:w="900" w:type="dxa"/>
            <w:vAlign w:val="bottom"/>
          </w:tcPr>
          <w:p>
            <w:pPr>
              <w:jc w:val="right"/>
              <w:spacing w:after="0"/>
              <w:rPr>
                <w:sz w:val="20"/>
                <w:szCs w:val="20"/>
                <w:color w:val="auto"/>
              </w:rPr>
            </w:pPr>
            <w:r>
              <w:rPr>
                <w:rFonts w:ascii="Arial" w:cs="Arial" w:eastAsia="Arial" w:hAnsi="Arial"/>
                <w:sz w:val="16"/>
                <w:szCs w:val="16"/>
                <w:color w:val="auto"/>
              </w:rPr>
              <w:t>2,963,050</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i w:val="1"/>
                <w:iCs w:val="1"/>
                <w:color w:val="auto"/>
              </w:rPr>
              <w:t>Chief Financial Officer</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2020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412,500</w:t>
            </w:r>
          </w:p>
        </w:tc>
        <w:tc>
          <w:tcPr>
            <w:tcW w:w="880" w:type="dxa"/>
            <w:vAlign w:val="bottom"/>
          </w:tcPr>
          <w:p>
            <w:pPr>
              <w:jc w:val="right"/>
              <w:spacing w:after="0"/>
              <w:rPr>
                <w:sz w:val="20"/>
                <w:szCs w:val="20"/>
                <w:color w:val="auto"/>
              </w:rPr>
            </w:pPr>
            <w:r>
              <w:rPr>
                <w:rFonts w:ascii="Arial" w:cs="Arial" w:eastAsia="Arial" w:hAnsi="Arial"/>
                <w:sz w:val="16"/>
                <w:szCs w:val="16"/>
                <w:color w:val="auto"/>
              </w:rPr>
              <w:t>391,875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519,144</w:t>
            </w:r>
          </w:p>
        </w:tc>
        <w:tc>
          <w:tcPr>
            <w:tcW w:w="40" w:type="dxa"/>
            <w:vAlign w:val="bottom"/>
          </w:tcPr>
          <w:p>
            <w:pPr>
              <w:spacing w:after="0"/>
              <w:rPr>
                <w:sz w:val="17"/>
                <w:szCs w:val="17"/>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190,000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900" w:type="dxa"/>
            <w:vAlign w:val="bottom"/>
          </w:tcPr>
          <w:p>
            <w:pPr>
              <w:jc w:val="right"/>
              <w:spacing w:after="0"/>
              <w:rPr>
                <w:sz w:val="20"/>
                <w:szCs w:val="20"/>
                <w:color w:val="auto"/>
              </w:rPr>
            </w:pPr>
            <w:r>
              <w:rPr>
                <w:rFonts w:ascii="Arial" w:cs="Arial" w:eastAsia="Arial" w:hAnsi="Arial"/>
                <w:sz w:val="16"/>
                <w:szCs w:val="16"/>
                <w:color w:val="auto"/>
              </w:rPr>
              <w:t>1,514,519</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Richard Chen, M.D., M.S.</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2021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468,750</w:t>
            </w:r>
          </w:p>
        </w:tc>
        <w:tc>
          <w:tcPr>
            <w:tcW w:w="880" w:type="dxa"/>
            <w:vAlign w:val="bottom"/>
          </w:tcPr>
          <w:p>
            <w:pPr>
              <w:jc w:val="right"/>
              <w:spacing w:after="0"/>
              <w:rPr>
                <w:sz w:val="20"/>
                <w:szCs w:val="20"/>
                <w:color w:val="auto"/>
              </w:rPr>
            </w:pPr>
            <w:r>
              <w:rPr>
                <w:rFonts w:ascii="Arial" w:cs="Arial" w:eastAsia="Arial" w:hAnsi="Arial"/>
                <w:sz w:val="16"/>
                <w:szCs w:val="16"/>
                <w:color w:val="auto"/>
              </w:rPr>
              <w:t>1,656,400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707,875</w:t>
            </w:r>
          </w:p>
        </w:tc>
        <w:tc>
          <w:tcPr>
            <w:tcW w:w="40" w:type="dxa"/>
            <w:vAlign w:val="bottom"/>
          </w:tcPr>
          <w:p>
            <w:pPr>
              <w:spacing w:after="0"/>
              <w:rPr>
                <w:sz w:val="17"/>
                <w:szCs w:val="17"/>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222,188</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1,500</w:t>
            </w:r>
          </w:p>
        </w:tc>
        <w:tc>
          <w:tcPr>
            <w:tcW w:w="900" w:type="dxa"/>
            <w:vAlign w:val="bottom"/>
          </w:tcPr>
          <w:p>
            <w:pPr>
              <w:jc w:val="right"/>
              <w:spacing w:after="0"/>
              <w:rPr>
                <w:sz w:val="20"/>
                <w:szCs w:val="20"/>
                <w:color w:val="auto"/>
              </w:rPr>
            </w:pPr>
            <w:r>
              <w:rPr>
                <w:rFonts w:ascii="Arial" w:cs="Arial" w:eastAsia="Arial" w:hAnsi="Arial"/>
                <w:sz w:val="16"/>
                <w:szCs w:val="16"/>
                <w:color w:val="auto"/>
              </w:rPr>
              <w:t>3,056,713</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6"/>
                <w:szCs w:val="16"/>
                <w:i w:val="1"/>
                <w:iCs w:val="1"/>
                <w:color w:val="auto"/>
              </w:rPr>
              <w:t>Chief Scientific Officer</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2020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437,500</w:t>
            </w:r>
          </w:p>
        </w:tc>
        <w:tc>
          <w:tcPr>
            <w:tcW w:w="880" w:type="dxa"/>
            <w:vAlign w:val="bottom"/>
          </w:tcPr>
          <w:p>
            <w:pPr>
              <w:jc w:val="right"/>
              <w:spacing w:after="0"/>
              <w:rPr>
                <w:sz w:val="20"/>
                <w:szCs w:val="20"/>
                <w:color w:val="auto"/>
              </w:rPr>
            </w:pPr>
            <w:r>
              <w:rPr>
                <w:rFonts w:ascii="Arial" w:cs="Arial" w:eastAsia="Arial" w:hAnsi="Arial"/>
                <w:sz w:val="16"/>
                <w:szCs w:val="16"/>
                <w:color w:val="auto"/>
              </w:rPr>
              <w:t>178,125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619,836</w:t>
            </w:r>
          </w:p>
        </w:tc>
        <w:tc>
          <w:tcPr>
            <w:tcW w:w="4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200,000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900" w:type="dxa"/>
            <w:vAlign w:val="bottom"/>
          </w:tcPr>
          <w:p>
            <w:pPr>
              <w:jc w:val="right"/>
              <w:spacing w:after="0"/>
              <w:rPr>
                <w:sz w:val="20"/>
                <w:szCs w:val="20"/>
                <w:color w:val="auto"/>
              </w:rPr>
            </w:pPr>
            <w:r>
              <w:rPr>
                <w:rFonts w:ascii="Arial" w:cs="Arial" w:eastAsia="Arial" w:hAnsi="Arial"/>
                <w:sz w:val="16"/>
                <w:szCs w:val="16"/>
                <w:color w:val="auto"/>
              </w:rPr>
              <w:t>1,436,461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769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57" w:lineRule="exact"/>
        <w:rPr>
          <w:sz w:val="20"/>
          <w:szCs w:val="20"/>
          <w:color w:val="auto"/>
        </w:rPr>
      </w:pPr>
    </w:p>
    <w:p>
      <w:pPr>
        <w:jc w:val="both"/>
        <w:ind w:left="500" w:hanging="492"/>
        <w:spacing w:after="0" w:line="259"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represent the grant date fair value of the stock awards granted to the named executive officers during 2020 and 2021 as computed in accordance with ASC Topic 718. Assumptions used in the calculation of these amounts are included in Note 9 to our financial statements included in our Annual Report on Form 10-K for the year ended December 31, 2021. These amounts do not necessarily correspond to the actual value recognized or that may be recognized by the named executive officers.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8" w:name="page69"/>
    <w:bookmarkEnd w:id="68"/>
    <w:p>
      <w:pPr>
        <w:jc w:val="both"/>
        <w:ind w:left="500" w:hanging="492"/>
        <w:spacing w:after="0" w:line="259"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stock options granted to our named executive officers during 2020 and 2021, computed in accordance with ASC Topic 718. Assumptions used in the calculation of these amounts are included in Note 9 to our financial statements included in our Annual Report on Form 10-K for the year ended December 31, 2021. These amounts do not necessarily correspond to the actual value recognized or that may be recognized by the named executive officers.</w:t>
      </w:r>
    </w:p>
    <w:p>
      <w:pPr>
        <w:spacing w:after="0" w:line="29" w:lineRule="exact"/>
        <w:rPr>
          <w:rFonts w:ascii="Arial" w:cs="Arial" w:eastAsia="Arial" w:hAnsi="Arial"/>
          <w:sz w:val="16"/>
          <w:szCs w:val="16"/>
          <w:color w:val="auto"/>
        </w:rPr>
      </w:pPr>
    </w:p>
    <w:p>
      <w:pPr>
        <w:jc w:val="both"/>
        <w:ind w:left="500" w:hanging="492"/>
        <w:spacing w:after="0" w:line="266"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annual performance-based cash bonuses earned by our named executive officers based on the achievement of certain corporate performance objectives and individual performance during 2020 and 2021. For more information regarding these bonuses, see below under “Narrative to Summary Compensation Table—Annual Bonus Plan.”</w:t>
      </w:r>
    </w:p>
    <w:p>
      <w:pPr>
        <w:spacing w:after="0" w:line="130" w:lineRule="exact"/>
        <w:rPr>
          <w:rFonts w:ascii="Arial" w:cs="Arial" w:eastAsia="Arial" w:hAnsi="Arial"/>
          <w:sz w:val="16"/>
          <w:szCs w:val="16"/>
          <w:color w:val="auto"/>
        </w:rPr>
      </w:pPr>
    </w:p>
    <w:p>
      <w:pPr>
        <w:ind w:left="440" w:hanging="432"/>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matching contributions under our 401(k) plan during 2020 and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16"/>
          </w:tcPr>
          <w:p>
            <w:pPr>
              <w:ind w:left="1060"/>
              <w:spacing w:after="0"/>
              <w:rPr>
                <w:sz w:val="20"/>
                <w:szCs w:val="20"/>
                <w:color w:val="auto"/>
              </w:rPr>
            </w:pPr>
            <w:r>
              <w:rPr>
                <w:rFonts w:ascii="Arial" w:cs="Arial" w:eastAsia="Arial" w:hAnsi="Arial"/>
                <w:sz w:val="16"/>
                <w:szCs w:val="16"/>
                <w:b w:val="1"/>
                <w:bCs w:val="1"/>
                <w:color w:val="auto"/>
              </w:rPr>
              <w:t>Description</w:t>
            </w:r>
          </w:p>
        </w:tc>
      </w:tr>
      <w:tr>
        <w:trPr>
          <w:trHeight w:val="277"/>
        </w:trPr>
        <w:tc>
          <w:tcPr>
            <w:tcW w:w="820" w:type="dxa"/>
            <w:vAlign w:val="bottom"/>
          </w:tcPr>
          <w:p>
            <w:pPr>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6"/>
                <w:szCs w:val="16"/>
                <w:color w:val="0000EE"/>
              </w:rPr>
            </w:pPr>
            <w:hyperlink r:id="rId92">
              <w:r>
                <w:rPr>
                  <w:rFonts w:ascii="Arial" w:cs="Arial" w:eastAsia="Arial" w:hAnsi="Arial"/>
                  <w:sz w:val="16"/>
                  <w:szCs w:val="16"/>
                  <w:color w:val="0000EE"/>
                </w:rPr>
                <w:t>Amended and Restated Certificate of Incorporation of the Registrant.</w:t>
              </w:r>
            </w:hyperlink>
          </w:p>
        </w:tc>
      </w:tr>
      <w:tr>
        <w:trPr>
          <w:trHeight w:val="304"/>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r:id="rId93">
              <w:r>
                <w:rPr>
                  <w:rFonts w:ascii="Arial" w:cs="Arial" w:eastAsia="Arial" w:hAnsi="Arial"/>
                  <w:sz w:val="16"/>
                  <w:szCs w:val="16"/>
                  <w:color w:val="0000EE"/>
                </w:rPr>
                <w:t>Amended and Restated Bylaws of the Registrant.</w:t>
              </w:r>
            </w:hyperlink>
          </w:p>
        </w:tc>
        <w:tc>
          <w:tcPr>
            <w:tcW w:w="1380" w:type="dxa"/>
            <w:vAlign w:val="bottom"/>
            <w:tcBorders>
              <w:top w:val="single" w:sz="8" w:color="0000EE"/>
            </w:tcBorders>
            <w:gridSpan w:val="4"/>
          </w:tcPr>
          <w:p>
            <w:pPr>
              <w:spacing w:after="0"/>
              <w:rPr>
                <w:sz w:val="24"/>
                <w:szCs w:val="24"/>
                <w:color w:val="auto"/>
              </w:rPr>
            </w:pPr>
          </w:p>
        </w:tc>
        <w:tc>
          <w:tcPr>
            <w:tcW w:w="820" w:type="dxa"/>
            <w:vAlign w:val="bottom"/>
            <w:gridSpan w:val="10"/>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6"/>
                <w:szCs w:val="16"/>
                <w:color w:val="0000EE"/>
              </w:rPr>
            </w:pPr>
            <w:hyperlink r:id="rId94">
              <w:r>
                <w:rPr>
                  <w:rFonts w:ascii="Arial" w:cs="Arial" w:eastAsia="Arial" w:hAnsi="Arial"/>
                  <w:sz w:val="16"/>
                  <w:szCs w:val="16"/>
                  <w:color w:val="0000EE"/>
                </w:rPr>
                <w:t>Amended Personalis, Inc. Non-Employee Director Compensation Policy, dated</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4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94">
              <w:r>
                <w:rPr>
                  <w:rFonts w:ascii="Arial" w:cs="Arial" w:eastAsia="Arial" w:hAnsi="Arial"/>
                  <w:sz w:val="16"/>
                  <w:szCs w:val="16"/>
                  <w:color w:val="0000EE"/>
                </w:rPr>
                <w:t>February 17, 2022.</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6"/>
                <w:szCs w:val="16"/>
                <w:color w:val="0000EE"/>
              </w:rPr>
            </w:pPr>
            <w:hyperlink r:id="rId95">
              <w:r>
                <w:rPr>
                  <w:rFonts w:ascii="Arial" w:cs="Arial" w:eastAsia="Arial" w:hAnsi="Arial"/>
                  <w:sz w:val="16"/>
                  <w:szCs w:val="16"/>
                  <w:color w:val="0000EE"/>
                </w:rPr>
                <w:t>Amended and Restated Executive Severance Agreement, by and between</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95">
              <w:r>
                <w:rPr>
                  <w:rFonts w:ascii="Arial" w:cs="Arial" w:eastAsia="Arial" w:hAnsi="Arial"/>
                  <w:sz w:val="16"/>
                  <w:szCs w:val="16"/>
                  <w:color w:val="0000EE"/>
                </w:rPr>
                <w:t>John West and the Registrant, dated February 23, 2022.</w:t>
              </w:r>
            </w:hyperlink>
          </w:p>
        </w:tc>
        <w:tc>
          <w:tcPr>
            <w:tcW w:w="130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6"/>
                <w:szCs w:val="16"/>
                <w:color w:val="0000EE"/>
              </w:rPr>
            </w:pPr>
            <w:hyperlink r:id="rId96">
              <w:r>
                <w:rPr>
                  <w:rFonts w:ascii="Arial" w:cs="Arial" w:eastAsia="Arial" w:hAnsi="Arial"/>
                  <w:sz w:val="16"/>
                  <w:szCs w:val="16"/>
                  <w:color w:val="0000EE"/>
                </w:rPr>
                <w:t>Amended and Restated Executive Severance Agreement, by and between Dr.</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Richard Chen and the Registrant, dated February 23, 2022.</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82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6"/>
                <w:szCs w:val="16"/>
                <w:color w:val="0000EE"/>
              </w:rPr>
            </w:pPr>
            <w:hyperlink r:id="rId97">
              <w:r>
                <w:rPr>
                  <w:rFonts w:ascii="Arial" w:cs="Arial" w:eastAsia="Arial" w:hAnsi="Arial"/>
                  <w:sz w:val="16"/>
                  <w:szCs w:val="16"/>
                  <w:color w:val="0000EE"/>
                </w:rPr>
                <w:t>Amended and Restated Executive Severance Agreement, by and between</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97">
              <w:r>
                <w:rPr>
                  <w:rFonts w:ascii="Arial" w:cs="Arial" w:eastAsia="Arial" w:hAnsi="Arial"/>
                  <w:sz w:val="16"/>
                  <w:szCs w:val="16"/>
                  <w:color w:val="0000EE"/>
                </w:rPr>
                <w:t>Aaron Tachibana and the Registrant, dated February 23, 2022.</w:t>
              </w:r>
            </w:hyperlink>
          </w:p>
        </w:tc>
        <w:tc>
          <w:tcPr>
            <w:tcW w:w="84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90"/>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5740" w:type="dxa"/>
            <w:vAlign w:val="bottom"/>
            <w:gridSpan w:val="17"/>
          </w:tcPr>
          <w:p>
            <w:pPr>
              <w:spacing w:after="0"/>
              <w:rPr>
                <w:sz w:val="20"/>
                <w:szCs w:val="20"/>
                <w:color w:val="auto"/>
              </w:rPr>
            </w:pPr>
            <w:r>
              <w:rPr>
                <w:rFonts w:ascii="Arial" w:cs="Arial" w:eastAsia="Arial" w:hAnsi="Arial"/>
                <w:sz w:val="16"/>
                <w:szCs w:val="16"/>
                <w:color w:val="0000EE"/>
              </w:rPr>
              <w:t>Certification of Principal Executive Officer Pursuant to Rules 13a-14(a) and</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w w:val="99"/>
              </w:rPr>
              <w:t>15d-14(a) under the Securities Exchange Act of 1934, as Adopted Pursuant</w:t>
            </w:r>
          </w:p>
        </w:tc>
        <w:tc>
          <w:tcPr>
            <w:tcW w:w="380" w:type="dxa"/>
            <w:vAlign w:val="bottom"/>
            <w:gridSpan w:val="6"/>
          </w:tcPr>
          <w:p>
            <w:pPr>
              <w:ind w:left="100"/>
              <w:spacing w:after="0" w:line="169" w:lineRule="exact"/>
              <w:rPr>
                <w:sz w:val="20"/>
                <w:szCs w:val="20"/>
                <w:color w:val="auto"/>
              </w:rPr>
            </w:pPr>
            <w:r>
              <w:rPr>
                <w:rFonts w:ascii="Arial" w:cs="Arial" w:eastAsia="Arial" w:hAnsi="Arial"/>
                <w:sz w:val="16"/>
                <w:szCs w:val="16"/>
                <w:color w:val="0000EE"/>
              </w:rPr>
              <w:t>to</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2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rPr>
              <w:t>Section 302 of the Sarbanes-Oxley Act of 2002.</w:t>
            </w: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5740" w:type="dxa"/>
            <w:vAlign w:val="bottom"/>
            <w:gridSpan w:val="17"/>
          </w:tcPr>
          <w:p>
            <w:pPr>
              <w:spacing w:after="0"/>
              <w:rPr>
                <w:sz w:val="20"/>
                <w:szCs w:val="20"/>
                <w:color w:val="auto"/>
              </w:rPr>
            </w:pPr>
            <w:r>
              <w:rPr>
                <w:rFonts w:ascii="Arial" w:cs="Arial" w:eastAsia="Arial" w:hAnsi="Arial"/>
                <w:sz w:val="16"/>
                <w:szCs w:val="16"/>
                <w:color w:val="0000EE"/>
              </w:rPr>
              <w:t>Certification of Principal Financial Officer Pursuant to Rules 13a-14(a) and 15d-</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8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color w:val="0000EE"/>
              </w:rPr>
              <w:t>14(a) under the Securities Exchange Act of 1934, as Adopted Pursuant to</w:t>
            </w:r>
          </w:p>
        </w:tc>
        <w:tc>
          <w:tcPr>
            <w:tcW w:w="6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8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Section 302 of the Sarbanes-Oxley Act of 2002.</w:t>
            </w:r>
          </w:p>
        </w:tc>
        <w:tc>
          <w:tcPr>
            <w:tcW w:w="300" w:type="dxa"/>
            <w:vAlign w:val="bottom"/>
            <w:gridSpan w:val="3"/>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5740" w:type="dxa"/>
            <w:vAlign w:val="bottom"/>
            <w:gridSpan w:val="17"/>
          </w:tcPr>
          <w:p>
            <w:pPr>
              <w:spacing w:after="0"/>
              <w:rPr>
                <w:sz w:val="20"/>
                <w:szCs w:val="20"/>
                <w:color w:val="auto"/>
              </w:rPr>
            </w:pPr>
            <w:r>
              <w:rPr>
                <w:rFonts w:ascii="Arial" w:cs="Arial" w:eastAsia="Arial" w:hAnsi="Arial"/>
                <w:sz w:val="16"/>
                <w:szCs w:val="16"/>
                <w:color w:val="0000EE"/>
              </w:rPr>
              <w:t>Certification of Principal Executive Officer Pursuant to 18 U.S.C. Section 1350,</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as Adopted Pursuant to Section 906 of the Sarbanes-Oxley Act of 2002.</w:t>
            </w:r>
          </w:p>
        </w:tc>
        <w:tc>
          <w:tcPr>
            <w:tcW w:w="480" w:type="dxa"/>
            <w:vAlign w:val="bottom"/>
            <w:tcBorders>
              <w:top w:val="single" w:sz="8" w:color="0000EE"/>
            </w:tcBorders>
            <w:gridSpan w:val="7"/>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5740" w:type="dxa"/>
            <w:vAlign w:val="bottom"/>
            <w:gridSpan w:val="17"/>
          </w:tcPr>
          <w:p>
            <w:pPr>
              <w:spacing w:after="0"/>
              <w:rPr>
                <w:sz w:val="20"/>
                <w:szCs w:val="20"/>
                <w:color w:val="auto"/>
              </w:rPr>
            </w:pPr>
            <w:r>
              <w:rPr>
                <w:rFonts w:ascii="Arial" w:cs="Arial" w:eastAsia="Arial" w:hAnsi="Arial"/>
                <w:sz w:val="16"/>
                <w:szCs w:val="16"/>
                <w:color w:val="0000EE"/>
              </w:rPr>
              <w:t>Certification of Principal Financial Officer Pursuant to 18 U.S.C. Section 1350,</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as Adopted Pursuant to Section 906 of the Sarbanes-Oxley Act of 2002.</w:t>
            </w:r>
          </w:p>
        </w:tc>
        <w:tc>
          <w:tcPr>
            <w:tcW w:w="420" w:type="dxa"/>
            <w:vAlign w:val="bottom"/>
            <w:tcBorders>
              <w:top w:val="single" w:sz="8" w:color="0000EE"/>
            </w:tcBorders>
            <w:gridSpan w:val="4"/>
          </w:tcPr>
          <w:p>
            <w:pPr>
              <w:spacing w:after="0"/>
              <w:rPr>
                <w:sz w:val="14"/>
                <w:szCs w:val="14"/>
                <w:color w:val="auto"/>
              </w:rPr>
            </w:pPr>
          </w:p>
        </w:tc>
        <w:tc>
          <w:tcPr>
            <w:tcW w:w="160" w:type="dxa"/>
            <w:vAlign w:val="bottom"/>
            <w:gridSpan w:val="5"/>
          </w:tcPr>
          <w:p>
            <w:pPr>
              <w:spacing w:after="0"/>
              <w:rPr>
                <w:sz w:val="14"/>
                <w:szCs w:val="14"/>
                <w:color w:val="auto"/>
              </w:rPr>
            </w:pPr>
          </w:p>
        </w:tc>
      </w:tr>
    </w:tbl>
    <w:p>
      <w:pPr>
        <w:spacing w:after="0" w:line="121" w:lineRule="exact"/>
        <w:rPr>
          <w:sz w:val="20"/>
          <w:szCs w:val="20"/>
          <w:color w:val="auto"/>
        </w:rPr>
      </w:pPr>
    </w:p>
    <w:p>
      <w:pPr>
        <w:ind w:left="940" w:right="40" w:hanging="932"/>
        <w:spacing w:after="0" w:line="266"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77" w:lineRule="exact"/>
        <w:rPr>
          <w:sz w:val="20"/>
          <w:szCs w:val="20"/>
          <w:color w:val="auto"/>
        </w:rPr>
      </w:pPr>
    </w:p>
    <w:p>
      <w:pPr>
        <w:ind w:left="940" w:right="60" w:hanging="932"/>
        <w:spacing w:after="0" w:line="286" w:lineRule="auto"/>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9512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Filing</w:t>
            </w:r>
          </w:p>
        </w:tc>
      </w:tr>
      <w:tr>
        <w:trPr>
          <w:trHeight w:val="203"/>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02"/>
        </w:trPr>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324"/>
        </w:trPr>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6/24/2019</w:t>
            </w:r>
          </w:p>
        </w:tc>
      </w:tr>
      <w:tr>
        <w:trPr>
          <w:trHeight w:val="324"/>
        </w:trPr>
        <w:tc>
          <w:tcPr>
            <w:tcW w:w="1180" w:type="dxa"/>
            <w:vAlign w:val="bottom"/>
            <w:gridSpan w:val="2"/>
          </w:tcPr>
          <w:p>
            <w:pPr>
              <w:jc w:val="center"/>
              <w:ind w:right="16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2/24/2022</w:t>
            </w:r>
          </w:p>
        </w:tc>
      </w:tr>
      <w:tr>
        <w:trPr>
          <w:trHeight w:val="499"/>
        </w:trPr>
        <w:tc>
          <w:tcPr>
            <w:tcW w:w="1180" w:type="dxa"/>
            <w:vAlign w:val="bottom"/>
            <w:gridSpan w:val="2"/>
          </w:tcPr>
          <w:p>
            <w:pPr>
              <w:jc w:val="center"/>
              <w:ind w:right="16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2/24/2022</w:t>
            </w:r>
          </w:p>
        </w:tc>
      </w:tr>
      <w:tr>
        <w:trPr>
          <w:trHeight w:val="499"/>
        </w:trPr>
        <w:tc>
          <w:tcPr>
            <w:tcW w:w="1180" w:type="dxa"/>
            <w:vAlign w:val="bottom"/>
            <w:gridSpan w:val="2"/>
          </w:tcPr>
          <w:p>
            <w:pPr>
              <w:jc w:val="center"/>
              <w:ind w:right="16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10.20</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2/24/2022</w:t>
            </w:r>
          </w:p>
        </w:tc>
      </w:tr>
      <w:tr>
        <w:trPr>
          <w:trHeight w:val="500"/>
        </w:trPr>
        <w:tc>
          <w:tcPr>
            <w:tcW w:w="1180" w:type="dxa"/>
            <w:vAlign w:val="bottom"/>
            <w:gridSpan w:val="2"/>
          </w:tcPr>
          <w:p>
            <w:pPr>
              <w:jc w:val="center"/>
              <w:ind w:right="160"/>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2/24/2022</w:t>
            </w:r>
          </w:p>
        </w:tc>
      </w:tr>
    </w:tbl>
    <w:p>
      <w:pPr>
        <w:spacing w:after="0" w:line="3880" w:lineRule="exact"/>
        <w:rPr>
          <w:sz w:val="20"/>
          <w:szCs w:val="20"/>
          <w:color w:val="auto"/>
        </w:rPr>
      </w:pPr>
    </w:p>
    <w:p>
      <w:pPr>
        <w:sectPr>
          <w:pgSz w:w="11900" w:h="16838" w:orient="portrait"/>
          <w:cols w:equalWidth="0" w:num="2">
            <w:col w:w="6680" w:space="120"/>
            <w:col w:w="4440"/>
          </w:cols>
          <w:pgMar w:left="320" w:top="328" w:right="339" w:bottom="1440" w:gutter="0" w:footer="0" w:header="0"/>
        </w:sectPr>
      </w:pPr>
    </w:p>
    <w:p>
      <w:pPr>
        <w:jc w:val="both"/>
        <w:ind w:left="500" w:hanging="492"/>
        <w:spacing w:after="0" w:line="258"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May 4, 2022</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20955</wp:posOffset>
            </wp:positionV>
            <wp:extent cx="32746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3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32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6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00" w:right="60" w:hanging="493"/>
        <w:spacing w:after="0" w:line="266"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00" w:right="460" w:hanging="493"/>
        <w:spacing w:after="0" w:line="266"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00" w:right="460" w:hanging="493"/>
        <w:spacing w:after="0" w:line="286"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00" w:right="160" w:hanging="493"/>
        <w:spacing w:after="0" w:line="266"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00" w:right="100" w:hanging="493"/>
        <w:spacing w:after="0" w:line="286"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00" w:right="40" w:hanging="493"/>
        <w:spacing w:after="0" w:line="286"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Date: May 4, 2022</w:t>
      </w:r>
    </w:p>
    <w:p>
      <w:pPr>
        <w:spacing w:after="0" w:line="31"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West</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-115570</wp:posOffset>
            </wp:positionV>
            <wp:extent cx="32829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6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00" w:right="60" w:hanging="493"/>
        <w:spacing w:after="0" w:line="266"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00" w:right="460" w:hanging="493"/>
        <w:spacing w:after="0" w:line="266"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00" w:right="460" w:hanging="493"/>
        <w:spacing w:after="0" w:line="286"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00" w:right="160" w:hanging="493"/>
        <w:spacing w:after="0" w:line="266"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00" w:right="100" w:hanging="493"/>
        <w:spacing w:after="0" w:line="286"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00" w:right="40" w:hanging="493"/>
        <w:spacing w:after="0" w:line="286"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Date: May 4, 2022</w:t>
      </w:r>
    </w:p>
    <w:p>
      <w:pPr>
        <w:spacing w:after="0" w:line="31"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-115570</wp:posOffset>
            </wp:positionV>
            <wp:extent cx="3282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2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40" w:firstLine="510"/>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86"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 May 4, 2022</w:t>
      </w:r>
    </w:p>
    <w:p>
      <w:pPr>
        <w:spacing w:after="0" w:line="3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13335</wp:posOffset>
            </wp:positionV>
            <wp:extent cx="3042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3"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John West</w:t>
      </w:r>
    </w:p>
    <w:p>
      <w:pPr>
        <w:spacing w:after="0" w:line="3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w:t>
      </w:r>
    </w:p>
    <w:p>
      <w:pPr>
        <w:spacing w:after="0" w:line="22"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40" w:firstLine="510"/>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86"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 May 4, 2022</w:t>
      </w:r>
    </w:p>
    <w:p>
      <w:pPr>
        <w:spacing w:after="0" w:line="3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13335</wp:posOffset>
            </wp:positionV>
            <wp:extent cx="30429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3"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Aaron Tachibana</w:t>
      </w:r>
    </w:p>
    <w:p>
      <w:pPr>
        <w:spacing w:after="0" w:line="3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w:t>
      </w:r>
    </w:p>
    <w:p>
      <w:pPr>
        <w:spacing w:after="0" w:line="22"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2"/>
    </w:lvl>
  </w:abstractNum>
  <w:abstractNum w:abstractNumId="21">
    <w:nsid w:val="79838CB2"/>
    <w:multiLevelType w:val="hybridMultilevel"/>
    <w:lvl w:ilvl="0">
      <w:lvlJc w:val="left"/>
      <w:lvlText w:val="%1"/>
      <w:numFmt w:val="decimal"/>
      <w:start w:val="101"/>
    </w:lvl>
  </w:abstractNum>
  <w:abstractNum w:abstractNumId="22">
    <w:nsid w:val="4353D0CD"/>
    <w:multiLevelType w:val="hybridMultilevel"/>
    <w:lvl w:ilvl="0">
      <w:lvlJc w:val="left"/>
      <w:lvlText w:val="%1"/>
      <w:numFmt w:val="decimal"/>
      <w:start w:val="104"/>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92" Type="http://schemas.openxmlformats.org/officeDocument/2006/relationships/hyperlink" Target="http://www.sec.gov/Archives/edgar/data/0001527753/000119312519180246/d750323dex31.htm" TargetMode="External"/><Relationship Id="rId93" Type="http://schemas.openxmlformats.org/officeDocument/2006/relationships/hyperlink" Target="http://www.sec.gov/Archives/edgar/data/0001527753/000119312519180246/d750323dex32.htm" TargetMode="External"/><Relationship Id="rId94" Type="http://schemas.openxmlformats.org/officeDocument/2006/relationships/hyperlink" Target="http://www.sec.gov/Archives/edgar/data/1527753/000156459022006722/psnl-ex1018_257.htm" TargetMode="External"/><Relationship Id="rId95" Type="http://schemas.openxmlformats.org/officeDocument/2006/relationships/hyperlink" Target="http://www.sec.gov/Archives/edgar/data/1527753/000156459022006722/psnl-ex1019_363.htm" TargetMode="External"/><Relationship Id="rId96" Type="http://schemas.openxmlformats.org/officeDocument/2006/relationships/hyperlink" Target="http://www.sec.gov/Archives/edgar/data/1527753/000156459022006722/psnl-ex1020_362.htm" TargetMode="External"/><Relationship Id="rId97" Type="http://schemas.openxmlformats.org/officeDocument/2006/relationships/hyperlink" Target="http://www.sec.gov/Archives/edgar/data/1527753/000156459022006722/psnl-ex1021_3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2022-05-04T15:32:36Z</dcterms:created>
  <dcterms:modified xsi:type="dcterms:W3CDTF">2022-05-04T15:32:36Z</dcterms:modified>
</cp:coreProperties>
</file>